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i/>
          <w:sz w:val="12"/>
        </w:rPr>
        <w:id w:val="369120816"/>
        <w:docPartObj>
          <w:docPartGallery w:val="Cover Pages"/>
          <w:docPartUnique/>
        </w:docPartObj>
      </w:sdtPr>
      <w:sdtEndPr>
        <w:rPr>
          <w:rFonts w:ascii="Cambria" w:eastAsiaTheme="majorEastAsia" w:hAnsi="Cambria" w:cstheme="majorBidi"/>
          <w:b/>
          <w:bCs/>
          <w:i w:val="0"/>
          <w:color w:val="365F91" w:themeColor="accent1" w:themeShade="BF"/>
          <w:sz w:val="28"/>
          <w:szCs w:val="28"/>
          <w:lang w:val="en-US"/>
        </w:rPr>
      </w:sdtEndPr>
      <w:sdtContent>
        <w:p w:rsidR="00FC7A83" w:rsidRDefault="00FC7A83" w:rsidP="007070D2">
          <w:pPr>
            <w:spacing w:after="0"/>
            <w:rPr>
              <w:i/>
              <w:sz w:val="12"/>
            </w:rPr>
          </w:pPr>
        </w:p>
        <w:p w:rsidR="00FC7A83" w:rsidRDefault="00FC7A83" w:rsidP="007070D2">
          <w:pPr>
            <w:spacing w:after="0"/>
            <w:rPr>
              <w:i/>
              <w:sz w:val="12"/>
            </w:rPr>
          </w:pPr>
        </w:p>
        <w:p w:rsidR="00FC7A83" w:rsidRDefault="00FC7A83" w:rsidP="007070D2">
          <w:pPr>
            <w:spacing w:after="0"/>
            <w:rPr>
              <w:i/>
              <w:sz w:val="12"/>
            </w:rPr>
          </w:pPr>
        </w:p>
        <w:p w:rsidR="00FC7A83" w:rsidRDefault="00FC7A83" w:rsidP="007070D2">
          <w:pPr>
            <w:spacing w:after="0"/>
            <w:rPr>
              <w:i/>
              <w:sz w:val="12"/>
            </w:rPr>
          </w:pPr>
        </w:p>
        <w:p w:rsidR="00FC7A83" w:rsidRDefault="00FC7A83" w:rsidP="007070D2">
          <w:pPr>
            <w:spacing w:after="0"/>
            <w:rPr>
              <w:i/>
              <w:sz w:val="12"/>
            </w:rPr>
          </w:pPr>
        </w:p>
        <w:p w:rsidR="00FC7A83" w:rsidRDefault="00FC7A83" w:rsidP="007070D2">
          <w:pPr>
            <w:spacing w:after="0"/>
            <w:rPr>
              <w:i/>
              <w:sz w:val="12"/>
            </w:rPr>
          </w:pPr>
        </w:p>
        <w:p w:rsidR="00FC7A83" w:rsidRDefault="00FC7A83" w:rsidP="007070D2">
          <w:pPr>
            <w:spacing w:after="0"/>
            <w:rPr>
              <w:i/>
              <w:sz w:val="12"/>
            </w:rPr>
          </w:pPr>
        </w:p>
        <w:p w:rsidR="00FC7A83" w:rsidRDefault="00FC7A83" w:rsidP="007070D2">
          <w:pPr>
            <w:spacing w:after="0"/>
            <w:rPr>
              <w:i/>
              <w:sz w:val="12"/>
            </w:rPr>
          </w:pPr>
        </w:p>
        <w:p w:rsidR="00FC7A83" w:rsidRDefault="00FC7A83" w:rsidP="007070D2">
          <w:pPr>
            <w:spacing w:after="0"/>
            <w:rPr>
              <w:i/>
              <w:sz w:val="12"/>
            </w:rPr>
          </w:pPr>
        </w:p>
        <w:p w:rsidR="00FC7A83" w:rsidRDefault="00FC7A83" w:rsidP="007070D2">
          <w:pPr>
            <w:spacing w:after="0"/>
            <w:rPr>
              <w:i/>
              <w:sz w:val="12"/>
            </w:rPr>
          </w:pPr>
        </w:p>
        <w:p w:rsidR="00FC7A83" w:rsidRDefault="00FC7A83" w:rsidP="007070D2">
          <w:pPr>
            <w:spacing w:after="0"/>
            <w:rPr>
              <w:i/>
              <w:sz w:val="12"/>
            </w:rPr>
          </w:pPr>
        </w:p>
        <w:p w:rsidR="00FC7A83" w:rsidRDefault="00FC7A83" w:rsidP="007070D2">
          <w:pPr>
            <w:spacing w:after="0"/>
            <w:rPr>
              <w:i/>
              <w:sz w:val="12"/>
            </w:rPr>
          </w:pPr>
        </w:p>
        <w:p w:rsidR="00FC7A83" w:rsidRDefault="00FC7A83" w:rsidP="007070D2">
          <w:pPr>
            <w:spacing w:after="0"/>
            <w:rPr>
              <w:i/>
              <w:sz w:val="12"/>
            </w:rPr>
          </w:pPr>
        </w:p>
        <w:p w:rsidR="00FC7A83" w:rsidRDefault="00FC7A83" w:rsidP="007070D2">
          <w:pPr>
            <w:spacing w:after="0"/>
            <w:rPr>
              <w:i/>
              <w:sz w:val="12"/>
            </w:rPr>
          </w:pPr>
        </w:p>
        <w:p w:rsidR="00FC7A83" w:rsidRDefault="00FC7A83" w:rsidP="007070D2">
          <w:pPr>
            <w:spacing w:after="0"/>
            <w:rPr>
              <w:i/>
              <w:sz w:val="12"/>
            </w:rPr>
          </w:pPr>
        </w:p>
        <w:p w:rsidR="00FC7A83" w:rsidRDefault="00FC7A83" w:rsidP="007070D2">
          <w:pPr>
            <w:spacing w:after="0"/>
            <w:rPr>
              <w:i/>
              <w:sz w:val="12"/>
            </w:rPr>
          </w:pPr>
        </w:p>
        <w:p w:rsidR="00FC7A83" w:rsidRDefault="00FC7A83" w:rsidP="007070D2">
          <w:pPr>
            <w:spacing w:after="0"/>
            <w:rPr>
              <w:i/>
              <w:sz w:val="12"/>
            </w:rPr>
          </w:pPr>
        </w:p>
        <w:p w:rsidR="00FC7A83" w:rsidRDefault="00FC7A83" w:rsidP="007070D2">
          <w:pPr>
            <w:spacing w:after="0"/>
            <w:rPr>
              <w:i/>
              <w:sz w:val="12"/>
            </w:rPr>
          </w:pPr>
        </w:p>
        <w:p w:rsidR="007070D2" w:rsidRPr="00EE7F9F" w:rsidRDefault="003D1E71" w:rsidP="007070D2">
          <w:pPr>
            <w:spacing w:after="0"/>
            <w:rPr>
              <w:i/>
              <w:sz w:val="12"/>
            </w:rPr>
          </w:pPr>
          <w:r w:rsidRPr="00EE7F9F">
            <w:rPr>
              <w:rFonts w:eastAsia="Times New Roman" w:cs="Times New Roman"/>
              <w:i/>
              <w:noProof/>
              <w:lang w:eastAsia="en-AU"/>
            </w:rPr>
            <w:drawing>
              <wp:anchor distT="0" distB="0" distL="114300" distR="114300" simplePos="0" relativeHeight="251660288" behindDoc="0" locked="0" layoutInCell="1" allowOverlap="1">
                <wp:simplePos x="0" y="0"/>
                <wp:positionH relativeFrom="column">
                  <wp:posOffset>272415</wp:posOffset>
                </wp:positionH>
                <wp:positionV relativeFrom="paragraph">
                  <wp:posOffset>-215414</wp:posOffset>
                </wp:positionV>
                <wp:extent cx="968343" cy="550142"/>
                <wp:effectExtent l="0" t="0" r="3810" b="2540"/>
                <wp:wrapNone/>
                <wp:docPr id="84" name="irc_mi" descr="http://au2011studyabroad.files.wordpress.com/2011/03/aim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u2011studyabroad.files.wordpress.com/2011/03/aims_logo.jpg"/>
                        <pic:cNvPicPr>
                          <a:picLocks noChangeAspect="1" noChangeArrowheads="1"/>
                        </pic:cNvPicPr>
                      </pic:nvPicPr>
                      <pic:blipFill rotWithShape="1">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968343" cy="5501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070D2" w:rsidRPr="00EE7F9F">
            <w:rPr>
              <w:rFonts w:eastAsia="Times New Roman" w:cs="Times New Roman"/>
              <w:i/>
              <w:noProof/>
              <w:lang w:eastAsia="en-AU"/>
            </w:rPr>
            <w:drawing>
              <wp:anchor distT="0" distB="0" distL="114300" distR="114300" simplePos="0" relativeHeight="251663360" behindDoc="0" locked="0" layoutInCell="1" allowOverlap="1">
                <wp:simplePos x="0" y="0"/>
                <wp:positionH relativeFrom="column">
                  <wp:posOffset>272415</wp:posOffset>
                </wp:positionH>
                <wp:positionV relativeFrom="paragraph">
                  <wp:posOffset>-215414</wp:posOffset>
                </wp:positionV>
                <wp:extent cx="968343" cy="550142"/>
                <wp:effectExtent l="19050" t="0" r="3207" b="0"/>
                <wp:wrapNone/>
                <wp:docPr id="12" name="irc_mi" descr="http://au2011studyabroad.files.wordpress.com/2011/03/aim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u2011studyabroad.files.wordpress.com/2011/03/aims_logo.jpg"/>
                        <pic:cNvPicPr>
                          <a:picLocks noChangeAspect="1" noChangeArrowheads="1"/>
                        </pic:cNvPicPr>
                      </pic:nvPicPr>
                      <pic:blipFill rotWithShape="1">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968343" cy="5501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070D2" w:rsidRPr="00FC7A83" w:rsidRDefault="007070D2" w:rsidP="007070D2">
          <w:pPr>
            <w:ind w:left="2160"/>
            <w:rPr>
              <w:rFonts w:ascii="Arial Narrow" w:hAnsi="Arial Narrow" w:cs="Arial"/>
              <w:b/>
              <w:color w:val="000000" w:themeColor="text1"/>
              <w:sz w:val="32"/>
              <w:szCs w:val="32"/>
            </w:rPr>
          </w:pPr>
          <w:r w:rsidRPr="00FC7A83">
            <w:rPr>
              <w:rFonts w:ascii="Arial Narrow" w:hAnsi="Arial Narrow" w:cs="Arial"/>
              <w:b/>
              <w:color w:val="000000" w:themeColor="text1"/>
              <w:sz w:val="32"/>
              <w:szCs w:val="32"/>
            </w:rPr>
            <w:t>Australian Institute of Marine Science</w:t>
          </w:r>
        </w:p>
        <w:p w:rsidR="007070D2" w:rsidRPr="00EE7F9F" w:rsidRDefault="007070D2" w:rsidP="007070D2">
          <w:pPr>
            <w:spacing w:before="240" w:after="120"/>
            <w:rPr>
              <w:rFonts w:asciiTheme="majorHAnsi" w:hAnsiTheme="majorHAnsi"/>
              <w:b/>
              <w:i/>
              <w:caps/>
              <w:color w:val="365F91" w:themeColor="accent1" w:themeShade="BF"/>
              <w:sz w:val="28"/>
              <w:szCs w:val="20"/>
              <w:lang w:val="en-US"/>
            </w:rPr>
          </w:pPr>
        </w:p>
        <w:p w:rsidR="007070D2" w:rsidRPr="00FC7A83" w:rsidRDefault="007070D2" w:rsidP="007070D2">
          <w:pPr>
            <w:spacing w:before="240" w:after="120"/>
            <w:rPr>
              <w:rFonts w:ascii="Arial Narrow" w:hAnsi="Arial Narrow" w:cs="Arial"/>
              <w:b/>
              <w:caps/>
              <w:color w:val="365F91" w:themeColor="accent1" w:themeShade="BF"/>
              <w:sz w:val="28"/>
              <w:szCs w:val="20"/>
            </w:rPr>
          </w:pPr>
          <w:r w:rsidRPr="00FC7A83">
            <w:rPr>
              <w:rFonts w:ascii="Arial Narrow" w:hAnsi="Arial Narrow" w:cs="Arial"/>
              <w:b/>
              <w:caps/>
              <w:color w:val="365F91" w:themeColor="accent1" w:themeShade="BF"/>
              <w:sz w:val="36"/>
              <w:szCs w:val="36"/>
              <w:lang w:val="en-US"/>
            </w:rPr>
            <w:t>Integrated monitoring, modelling and management of the GREAT BARRIER REEF WORLD HERITAGE AREA – demonstration case for THE MACKAY REGION</w:t>
          </w:r>
        </w:p>
        <w:p w:rsidR="007070D2" w:rsidRPr="00EE7F9F" w:rsidRDefault="00FB3343" w:rsidP="007070D2">
          <w:pPr>
            <w:spacing w:before="240" w:after="120"/>
            <w:jc w:val="right"/>
            <w:rPr>
              <w:rFonts w:asciiTheme="majorHAnsi" w:hAnsiTheme="majorHAnsi"/>
              <w:b/>
              <w:i/>
              <w:caps/>
              <w:color w:val="365F91" w:themeColor="accent1" w:themeShade="BF"/>
              <w:sz w:val="28"/>
              <w:szCs w:val="20"/>
            </w:rPr>
          </w:pPr>
          <w:r>
            <w:rPr>
              <w:rFonts w:asciiTheme="majorHAnsi" w:hAnsiTheme="majorHAnsi"/>
              <w:b/>
              <w:i/>
              <w:caps/>
              <w:noProof/>
              <w:color w:val="365F91" w:themeColor="accent1" w:themeShade="BF"/>
              <w:sz w:val="28"/>
              <w:szCs w:val="20"/>
              <w:lang w:eastAsia="en-AU"/>
            </w:rPr>
            <w:pict>
              <v:line id="Straight Connector 79" o:spid="_x0000_s1026" style="position:absolute;left:0;text-align:left;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23.95pt" to="442.3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" strokecolor="#4f81bd [3204]" strokeweight="2pt">
                <v:shadow on="t" color="black" opacity="24903f" origin=",.5" offset="0,.55556mm"/>
              </v:line>
            </w:pict>
          </w:r>
        </w:p>
        <w:p w:rsidR="007070D2" w:rsidRPr="00EE7F9F" w:rsidRDefault="007070D2" w:rsidP="007070D2">
          <w:pPr>
            <w:jc w:val="right"/>
            <w:rPr>
              <w:rFonts w:ascii="Arial" w:hAnsi="Arial" w:cs="Arial"/>
              <w:i/>
              <w:color w:val="000000" w:themeColor="text1"/>
              <w:sz w:val="28"/>
            </w:rPr>
          </w:pPr>
        </w:p>
        <w:p w:rsidR="005D7F01" w:rsidRDefault="005D7F01" w:rsidP="005D7F01">
          <w:pPr>
            <w:rPr>
              <w:rFonts w:ascii="Arial" w:hAnsi="Arial" w:cs="Arial"/>
              <w:i/>
              <w:color w:val="000000" w:themeColor="text1"/>
              <w:sz w:val="28"/>
            </w:rPr>
          </w:pPr>
          <w:r w:rsidRPr="00EE7F9F">
            <w:rPr>
              <w:rFonts w:ascii="Arial" w:hAnsi="Arial" w:cs="Arial"/>
              <w:i/>
              <w:color w:val="000000" w:themeColor="text1"/>
              <w:sz w:val="28"/>
            </w:rPr>
            <w:t xml:space="preserve">Terry </w:t>
          </w:r>
          <w:proofErr w:type="spellStart"/>
          <w:r w:rsidRPr="00EE7F9F">
            <w:rPr>
              <w:rFonts w:ascii="Arial" w:hAnsi="Arial" w:cs="Arial"/>
              <w:i/>
              <w:color w:val="000000" w:themeColor="text1"/>
              <w:sz w:val="28"/>
            </w:rPr>
            <w:t>Walshe</w:t>
          </w:r>
          <w:proofErr w:type="spellEnd"/>
          <w:r w:rsidRPr="00EE7F9F">
            <w:rPr>
              <w:rFonts w:ascii="Arial" w:hAnsi="Arial" w:cs="Arial"/>
              <w:i/>
              <w:color w:val="000000" w:themeColor="text1"/>
              <w:sz w:val="28"/>
            </w:rPr>
            <w:t xml:space="preserve">, Aaron </w:t>
          </w:r>
          <w:proofErr w:type="spellStart"/>
          <w:r w:rsidRPr="00EE7F9F">
            <w:rPr>
              <w:rFonts w:ascii="Arial" w:hAnsi="Arial" w:cs="Arial"/>
              <w:i/>
              <w:color w:val="000000" w:themeColor="text1"/>
              <w:sz w:val="28"/>
            </w:rPr>
            <w:t>MacNeil</w:t>
          </w:r>
          <w:proofErr w:type="spellEnd"/>
          <w:r w:rsidRPr="00EE7F9F">
            <w:rPr>
              <w:rFonts w:ascii="Arial" w:hAnsi="Arial" w:cs="Arial"/>
              <w:i/>
              <w:color w:val="000000" w:themeColor="text1"/>
              <w:sz w:val="28"/>
            </w:rPr>
            <w:t xml:space="preserve">, </w:t>
          </w:r>
          <w:proofErr w:type="spellStart"/>
          <w:r w:rsidRPr="00EE7F9F">
            <w:rPr>
              <w:rFonts w:ascii="Arial" w:hAnsi="Arial" w:cs="Arial"/>
              <w:i/>
              <w:color w:val="000000" w:themeColor="text1"/>
              <w:sz w:val="28"/>
            </w:rPr>
            <w:t>Ainsley</w:t>
          </w:r>
          <w:proofErr w:type="spellEnd"/>
          <w:r w:rsidRPr="00EE7F9F">
            <w:rPr>
              <w:rFonts w:ascii="Arial" w:hAnsi="Arial" w:cs="Arial"/>
              <w:i/>
              <w:color w:val="000000" w:themeColor="text1"/>
              <w:sz w:val="28"/>
            </w:rPr>
            <w:t xml:space="preserve"> Archer, Hugh </w:t>
          </w:r>
          <w:proofErr w:type="spellStart"/>
          <w:r w:rsidRPr="00EE7F9F">
            <w:rPr>
              <w:rFonts w:ascii="Arial" w:hAnsi="Arial" w:cs="Arial"/>
              <w:i/>
              <w:color w:val="000000" w:themeColor="text1"/>
              <w:sz w:val="28"/>
            </w:rPr>
            <w:t>Sweatman</w:t>
          </w:r>
          <w:proofErr w:type="spellEnd"/>
          <w:r w:rsidRPr="00EE7F9F">
            <w:rPr>
              <w:rFonts w:ascii="Arial" w:hAnsi="Arial" w:cs="Arial"/>
              <w:i/>
              <w:color w:val="000000" w:themeColor="text1"/>
              <w:sz w:val="28"/>
            </w:rPr>
            <w:t xml:space="preserve">, Eric </w:t>
          </w:r>
          <w:proofErr w:type="spellStart"/>
          <w:r w:rsidRPr="00EE7F9F">
            <w:rPr>
              <w:rFonts w:ascii="Arial" w:hAnsi="Arial" w:cs="Arial"/>
              <w:i/>
              <w:color w:val="000000" w:themeColor="text1"/>
              <w:sz w:val="28"/>
            </w:rPr>
            <w:t>Lawrey</w:t>
          </w:r>
          <w:proofErr w:type="spellEnd"/>
          <w:r w:rsidRPr="00EE7F9F">
            <w:rPr>
              <w:rFonts w:ascii="Arial" w:hAnsi="Arial" w:cs="Arial"/>
              <w:i/>
              <w:color w:val="000000" w:themeColor="text1"/>
              <w:sz w:val="28"/>
            </w:rPr>
            <w:t>, Line Bay</w:t>
          </w:r>
          <w:r w:rsidR="000F3E85" w:rsidRPr="00EE7F9F">
            <w:rPr>
              <w:rFonts w:ascii="Arial" w:hAnsi="Arial" w:cs="Arial"/>
              <w:i/>
              <w:color w:val="000000" w:themeColor="text1"/>
              <w:sz w:val="28"/>
            </w:rPr>
            <w:t>, Prue Addison</w:t>
          </w:r>
          <w:r w:rsidRPr="00EE7F9F">
            <w:rPr>
              <w:rFonts w:ascii="Arial" w:hAnsi="Arial" w:cs="Arial"/>
              <w:i/>
              <w:color w:val="000000" w:themeColor="text1"/>
              <w:sz w:val="28"/>
            </w:rPr>
            <w:t xml:space="preserve"> and Ken Anthony.</w:t>
          </w:r>
        </w:p>
        <w:p w:rsidR="00FC7A83" w:rsidRPr="00EE7F9F" w:rsidRDefault="00FC7A83" w:rsidP="005D7F01">
          <w:pPr>
            <w:rPr>
              <w:rFonts w:ascii="Arial" w:hAnsi="Arial" w:cs="Arial"/>
              <w:i/>
              <w:color w:val="000000" w:themeColor="text1"/>
              <w:sz w:val="28"/>
            </w:rPr>
          </w:pPr>
        </w:p>
        <w:p w:rsidR="007070D2" w:rsidRPr="00EE7F9F" w:rsidRDefault="005D7F01" w:rsidP="00FC7A83">
          <w:pPr>
            <w:spacing w:after="0"/>
            <w:rPr>
              <w:rFonts w:ascii="Arial" w:hAnsi="Arial" w:cs="Arial"/>
              <w:i/>
              <w:color w:val="000000" w:themeColor="text1"/>
              <w:sz w:val="28"/>
            </w:rPr>
          </w:pPr>
          <w:r w:rsidRPr="00EE7F9F">
            <w:rPr>
              <w:rFonts w:ascii="Arial" w:hAnsi="Arial" w:cs="Arial"/>
              <w:i/>
              <w:color w:val="000000" w:themeColor="text1"/>
              <w:sz w:val="28"/>
            </w:rPr>
            <w:t xml:space="preserve">Final </w:t>
          </w:r>
          <w:r w:rsidR="007070D2" w:rsidRPr="00EE7F9F">
            <w:rPr>
              <w:rFonts w:ascii="Arial" w:hAnsi="Arial" w:cs="Arial"/>
              <w:i/>
              <w:color w:val="000000" w:themeColor="text1"/>
              <w:sz w:val="28"/>
            </w:rPr>
            <w:t>Report to the Department of the Environment</w:t>
          </w:r>
        </w:p>
        <w:p w:rsidR="007070D2" w:rsidRPr="00EE7F9F" w:rsidRDefault="005D7F01" w:rsidP="00FC7A83">
          <w:pPr>
            <w:rPr>
              <w:rFonts w:ascii="Arial" w:hAnsi="Arial" w:cs="Arial"/>
              <w:i/>
              <w:color w:val="000000" w:themeColor="text1"/>
              <w:sz w:val="28"/>
            </w:rPr>
          </w:pPr>
          <w:r w:rsidRPr="00EE7F9F">
            <w:rPr>
              <w:rFonts w:ascii="Arial" w:hAnsi="Arial" w:cs="Arial"/>
              <w:i/>
              <w:color w:val="000000" w:themeColor="text1"/>
              <w:sz w:val="28"/>
            </w:rPr>
            <w:t xml:space="preserve">December </w:t>
          </w:r>
          <w:r w:rsidR="007070D2" w:rsidRPr="00EE7F9F">
            <w:rPr>
              <w:rFonts w:ascii="Arial" w:hAnsi="Arial" w:cs="Arial"/>
              <w:i/>
              <w:color w:val="000000" w:themeColor="text1"/>
              <w:sz w:val="28"/>
            </w:rPr>
            <w:t>2014</w:t>
          </w:r>
        </w:p>
        <w:p w:rsidR="002B6E03" w:rsidRDefault="002B6E03" w:rsidP="007070D2">
          <w:pPr>
            <w:rPr>
              <w:rFonts w:ascii="Arial" w:hAnsi="Arial" w:cs="Arial"/>
              <w:i/>
              <w:color w:val="000000" w:themeColor="text1"/>
              <w:sz w:val="28"/>
            </w:rPr>
            <w:sectPr w:rsidR="002B6E03" w:rsidSect="00615C15">
              <w:footerReference w:type="default" r:id="rId11"/>
              <w:headerReference w:type="first" r:id="rId12"/>
              <w:footerReference w:type="first" r:id="rId13"/>
              <w:pgSz w:w="11906" w:h="16838"/>
              <w:pgMar w:top="1440" w:right="1274" w:bottom="1440" w:left="1440" w:header="708" w:footer="708" w:gutter="0"/>
              <w:pgNumType w:start="0"/>
              <w:cols w:space="708"/>
              <w:titlePg/>
              <w:docGrid w:linePitch="360"/>
            </w:sectPr>
          </w:pPr>
        </w:p>
        <w:p w:rsidR="00EE7F9F" w:rsidRPr="00EE7F9F" w:rsidRDefault="007070D2" w:rsidP="00EE7F9F">
          <w:pPr>
            <w:pStyle w:val="Heading1"/>
            <w:spacing w:after="120"/>
          </w:pPr>
          <w:bookmarkStart w:id="0" w:name="_Toc399352487"/>
          <w:bookmarkStart w:id="1" w:name="_Toc406768036"/>
          <w:r w:rsidRPr="00EE7F9F">
            <w:lastRenderedPageBreak/>
            <w:t>Executive Summary</w:t>
          </w:r>
          <w:bookmarkEnd w:id="0"/>
          <w:bookmarkEnd w:id="1"/>
        </w:p>
        <w:p w:rsidR="007070D2" w:rsidRPr="00EE7F9F" w:rsidRDefault="007070D2" w:rsidP="00ED617D">
          <w:pPr>
            <w:rPr>
              <w:rFonts w:cs="Arial"/>
            </w:rPr>
          </w:pPr>
          <w:r w:rsidRPr="00EE7F9F">
            <w:rPr>
              <w:rFonts w:cs="Arial"/>
            </w:rPr>
            <w:t xml:space="preserve">This </w:t>
          </w:r>
          <w:r w:rsidR="005D161D" w:rsidRPr="00EE7F9F">
            <w:rPr>
              <w:rFonts w:cs="Arial"/>
            </w:rPr>
            <w:t>report</w:t>
          </w:r>
          <w:r w:rsidRPr="00EE7F9F">
            <w:rPr>
              <w:rFonts w:cs="Arial"/>
            </w:rPr>
            <w:t xml:space="preserve"> has been developed as a partnership between the </w:t>
          </w:r>
          <w:r w:rsidR="00726370">
            <w:rPr>
              <w:rFonts w:cs="Arial"/>
            </w:rPr>
            <w:t>Great Barrier R</w:t>
          </w:r>
          <w:r w:rsidR="00F80C7E">
            <w:rPr>
              <w:rFonts w:cs="Arial"/>
            </w:rPr>
            <w:t>eef Taskforce</w:t>
          </w:r>
          <w:r w:rsidRPr="00EE7F9F">
            <w:rPr>
              <w:rFonts w:cs="Arial"/>
            </w:rPr>
            <w:t xml:space="preserve"> (</w:t>
          </w:r>
          <w:r w:rsidR="00F80C7E">
            <w:rPr>
              <w:rFonts w:cs="Arial"/>
            </w:rPr>
            <w:t>Commonwealth Department of the Environment</w:t>
          </w:r>
          <w:r w:rsidRPr="00EE7F9F">
            <w:rPr>
              <w:rFonts w:cs="Arial"/>
            </w:rPr>
            <w:t xml:space="preserve">) and AIMS. The purpose of the </w:t>
          </w:r>
          <w:r w:rsidR="00C7613D" w:rsidRPr="00EE7F9F">
            <w:rPr>
              <w:rFonts w:cs="Arial"/>
            </w:rPr>
            <w:t>report</w:t>
          </w:r>
          <w:r w:rsidRPr="00EE7F9F">
            <w:rPr>
              <w:rFonts w:cs="Arial"/>
            </w:rPr>
            <w:t xml:space="preserve"> is to progress plans for an integrated monitoring program </w:t>
          </w:r>
          <w:r w:rsidR="00B12760" w:rsidRPr="00EE7F9F">
            <w:rPr>
              <w:rFonts w:cs="Arial"/>
            </w:rPr>
            <w:t xml:space="preserve">(IMP) </w:t>
          </w:r>
          <w:r w:rsidRPr="00EE7F9F">
            <w:rPr>
              <w:rFonts w:cs="Arial"/>
            </w:rPr>
            <w:t xml:space="preserve">for the GBRWHA, specifically demonstrating use of integrated monitoring principles and how different operational elements of monitoring, modelling and adaptive management are linked. The motivation for the </w:t>
          </w:r>
          <w:r w:rsidR="00C7613D" w:rsidRPr="00EE7F9F">
            <w:rPr>
              <w:rFonts w:cs="Arial"/>
            </w:rPr>
            <w:t>report</w:t>
          </w:r>
          <w:r w:rsidRPr="00EE7F9F">
            <w:rPr>
              <w:rFonts w:cs="Arial"/>
            </w:rPr>
            <w:t xml:space="preserve"> comes partly from Regional Sustainability Projects (RSP5 and RSP6) supporting GBRMPA’s stra</w:t>
          </w:r>
          <w:r w:rsidR="00B12760" w:rsidRPr="00EE7F9F">
            <w:rPr>
              <w:rFonts w:cs="Arial"/>
            </w:rPr>
            <w:t>tegic assessment for the GBRWHA,</w:t>
          </w:r>
          <w:r w:rsidRPr="00EE7F9F">
            <w:rPr>
              <w:rFonts w:cs="Arial"/>
            </w:rPr>
            <w:t xml:space="preserve"> and more recently from the Long-Term Sustainability Plan for the Great Barrier Reef (LTSP2050)</w:t>
          </w:r>
          <w:r w:rsidR="002C0526" w:rsidRPr="00EE7F9F">
            <w:rPr>
              <w:rFonts w:cs="Arial"/>
            </w:rPr>
            <w:t xml:space="preserve">. </w:t>
          </w:r>
        </w:p>
        <w:p w:rsidR="007070D2" w:rsidRPr="00EE7F9F" w:rsidRDefault="007070D2" w:rsidP="007070D2">
          <w:pPr>
            <w:rPr>
              <w:lang w:val="en-US"/>
            </w:rPr>
          </w:pPr>
          <w:r w:rsidRPr="00EE7F9F">
            <w:rPr>
              <w:lang w:val="en-US"/>
            </w:rPr>
            <w:t>The LTSP2050 asserts the Commonwealth and Queensland government’s commitment to the GB</w:t>
          </w:r>
          <w:r w:rsidR="00726370">
            <w:rPr>
              <w:lang w:val="en-US"/>
            </w:rPr>
            <w:t>R’s Outstanding Universal Value</w:t>
          </w:r>
          <w:r w:rsidR="007324C0">
            <w:rPr>
              <w:lang w:val="en-US"/>
            </w:rPr>
            <w:t xml:space="preserve"> (OUV)</w:t>
          </w:r>
          <w:r w:rsidRPr="00EE7F9F">
            <w:rPr>
              <w:lang w:val="en-US"/>
            </w:rPr>
            <w:t xml:space="preserve"> and continuous improvement. </w:t>
          </w:r>
          <w:r w:rsidR="00B12760" w:rsidRPr="00EE7F9F">
            <w:rPr>
              <w:lang w:val="en-US"/>
            </w:rPr>
            <w:t xml:space="preserve"> </w:t>
          </w:r>
          <w:r w:rsidRPr="00EE7F9F">
            <w:rPr>
              <w:lang w:val="en-US"/>
            </w:rPr>
            <w:t xml:space="preserve">The validity of this assertion rests on demonstrated performance against specified targets </w:t>
          </w:r>
          <w:r w:rsidR="00B12760" w:rsidRPr="00EE7F9F">
            <w:rPr>
              <w:lang w:val="en-US"/>
            </w:rPr>
            <w:t xml:space="preserve">for ecosystem health. </w:t>
          </w:r>
          <w:r w:rsidRPr="00EE7F9F">
            <w:rPr>
              <w:lang w:val="en-US"/>
            </w:rPr>
            <w:t xml:space="preserve">This </w:t>
          </w:r>
          <w:r w:rsidR="00C7613D" w:rsidRPr="00EE7F9F">
            <w:rPr>
              <w:lang w:val="en-US"/>
            </w:rPr>
            <w:t>report</w:t>
          </w:r>
          <w:r w:rsidRPr="00EE7F9F">
            <w:rPr>
              <w:lang w:val="en-US"/>
            </w:rPr>
            <w:t xml:space="preserve"> provides guidance on how data gathered in monitoring can be </w:t>
          </w:r>
          <w:proofErr w:type="spellStart"/>
          <w:r w:rsidRPr="00EE7F9F">
            <w:rPr>
              <w:lang w:val="en-US"/>
            </w:rPr>
            <w:t>analysed</w:t>
          </w:r>
          <w:proofErr w:type="spellEnd"/>
          <w:r w:rsidRPr="00EE7F9F">
            <w:rPr>
              <w:lang w:val="en-US"/>
            </w:rPr>
            <w:t xml:space="preserve"> and communicated in a way that is accessible to managers and stakeholders.  Its central objective is to facilitate </w:t>
          </w:r>
          <w:r w:rsidR="00306CBF">
            <w:rPr>
              <w:lang w:val="en-US"/>
            </w:rPr>
            <w:t xml:space="preserve">informed allocation of management and monitoring resources associated with </w:t>
          </w:r>
          <w:r w:rsidRPr="00EE7F9F">
            <w:rPr>
              <w:lang w:val="en-US"/>
            </w:rPr>
            <w:t>evidence-</w:t>
          </w:r>
          <w:r w:rsidR="002C0526" w:rsidRPr="00EE7F9F">
            <w:rPr>
              <w:lang w:val="en-US"/>
            </w:rPr>
            <w:t>based tracking</w:t>
          </w:r>
          <w:r w:rsidRPr="00EE7F9F">
            <w:rPr>
              <w:lang w:val="en-US"/>
            </w:rPr>
            <w:t xml:space="preserve"> </w:t>
          </w:r>
          <w:r w:rsidR="00B12760" w:rsidRPr="00EE7F9F">
            <w:rPr>
              <w:lang w:val="en-US"/>
            </w:rPr>
            <w:t>of progress made against</w:t>
          </w:r>
          <w:r w:rsidRPr="00EE7F9F">
            <w:rPr>
              <w:lang w:val="en-US"/>
            </w:rPr>
            <w:t xml:space="preserve"> LTSP2050 targets. </w:t>
          </w:r>
        </w:p>
        <w:p w:rsidR="00B12760" w:rsidRPr="00EE7F9F" w:rsidRDefault="007070D2" w:rsidP="007070D2">
          <w:pPr>
            <w:rPr>
              <w:lang w:val="en-US"/>
            </w:rPr>
          </w:pPr>
          <w:r w:rsidRPr="00EE7F9F">
            <w:rPr>
              <w:lang w:val="en-US"/>
            </w:rPr>
            <w:t xml:space="preserve">This </w:t>
          </w:r>
          <w:r w:rsidR="00C7613D" w:rsidRPr="00EE7F9F">
            <w:rPr>
              <w:lang w:val="en-US"/>
            </w:rPr>
            <w:t xml:space="preserve">report </w:t>
          </w:r>
          <w:r w:rsidR="00726370" w:rsidRPr="00EE7F9F">
            <w:rPr>
              <w:lang w:val="en-US"/>
            </w:rPr>
            <w:t>focus</w:t>
          </w:r>
          <w:r w:rsidR="00726370">
            <w:rPr>
              <w:lang w:val="en-US"/>
            </w:rPr>
            <w:t>es</w:t>
          </w:r>
          <w:r w:rsidR="00726370" w:rsidRPr="00EE7F9F">
            <w:rPr>
              <w:lang w:val="en-US"/>
            </w:rPr>
            <w:t xml:space="preserve"> on a subsection of the GBRWHA</w:t>
          </w:r>
          <w:r w:rsidR="00726370">
            <w:rPr>
              <w:lang w:val="en-US"/>
            </w:rPr>
            <w:t xml:space="preserve"> - </w:t>
          </w:r>
          <w:r w:rsidR="000945AA">
            <w:rPr>
              <w:lang w:val="en-US"/>
            </w:rPr>
            <w:t>the Mackay/Whitsunday R</w:t>
          </w:r>
          <w:r w:rsidR="00726370" w:rsidRPr="00EE7F9F">
            <w:rPr>
              <w:lang w:val="en-US"/>
            </w:rPr>
            <w:t>egion</w:t>
          </w:r>
          <w:r w:rsidR="00726370">
            <w:rPr>
              <w:lang w:val="en-US"/>
            </w:rPr>
            <w:t xml:space="preserve"> - to illustrate key element</w:t>
          </w:r>
          <w:r w:rsidR="007324C0">
            <w:rPr>
              <w:lang w:val="en-US"/>
            </w:rPr>
            <w:t>s</w:t>
          </w:r>
          <w:r w:rsidR="00726370">
            <w:rPr>
              <w:lang w:val="en-US"/>
            </w:rPr>
            <w:t xml:space="preserve"> of</w:t>
          </w:r>
          <w:r w:rsidR="00726370" w:rsidRPr="00EE7F9F">
            <w:rPr>
              <w:lang w:val="en-US"/>
            </w:rPr>
            <w:t xml:space="preserve"> </w:t>
          </w:r>
          <w:r w:rsidRPr="00EE7F9F">
            <w:rPr>
              <w:lang w:val="en-US"/>
            </w:rPr>
            <w:t>integrated monitoring.</w:t>
          </w:r>
          <w:r w:rsidR="00B12760" w:rsidRPr="00EE7F9F">
            <w:rPr>
              <w:lang w:val="en-US"/>
            </w:rPr>
            <w:t xml:space="preserve"> This region encompasses issues encountered more broadly throughout the GBR, including </w:t>
          </w:r>
          <w:r w:rsidR="002C0526" w:rsidRPr="00EE7F9F">
            <w:rPr>
              <w:lang w:val="en-US"/>
            </w:rPr>
            <w:t>exposure</w:t>
          </w:r>
          <w:r w:rsidR="00B12760" w:rsidRPr="00EE7F9F">
            <w:rPr>
              <w:lang w:val="en-US"/>
            </w:rPr>
            <w:t xml:space="preserve"> to risks posed by agriculture and ports and shipping, as well as social tension between those that seek a stronger and more diversified economic base for the region and those looking to protect</w:t>
          </w:r>
          <w:r w:rsidR="003734CF" w:rsidRPr="00EE7F9F">
            <w:rPr>
              <w:lang w:val="en-US"/>
            </w:rPr>
            <w:t xml:space="preserve"> conservation and</w:t>
          </w:r>
          <w:r w:rsidR="00B12760" w:rsidRPr="00EE7F9F">
            <w:rPr>
              <w:lang w:val="en-US"/>
            </w:rPr>
            <w:t xml:space="preserve"> lifestyle values</w:t>
          </w:r>
          <w:r w:rsidR="00306CBF">
            <w:rPr>
              <w:lang w:val="en-US"/>
            </w:rPr>
            <w:t>,</w:t>
          </w:r>
          <w:r w:rsidR="00B12760" w:rsidRPr="00EE7F9F">
            <w:rPr>
              <w:lang w:val="en-US"/>
            </w:rPr>
            <w:t xml:space="preserve"> and tourism.</w:t>
          </w:r>
        </w:p>
        <w:p w:rsidR="007070D2" w:rsidRPr="00EE7F9F" w:rsidRDefault="007070D2" w:rsidP="007070D2">
          <w:pPr>
            <w:spacing w:after="0"/>
            <w:rPr>
              <w:rFonts w:cs="Arial"/>
            </w:rPr>
          </w:pPr>
          <w:r w:rsidRPr="00EE7F9F">
            <w:rPr>
              <w:rFonts w:cs="Arial"/>
            </w:rPr>
            <w:t xml:space="preserve">The report is structured </w:t>
          </w:r>
          <w:r w:rsidR="00B12760" w:rsidRPr="00EE7F9F">
            <w:rPr>
              <w:rFonts w:cs="Arial"/>
            </w:rPr>
            <w:t xml:space="preserve">around the building blocks of an </w:t>
          </w:r>
          <w:r w:rsidR="002C0526" w:rsidRPr="00EE7F9F">
            <w:rPr>
              <w:rFonts w:cs="Arial"/>
            </w:rPr>
            <w:t>IMP:</w:t>
          </w:r>
        </w:p>
        <w:p w:rsidR="007070D2" w:rsidRPr="00EE7F9F" w:rsidRDefault="007070D2" w:rsidP="00C0513B">
          <w:pPr>
            <w:pStyle w:val="ListParagraph"/>
            <w:numPr>
              <w:ilvl w:val="0"/>
              <w:numId w:val="7"/>
            </w:numPr>
            <w:rPr>
              <w:rFonts w:cs="Arial"/>
            </w:rPr>
          </w:pPr>
          <w:r w:rsidRPr="00EE7F9F">
            <w:rPr>
              <w:rFonts w:cs="Arial"/>
            </w:rPr>
            <w:t>Analysis and integration of datasets (section3)</w:t>
          </w:r>
        </w:p>
        <w:p w:rsidR="007070D2" w:rsidRPr="00EE7F9F" w:rsidRDefault="007070D2" w:rsidP="00C0513B">
          <w:pPr>
            <w:pStyle w:val="ListParagraph"/>
            <w:numPr>
              <w:ilvl w:val="0"/>
              <w:numId w:val="7"/>
            </w:numPr>
            <w:rPr>
              <w:rFonts w:cs="Arial"/>
            </w:rPr>
          </w:pPr>
          <w:r w:rsidRPr="00EE7F9F">
            <w:rPr>
              <w:rFonts w:cs="Arial"/>
            </w:rPr>
            <w:t>Integrating models with data (section 4)</w:t>
          </w:r>
        </w:p>
        <w:p w:rsidR="007070D2" w:rsidRPr="00EE7F9F" w:rsidRDefault="007070D2" w:rsidP="00C0513B">
          <w:pPr>
            <w:pStyle w:val="ListParagraph"/>
            <w:numPr>
              <w:ilvl w:val="0"/>
              <w:numId w:val="7"/>
            </w:numPr>
            <w:rPr>
              <w:rFonts w:cs="Arial"/>
            </w:rPr>
          </w:pPr>
          <w:r w:rsidRPr="00EE7F9F">
            <w:rPr>
              <w:rFonts w:cs="Arial"/>
            </w:rPr>
            <w:t>Integrating social and economic elements (section 5)</w:t>
          </w:r>
        </w:p>
        <w:p w:rsidR="007070D2" w:rsidRPr="00EE7F9F" w:rsidRDefault="007070D2" w:rsidP="00C0513B">
          <w:pPr>
            <w:pStyle w:val="ListParagraph"/>
            <w:numPr>
              <w:ilvl w:val="0"/>
              <w:numId w:val="7"/>
            </w:numPr>
            <w:rPr>
              <w:rFonts w:cs="Arial"/>
            </w:rPr>
          </w:pPr>
          <w:r w:rsidRPr="00EE7F9F">
            <w:rPr>
              <w:rFonts w:cs="Arial"/>
            </w:rPr>
            <w:t>Integrating data capture and reporting (section 6)</w:t>
          </w:r>
        </w:p>
        <w:p w:rsidR="00E01DA6" w:rsidRDefault="00E01DA6" w:rsidP="007070D2">
          <w:pPr>
            <w:rPr>
              <w:rFonts w:cs="Arial"/>
            </w:rPr>
          </w:pPr>
          <w:r>
            <w:rPr>
              <w:rFonts w:cs="Arial"/>
            </w:rPr>
            <w:t xml:space="preserve">We show how advances in statistical modelling can make better use of currently available data and disparate </w:t>
          </w:r>
          <w:r w:rsidR="004B0FD8">
            <w:rPr>
              <w:rFonts w:cs="Arial"/>
            </w:rPr>
            <w:t>datasets</w:t>
          </w:r>
          <w:r>
            <w:rPr>
              <w:rFonts w:cs="Arial"/>
            </w:rPr>
            <w:t xml:space="preserve">.  Specifically, we </w:t>
          </w:r>
          <w:r w:rsidR="004B0FD8">
            <w:rPr>
              <w:rFonts w:cs="Arial"/>
            </w:rPr>
            <w:t>demonstrate</w:t>
          </w:r>
          <w:r>
            <w:rPr>
              <w:rFonts w:cs="Arial"/>
            </w:rPr>
            <w:t xml:space="preserve"> gains in precision in spatially explicit estimates of water quality variables through integrati</w:t>
          </w:r>
          <w:r w:rsidR="004B0FD8">
            <w:rPr>
              <w:rFonts w:cs="Arial"/>
            </w:rPr>
            <w:t>on of multip</w:t>
          </w:r>
          <w:r>
            <w:rPr>
              <w:rFonts w:cs="Arial"/>
            </w:rPr>
            <w:t>le data sources via Gaussian Process models.</w:t>
          </w:r>
          <w:r w:rsidR="004B0FD8">
            <w:rPr>
              <w:rFonts w:cs="Arial"/>
            </w:rPr>
            <w:t xml:space="preserve"> Similarly, we illustrate use of </w:t>
          </w:r>
          <w:r w:rsidR="004B0FD8" w:rsidRPr="004B0FD8">
            <w:rPr>
              <w:rFonts w:cs="Arial"/>
            </w:rPr>
            <w:t>Bayesian Hierarchical Process models</w:t>
          </w:r>
          <w:r w:rsidR="004B0FD8">
            <w:rPr>
              <w:rFonts w:cs="Arial"/>
            </w:rPr>
            <w:t xml:space="preserve"> for spatially discrete habitats, including coral reefs. While these gains are non-trivial, considerable uncertainty remains in the characterisation of water quality and coral cover under current monitoring programs.</w:t>
          </w:r>
        </w:p>
        <w:p w:rsidR="00795925" w:rsidRDefault="007070D2" w:rsidP="007070D2">
          <w:pPr>
            <w:rPr>
              <w:rFonts w:cs="Arial"/>
            </w:rPr>
          </w:pPr>
          <w:r w:rsidRPr="00EE7F9F">
            <w:rPr>
              <w:rFonts w:cs="Arial"/>
            </w:rPr>
            <w:t>A core theme of this report is the trade-offs between the costs of false alarmism</w:t>
          </w:r>
          <w:r w:rsidR="00306CBF">
            <w:rPr>
              <w:rFonts w:cs="Arial"/>
            </w:rPr>
            <w:t xml:space="preserve"> (i.e. incorrectly asserting failure in achieving targets)</w:t>
          </w:r>
          <w:r w:rsidRPr="00EE7F9F">
            <w:rPr>
              <w:rFonts w:cs="Arial"/>
            </w:rPr>
            <w:t xml:space="preserve">, false sense of security </w:t>
          </w:r>
          <w:r w:rsidR="00306CBF">
            <w:rPr>
              <w:rFonts w:cs="Arial"/>
            </w:rPr>
            <w:t xml:space="preserve">(i.e. incorrectly asserting success) </w:t>
          </w:r>
          <w:r w:rsidRPr="00EE7F9F">
            <w:rPr>
              <w:rFonts w:cs="Arial"/>
            </w:rPr>
            <w:t xml:space="preserve">and the costs of monitoring.  These costs and trade-offs are difficult to characterise.  In the past, </w:t>
          </w:r>
          <w:r w:rsidR="00795925">
            <w:rPr>
              <w:rFonts w:cs="Arial"/>
            </w:rPr>
            <w:t xml:space="preserve">and in other settings, </w:t>
          </w:r>
          <w:r w:rsidR="00047A0E">
            <w:rPr>
              <w:rFonts w:cs="Arial"/>
            </w:rPr>
            <w:t xml:space="preserve">managers and scientists have often been overconfident in the capacity of skeletal </w:t>
          </w:r>
          <w:r w:rsidRPr="00EE7F9F">
            <w:rPr>
              <w:rFonts w:cs="Arial"/>
            </w:rPr>
            <w:t xml:space="preserve">monitoring programs </w:t>
          </w:r>
          <w:r w:rsidR="00047A0E">
            <w:rPr>
              <w:rFonts w:cs="Arial"/>
            </w:rPr>
            <w:t>to meaningfully inform management</w:t>
          </w:r>
          <w:r w:rsidRPr="00EE7F9F">
            <w:rPr>
              <w:rFonts w:cs="Arial"/>
            </w:rPr>
            <w:t xml:space="preserve">. </w:t>
          </w:r>
          <w:r w:rsidR="00047A0E">
            <w:rPr>
              <w:rFonts w:cs="Arial"/>
            </w:rPr>
            <w:t xml:space="preserve"> </w:t>
          </w:r>
          <w:r w:rsidR="00795925">
            <w:rPr>
              <w:rFonts w:cs="Arial"/>
            </w:rPr>
            <w:t xml:space="preserve">Many </w:t>
          </w:r>
          <w:r w:rsidR="005D1010">
            <w:rPr>
              <w:rFonts w:cs="Arial"/>
            </w:rPr>
            <w:t>attempts at adaptive management</w:t>
          </w:r>
          <w:r w:rsidR="00795925">
            <w:rPr>
              <w:rFonts w:cs="Arial"/>
            </w:rPr>
            <w:t xml:space="preserve"> have failed</w:t>
          </w:r>
          <w:r w:rsidR="00666230">
            <w:rPr>
              <w:rFonts w:cs="Arial"/>
            </w:rPr>
            <w:t xml:space="preserve">, in part because of this </w:t>
          </w:r>
          <w:r w:rsidR="00047A0E">
            <w:rPr>
              <w:rFonts w:cs="Arial"/>
            </w:rPr>
            <w:t>overconfidence</w:t>
          </w:r>
          <w:r w:rsidR="00795925">
            <w:rPr>
              <w:rFonts w:cs="Arial"/>
            </w:rPr>
            <w:t xml:space="preserve">. </w:t>
          </w:r>
          <w:r w:rsidRPr="00EE7F9F">
            <w:rPr>
              <w:rFonts w:cs="Arial"/>
            </w:rPr>
            <w:t xml:space="preserve">This report takes the view that </w:t>
          </w:r>
          <w:r w:rsidR="00666230">
            <w:rPr>
              <w:rFonts w:cs="Arial"/>
            </w:rPr>
            <w:t>design</w:t>
          </w:r>
          <w:r w:rsidRPr="00EE7F9F">
            <w:rPr>
              <w:rFonts w:cs="Arial"/>
            </w:rPr>
            <w:t xml:space="preserve"> specifications are </w:t>
          </w:r>
          <w:r w:rsidR="00B12760" w:rsidRPr="00EE7F9F">
            <w:rPr>
              <w:rFonts w:cs="Arial"/>
            </w:rPr>
            <w:t>difficult to articulate from the outset</w:t>
          </w:r>
          <w:r w:rsidRPr="00EE7F9F">
            <w:rPr>
              <w:rFonts w:cs="Arial"/>
            </w:rPr>
            <w:t>. Instead, we outline an approach that uses structured decision-making to estimate the merit of monitoring alternatives. We show how this approach can be used to (a) adaptively manage, and (b) adaptively monitor.</w:t>
          </w:r>
        </w:p>
        <w:p w:rsidR="00795925" w:rsidRDefault="002039E1" w:rsidP="00795925">
          <w:pPr>
            <w:rPr>
              <w:lang w:val="en-US"/>
            </w:rPr>
          </w:pPr>
          <w:r>
            <w:rPr>
              <w:lang w:val="en-US"/>
            </w:rPr>
            <w:lastRenderedPageBreak/>
            <w:t>We recommend</w:t>
          </w:r>
          <w:r w:rsidR="00795925" w:rsidRPr="001E5A2B">
            <w:rPr>
              <w:lang w:val="en-US"/>
            </w:rPr>
            <w:t xml:space="preserve"> coherent integration of models and monitoring data to inform adaptive management of the GBR in the context of the LTSP2050</w:t>
          </w:r>
          <w:r w:rsidR="00795925">
            <w:rPr>
              <w:lang w:val="en-US"/>
            </w:rPr>
            <w:t xml:space="preserve">. </w:t>
          </w:r>
          <w:r w:rsidR="00047A0E">
            <w:rPr>
              <w:lang w:val="en-US"/>
            </w:rPr>
            <w:t>A key</w:t>
          </w:r>
          <w:r w:rsidR="00795925" w:rsidRPr="001E5A2B">
            <w:t xml:space="preserve"> role of monitoring </w:t>
          </w:r>
          <w:r w:rsidR="00306CBF">
            <w:t xml:space="preserve">against targets </w:t>
          </w:r>
          <w:r w:rsidR="00795925" w:rsidRPr="001E5A2B">
            <w:t xml:space="preserve">is to test the validity of assertions regarding </w:t>
          </w:r>
          <w:r w:rsidR="00F35973">
            <w:t>management effectiveness</w:t>
          </w:r>
          <w:r w:rsidR="00795925" w:rsidRPr="001E5A2B">
            <w:t xml:space="preserve"> tha</w:t>
          </w:r>
          <w:r w:rsidR="00F35973">
            <w:t>t are implicitly embedded in</w:t>
          </w:r>
          <w:r w:rsidR="00795925" w:rsidRPr="001E5A2B">
            <w:t xml:space="preserve"> polic</w:t>
          </w:r>
          <w:r w:rsidR="00F35973">
            <w:t>ies and procedures</w:t>
          </w:r>
          <w:r w:rsidR="00795925" w:rsidRPr="001E5A2B">
            <w:t xml:space="preserve">. Conceptually, the requirement to undertake rigorous and intensive monitoring </w:t>
          </w:r>
          <w:r w:rsidR="00795925">
            <w:t xml:space="preserve">is </w:t>
          </w:r>
          <w:r w:rsidR="00795925" w:rsidRPr="001E5A2B">
            <w:t xml:space="preserve">proportional to the extent to which </w:t>
          </w:r>
          <w:r w:rsidR="00795925">
            <w:t>OUV and other values are exposed to risk</w:t>
          </w:r>
          <w:r w:rsidR="00795925" w:rsidRPr="001E5A2B">
            <w:t xml:space="preserve">.  A risk-averse or precautionary approach </w:t>
          </w:r>
          <w:r>
            <w:t xml:space="preserve">to management and approvals </w:t>
          </w:r>
          <w:r w:rsidR="00795925" w:rsidRPr="001E5A2B">
            <w:t>implies low likelihood of a negative impact, and investment in monitoring may be a lesser imperative.</w:t>
          </w:r>
          <w:r w:rsidR="00795925">
            <w:t xml:space="preserve">  Where risks are high, greater insurance against harm can be ‘purchased’ through greater investment in monitoring. </w:t>
          </w:r>
          <w:bookmarkStart w:id="2" w:name="_GoBack"/>
          <w:bookmarkEnd w:id="2"/>
        </w:p>
        <w:p w:rsidR="00795925" w:rsidRPr="00462578" w:rsidRDefault="00795925" w:rsidP="00795925">
          <w:pPr>
            <w:rPr>
              <w:lang w:val="en-US"/>
            </w:rPr>
          </w:pPr>
          <w:r w:rsidRPr="001E5A2B">
            <w:t xml:space="preserve">Monitoring programs </w:t>
          </w:r>
          <w:r w:rsidR="007479FF">
            <w:t xml:space="preserve">in complex and variable natural systems </w:t>
          </w:r>
          <w:r w:rsidRPr="001E5A2B">
            <w:t>that clearly differentiate circumstances in which management complies or doesn’t comply with specified goals or targ</w:t>
          </w:r>
          <w:r>
            <w:t>et</w:t>
          </w:r>
          <w:r w:rsidRPr="001E5A2B">
            <w:t>s typically demand intensive sampling (</w:t>
          </w:r>
          <w:proofErr w:type="spellStart"/>
          <w:r w:rsidRPr="001E5A2B">
            <w:t>Mapstone</w:t>
          </w:r>
          <w:proofErr w:type="spellEnd"/>
          <w:r w:rsidRPr="001E5A2B">
            <w:t xml:space="preserve"> 1995). </w:t>
          </w:r>
          <w:r w:rsidR="007479FF">
            <w:t xml:space="preserve">Lower intensities </w:t>
          </w:r>
          <w:r w:rsidR="00473B42">
            <w:t>imply</w:t>
          </w:r>
          <w:r w:rsidR="007479FF">
            <w:t xml:space="preserve"> higher rates of inferential error.  We may infer failure when we are in fact succeeding in our management objectives, or we may infer success </w:t>
          </w:r>
          <w:proofErr w:type="gramStart"/>
          <w:r w:rsidR="007479FF">
            <w:t>when</w:t>
          </w:r>
          <w:proofErr w:type="gramEnd"/>
          <w:r w:rsidR="007479FF">
            <w:t xml:space="preserve"> we are in fact failing.</w:t>
          </w:r>
          <w:r w:rsidRPr="001E5A2B">
            <w:t xml:space="preserve"> </w:t>
          </w:r>
          <w:r w:rsidRPr="001E5A2B">
            <w:rPr>
              <w:lang w:val="en-US"/>
            </w:rPr>
            <w:t>Our guess is that with typical budgets dedicated to monitoring, there will be many instances where unc</w:t>
          </w:r>
          <w:r>
            <w:rPr>
              <w:lang w:val="en-US"/>
            </w:rPr>
            <w:t>er</w:t>
          </w:r>
          <w:r w:rsidRPr="001E5A2B">
            <w:rPr>
              <w:lang w:val="en-US"/>
            </w:rPr>
            <w:t>tainty imp</w:t>
          </w:r>
          <w:r w:rsidR="00AD3048">
            <w:rPr>
              <w:lang w:val="en-US"/>
            </w:rPr>
            <w:t>lies intolerable rates of</w:t>
          </w:r>
          <w:r w:rsidR="00306CBF">
            <w:rPr>
              <w:lang w:val="en-US"/>
            </w:rPr>
            <w:t xml:space="preserve"> false </w:t>
          </w:r>
          <w:r w:rsidR="00AD3048">
            <w:rPr>
              <w:lang w:val="en-US"/>
            </w:rPr>
            <w:t>failure</w:t>
          </w:r>
          <w:r w:rsidRPr="001E5A2B">
            <w:rPr>
              <w:lang w:val="en-US"/>
            </w:rPr>
            <w:t xml:space="preserve"> and false </w:t>
          </w:r>
          <w:r>
            <w:rPr>
              <w:lang w:val="en-US"/>
            </w:rPr>
            <w:t>success</w:t>
          </w:r>
          <w:r w:rsidRPr="001E5A2B">
            <w:rPr>
              <w:lang w:val="en-US"/>
            </w:rPr>
            <w:t xml:space="preserve">.  </w:t>
          </w:r>
          <w:r w:rsidR="00AD3048">
            <w:rPr>
              <w:lang w:val="en-US"/>
            </w:rPr>
            <w:t>That is</w:t>
          </w:r>
          <w:r w:rsidRPr="001E5A2B">
            <w:rPr>
              <w:lang w:val="en-US"/>
            </w:rPr>
            <w:t xml:space="preserve">, the inadequacy of resources dedicated to monitoring </w:t>
          </w:r>
          <w:r w:rsidR="007479FF">
            <w:rPr>
              <w:lang w:val="en-US"/>
            </w:rPr>
            <w:t>will be apparen</w:t>
          </w:r>
          <w:r w:rsidR="007324C0">
            <w:rPr>
              <w:lang w:val="en-US"/>
            </w:rPr>
            <w:t>t</w:t>
          </w:r>
          <w:r w:rsidRPr="001E5A2B">
            <w:rPr>
              <w:lang w:val="en-US"/>
            </w:rPr>
            <w:t xml:space="preserve"> to managers and stakeholders.  Credibility of the notions of evidence-based continuous improvement and decision-making would be substantially improved if a consequence of </w:t>
          </w:r>
          <w:r>
            <w:rPr>
              <w:lang w:val="en-US"/>
            </w:rPr>
            <w:t>candid description of uncertainty</w:t>
          </w:r>
          <w:r w:rsidR="00AD3048">
            <w:rPr>
              <w:lang w:val="en-US"/>
            </w:rPr>
            <w:t xml:space="preserve"> and error</w:t>
          </w:r>
          <w:r>
            <w:rPr>
              <w:lang w:val="en-US"/>
            </w:rPr>
            <w:t xml:space="preserve"> in </w:t>
          </w:r>
          <w:r w:rsidRPr="001E5A2B">
            <w:rPr>
              <w:lang w:val="en-US"/>
            </w:rPr>
            <w:t>status and trend reporting was a greater allocation of resources to monitoring.</w:t>
          </w:r>
        </w:p>
        <w:p w:rsidR="00795925" w:rsidRDefault="00795925" w:rsidP="00795925">
          <w:pPr>
            <w:rPr>
              <w:lang w:val="en-US"/>
            </w:rPr>
          </w:pPr>
          <w:r w:rsidRPr="001E5A2B">
            <w:rPr>
              <w:lang w:val="en-US"/>
            </w:rPr>
            <w:t xml:space="preserve">However, our expectation is that it will be cost-prohibitive for managers to allocate sufficient resources to monitoring </w:t>
          </w:r>
          <w:r w:rsidRPr="001E5A2B">
            <w:rPr>
              <w:i/>
              <w:lang w:val="en-US"/>
            </w:rPr>
            <w:t>all</w:t>
          </w:r>
          <w:r w:rsidRPr="001E5A2B">
            <w:rPr>
              <w:lang w:val="en-US"/>
            </w:rPr>
            <w:t xml:space="preserve"> targets in a way that satisfies </w:t>
          </w:r>
          <w:r w:rsidR="002039E1">
            <w:rPr>
              <w:lang w:val="en-US"/>
            </w:rPr>
            <w:t xml:space="preserve">near-zero tolerance to the risks associated with false </w:t>
          </w:r>
          <w:r w:rsidR="00306CBF">
            <w:rPr>
              <w:lang w:val="en-US"/>
            </w:rPr>
            <w:t>failure</w:t>
          </w:r>
          <w:r w:rsidR="002039E1">
            <w:rPr>
              <w:lang w:val="en-US"/>
            </w:rPr>
            <w:t xml:space="preserve"> and a false </w:t>
          </w:r>
          <w:r w:rsidR="00306CBF">
            <w:rPr>
              <w:lang w:val="en-US"/>
            </w:rPr>
            <w:t>success</w:t>
          </w:r>
          <w:r w:rsidRPr="001E5A2B">
            <w:rPr>
              <w:lang w:val="en-US"/>
            </w:rPr>
            <w:t>. We suggest an iterative approach to demonstrating progress against targets, whereby targets considered most important by mana</w:t>
          </w:r>
          <w:r>
            <w:rPr>
              <w:lang w:val="en-US"/>
            </w:rPr>
            <w:t xml:space="preserve">gers and stakeholders are assigned more monitoring resources </w:t>
          </w:r>
          <w:r w:rsidRPr="001E5A2B">
            <w:rPr>
              <w:lang w:val="en-US"/>
            </w:rPr>
            <w:t>than</w:t>
          </w:r>
          <w:r>
            <w:rPr>
              <w:lang w:val="en-US"/>
            </w:rPr>
            <w:t xml:space="preserve"> targets of lesser importance.  </w:t>
          </w:r>
        </w:p>
        <w:p w:rsidR="00795925" w:rsidRDefault="00795925" w:rsidP="002039E1">
          <w:pPr>
            <w:spacing w:after="0"/>
          </w:pPr>
          <w:r>
            <w:t xml:space="preserve">The informed treatment of risk requires, </w:t>
          </w:r>
        </w:p>
        <w:p w:rsidR="00795925" w:rsidRPr="00462578" w:rsidRDefault="00795925" w:rsidP="00795925">
          <w:pPr>
            <w:pStyle w:val="ListParagraph"/>
            <w:numPr>
              <w:ilvl w:val="0"/>
              <w:numId w:val="22"/>
            </w:numPr>
            <w:rPr>
              <w:lang w:val="en-US"/>
            </w:rPr>
          </w:pPr>
          <w:r>
            <w:t xml:space="preserve">probabilistic predictions of </w:t>
          </w:r>
          <w:r w:rsidR="007479FF">
            <w:t>performance against LTSP2050 targets</w:t>
          </w:r>
          <w:r>
            <w:t xml:space="preserve"> obtained through modelling, </w:t>
          </w:r>
        </w:p>
        <w:p w:rsidR="00795925" w:rsidRDefault="00795925" w:rsidP="00795925">
          <w:pPr>
            <w:pStyle w:val="ListParagraph"/>
            <w:numPr>
              <w:ilvl w:val="0"/>
              <w:numId w:val="22"/>
            </w:numPr>
            <w:rPr>
              <w:lang w:val="en-US"/>
            </w:rPr>
          </w:pPr>
          <w:r>
            <w:rPr>
              <w:lang w:val="en-US"/>
            </w:rPr>
            <w:t>estimation of the precision of a sampling regime,</w:t>
          </w:r>
        </w:p>
        <w:p w:rsidR="00795925" w:rsidRDefault="00795925" w:rsidP="00795925">
          <w:pPr>
            <w:pStyle w:val="ListParagraph"/>
            <w:numPr>
              <w:ilvl w:val="0"/>
              <w:numId w:val="22"/>
            </w:numPr>
            <w:rPr>
              <w:lang w:val="en-US"/>
            </w:rPr>
          </w:pPr>
          <w:proofErr w:type="spellStart"/>
          <w:r>
            <w:rPr>
              <w:lang w:val="en-US"/>
            </w:rPr>
            <w:t>characterisation</w:t>
          </w:r>
          <w:proofErr w:type="spellEnd"/>
          <w:r>
            <w:rPr>
              <w:lang w:val="en-US"/>
            </w:rPr>
            <w:t xml:space="preserve"> of the</w:t>
          </w:r>
          <w:r w:rsidR="008462DE">
            <w:rPr>
              <w:lang w:val="en-US"/>
            </w:rPr>
            <w:t xml:space="preserve"> consequences of false success, true </w:t>
          </w:r>
          <w:r w:rsidR="00473B42">
            <w:rPr>
              <w:lang w:val="en-US"/>
            </w:rPr>
            <w:t>success, false</w:t>
          </w:r>
          <w:r w:rsidR="008462DE">
            <w:rPr>
              <w:lang w:val="en-US"/>
            </w:rPr>
            <w:t xml:space="preserve"> failure and true failure</w:t>
          </w:r>
          <w:r>
            <w:rPr>
              <w:lang w:val="en-US"/>
            </w:rPr>
            <w:t>, and</w:t>
          </w:r>
        </w:p>
        <w:p w:rsidR="00795925" w:rsidRPr="00462578" w:rsidRDefault="00795925" w:rsidP="00795925">
          <w:pPr>
            <w:pStyle w:val="ListParagraph"/>
            <w:numPr>
              <w:ilvl w:val="0"/>
              <w:numId w:val="22"/>
            </w:numPr>
            <w:rPr>
              <w:lang w:val="en-US"/>
            </w:rPr>
          </w:pPr>
          <w:proofErr w:type="gramStart"/>
          <w:r>
            <w:rPr>
              <w:lang w:val="en-US"/>
            </w:rPr>
            <w:t>estimates</w:t>
          </w:r>
          <w:proofErr w:type="gramEnd"/>
          <w:r>
            <w:rPr>
              <w:lang w:val="en-US"/>
            </w:rPr>
            <w:t xml:space="preserve"> of the financial costs of data acquisition.</w:t>
          </w:r>
        </w:p>
        <w:p w:rsidR="004452A9" w:rsidRPr="002039E1" w:rsidRDefault="00795925" w:rsidP="002039E1">
          <w:pPr>
            <w:rPr>
              <w:rFonts w:cs="Arial"/>
            </w:rPr>
          </w:pPr>
          <w:r w:rsidRPr="00795925">
            <w:rPr>
              <w:lang w:val="en-US"/>
            </w:rPr>
            <w:t>When considered alongside options for management intervention, these four elements provide the basis for adaptive management and adaptive monitoring.  We recommend those responsible for implementation of integrated monitoring under the LTSP2050 embrace urgent development of these four elements as cornerstones of a committed approach to continuous improvement.</w:t>
          </w:r>
          <w:r w:rsidR="00EE7F9F" w:rsidRPr="00EE7F9F">
            <w:rPr>
              <w:i/>
              <w:lang w:val="en-US"/>
            </w:rPr>
            <w:t xml:space="preserve">  </w:t>
          </w:r>
          <w:r w:rsidR="004452A9" w:rsidRPr="004540DC">
            <w:rPr>
              <w:rFonts w:ascii="Arial" w:hAnsi="Arial" w:cs="Arial"/>
            </w:rPr>
            <w:br w:type="page"/>
          </w:r>
        </w:p>
      </w:sdtContent>
    </w:sdt>
    <w:sdt>
      <w:sdtPr>
        <w:rPr>
          <w:rFonts w:ascii="Cambria" w:eastAsiaTheme="minorHAnsi" w:hAnsi="Cambria" w:cstheme="minorBidi"/>
          <w:b w:val="0"/>
          <w:bCs w:val="0"/>
          <w:color w:val="auto"/>
          <w:sz w:val="22"/>
          <w:szCs w:val="22"/>
          <w:lang w:val="en-AU"/>
        </w:rPr>
        <w:id w:val="-148988173"/>
        <w:docPartObj>
          <w:docPartGallery w:val="Table of Contents"/>
          <w:docPartUnique/>
        </w:docPartObj>
      </w:sdtPr>
      <w:sdtEndPr>
        <w:rPr>
          <w:noProof/>
        </w:rPr>
      </w:sdtEndPr>
      <w:sdtContent>
        <w:p w:rsidR="00D22F68" w:rsidRPr="00D07377" w:rsidRDefault="00D22F68">
          <w:pPr>
            <w:pStyle w:val="TOCHeading"/>
            <w:rPr>
              <w:rFonts w:ascii="Cambria" w:hAnsi="Cambria"/>
            </w:rPr>
          </w:pPr>
          <w:r w:rsidRPr="00D07377">
            <w:rPr>
              <w:rFonts w:ascii="Cambria" w:hAnsi="Cambria"/>
            </w:rPr>
            <w:t>Contents</w:t>
          </w:r>
        </w:p>
        <w:p w:rsidR="00362C1C" w:rsidRDefault="00FB3343">
          <w:pPr>
            <w:pStyle w:val="TOC1"/>
            <w:tabs>
              <w:tab w:val="right" w:leader="dot" w:pos="9182"/>
            </w:tabs>
            <w:rPr>
              <w:rFonts w:asciiTheme="minorHAnsi" w:eastAsiaTheme="minorEastAsia" w:hAnsiTheme="minorHAnsi"/>
              <w:b w:val="0"/>
              <w:noProof/>
              <w:color w:val="auto"/>
              <w:sz w:val="22"/>
              <w:szCs w:val="22"/>
              <w:lang w:eastAsia="en-AU"/>
            </w:rPr>
          </w:pPr>
          <w:r w:rsidRPr="00FB3343">
            <w:rPr>
              <w:rFonts w:ascii="Cambria" w:hAnsi="Cambria"/>
            </w:rPr>
            <w:fldChar w:fldCharType="begin"/>
          </w:r>
          <w:r w:rsidR="00D22F68" w:rsidRPr="00D07377">
            <w:rPr>
              <w:rFonts w:ascii="Cambria" w:hAnsi="Cambria"/>
            </w:rPr>
            <w:instrText xml:space="preserve"> TOC \o "1-3" \h \z \u </w:instrText>
          </w:r>
          <w:r w:rsidRPr="00FB3343">
            <w:rPr>
              <w:rFonts w:ascii="Cambria" w:hAnsi="Cambria"/>
            </w:rPr>
            <w:fldChar w:fldCharType="separate"/>
          </w:r>
          <w:hyperlink w:anchor="_Toc406768036" w:history="1">
            <w:r w:rsidR="00362C1C" w:rsidRPr="00473015">
              <w:rPr>
                <w:rStyle w:val="Hyperlink"/>
                <w:noProof/>
              </w:rPr>
              <w:t>Executive Summary</w:t>
            </w:r>
            <w:r w:rsidR="00362C1C">
              <w:rPr>
                <w:noProof/>
                <w:webHidden/>
              </w:rPr>
              <w:tab/>
            </w:r>
            <w:r>
              <w:rPr>
                <w:noProof/>
                <w:webHidden/>
              </w:rPr>
              <w:fldChar w:fldCharType="begin"/>
            </w:r>
            <w:r w:rsidR="00362C1C">
              <w:rPr>
                <w:noProof/>
                <w:webHidden/>
              </w:rPr>
              <w:instrText xml:space="preserve"> PAGEREF _Toc406768036 \h </w:instrText>
            </w:r>
            <w:r>
              <w:rPr>
                <w:noProof/>
                <w:webHidden/>
              </w:rPr>
            </w:r>
            <w:r>
              <w:rPr>
                <w:noProof/>
                <w:webHidden/>
              </w:rPr>
              <w:fldChar w:fldCharType="separate"/>
            </w:r>
            <w:r w:rsidR="007B22EB">
              <w:rPr>
                <w:noProof/>
                <w:webHidden/>
              </w:rPr>
              <w:t>1</w:t>
            </w:r>
            <w:r>
              <w:rPr>
                <w:noProof/>
                <w:webHidden/>
              </w:rPr>
              <w:fldChar w:fldCharType="end"/>
            </w:r>
          </w:hyperlink>
        </w:p>
        <w:p w:rsidR="00362C1C" w:rsidRDefault="00FB3343">
          <w:pPr>
            <w:pStyle w:val="TOC1"/>
            <w:tabs>
              <w:tab w:val="right" w:leader="dot" w:pos="9182"/>
            </w:tabs>
            <w:rPr>
              <w:rFonts w:asciiTheme="minorHAnsi" w:eastAsiaTheme="minorEastAsia" w:hAnsiTheme="minorHAnsi"/>
              <w:b w:val="0"/>
              <w:noProof/>
              <w:color w:val="auto"/>
              <w:sz w:val="22"/>
              <w:szCs w:val="22"/>
              <w:lang w:eastAsia="en-AU"/>
            </w:rPr>
          </w:pPr>
          <w:hyperlink w:anchor="_Toc406768037" w:history="1">
            <w:r w:rsidR="00362C1C" w:rsidRPr="00473015">
              <w:rPr>
                <w:rStyle w:val="Hyperlink"/>
                <w:noProof/>
              </w:rPr>
              <w:t>1.0 Introduction</w:t>
            </w:r>
            <w:r w:rsidR="00362C1C">
              <w:rPr>
                <w:noProof/>
                <w:webHidden/>
              </w:rPr>
              <w:tab/>
            </w:r>
            <w:r>
              <w:rPr>
                <w:noProof/>
                <w:webHidden/>
              </w:rPr>
              <w:fldChar w:fldCharType="begin"/>
            </w:r>
            <w:r w:rsidR="00362C1C">
              <w:rPr>
                <w:noProof/>
                <w:webHidden/>
              </w:rPr>
              <w:instrText xml:space="preserve"> PAGEREF _Toc406768037 \h </w:instrText>
            </w:r>
            <w:r>
              <w:rPr>
                <w:noProof/>
                <w:webHidden/>
              </w:rPr>
            </w:r>
            <w:r>
              <w:rPr>
                <w:noProof/>
                <w:webHidden/>
              </w:rPr>
              <w:fldChar w:fldCharType="separate"/>
            </w:r>
            <w:r w:rsidR="007B22EB">
              <w:rPr>
                <w:noProof/>
                <w:webHidden/>
              </w:rPr>
              <w:t>4</w:t>
            </w:r>
            <w:r>
              <w:rPr>
                <w:noProof/>
                <w:webHidden/>
              </w:rPr>
              <w:fldChar w:fldCharType="end"/>
            </w:r>
          </w:hyperlink>
        </w:p>
        <w:p w:rsidR="00362C1C" w:rsidRDefault="00FB3343">
          <w:pPr>
            <w:pStyle w:val="TOC3"/>
            <w:tabs>
              <w:tab w:val="right" w:leader="dot" w:pos="9182"/>
            </w:tabs>
            <w:rPr>
              <w:rFonts w:eastAsiaTheme="minorEastAsia"/>
              <w:i w:val="0"/>
              <w:noProof/>
              <w:lang w:eastAsia="en-AU"/>
            </w:rPr>
          </w:pPr>
          <w:hyperlink w:anchor="_Toc406768038" w:history="1">
            <w:r w:rsidR="00362C1C" w:rsidRPr="00473015">
              <w:rPr>
                <w:rStyle w:val="Hyperlink"/>
                <w:noProof/>
              </w:rPr>
              <w:t>1.1 Overview of General Approach</w:t>
            </w:r>
            <w:r w:rsidR="00362C1C">
              <w:rPr>
                <w:noProof/>
                <w:webHidden/>
              </w:rPr>
              <w:tab/>
            </w:r>
            <w:r>
              <w:rPr>
                <w:noProof/>
                <w:webHidden/>
              </w:rPr>
              <w:fldChar w:fldCharType="begin"/>
            </w:r>
            <w:r w:rsidR="00362C1C">
              <w:rPr>
                <w:noProof/>
                <w:webHidden/>
              </w:rPr>
              <w:instrText xml:space="preserve"> PAGEREF _Toc406768038 \h </w:instrText>
            </w:r>
            <w:r>
              <w:rPr>
                <w:noProof/>
                <w:webHidden/>
              </w:rPr>
            </w:r>
            <w:r>
              <w:rPr>
                <w:noProof/>
                <w:webHidden/>
              </w:rPr>
              <w:fldChar w:fldCharType="separate"/>
            </w:r>
            <w:r w:rsidR="007B22EB">
              <w:rPr>
                <w:noProof/>
                <w:webHidden/>
              </w:rPr>
              <w:t>5</w:t>
            </w:r>
            <w:r>
              <w:rPr>
                <w:noProof/>
                <w:webHidden/>
              </w:rPr>
              <w:fldChar w:fldCharType="end"/>
            </w:r>
          </w:hyperlink>
        </w:p>
        <w:p w:rsidR="00362C1C" w:rsidRDefault="00FB3343">
          <w:pPr>
            <w:pStyle w:val="TOC3"/>
            <w:tabs>
              <w:tab w:val="right" w:leader="dot" w:pos="9182"/>
            </w:tabs>
            <w:rPr>
              <w:rFonts w:eastAsiaTheme="minorEastAsia"/>
              <w:i w:val="0"/>
              <w:noProof/>
              <w:lang w:eastAsia="en-AU"/>
            </w:rPr>
          </w:pPr>
          <w:hyperlink w:anchor="_Toc406768039" w:history="1">
            <w:r w:rsidR="00362C1C" w:rsidRPr="00473015">
              <w:rPr>
                <w:rStyle w:val="Hyperlink"/>
                <w:noProof/>
              </w:rPr>
              <w:t>1.2 Context</w:t>
            </w:r>
            <w:r w:rsidR="00362C1C">
              <w:rPr>
                <w:noProof/>
                <w:webHidden/>
              </w:rPr>
              <w:tab/>
            </w:r>
            <w:r>
              <w:rPr>
                <w:noProof/>
                <w:webHidden/>
              </w:rPr>
              <w:fldChar w:fldCharType="begin"/>
            </w:r>
            <w:r w:rsidR="00362C1C">
              <w:rPr>
                <w:noProof/>
                <w:webHidden/>
              </w:rPr>
              <w:instrText xml:space="preserve"> PAGEREF _Toc406768039 \h </w:instrText>
            </w:r>
            <w:r>
              <w:rPr>
                <w:noProof/>
                <w:webHidden/>
              </w:rPr>
            </w:r>
            <w:r>
              <w:rPr>
                <w:noProof/>
                <w:webHidden/>
              </w:rPr>
              <w:fldChar w:fldCharType="separate"/>
            </w:r>
            <w:r w:rsidR="007B22EB">
              <w:rPr>
                <w:noProof/>
                <w:webHidden/>
              </w:rPr>
              <w:t>7</w:t>
            </w:r>
            <w:r>
              <w:rPr>
                <w:noProof/>
                <w:webHidden/>
              </w:rPr>
              <w:fldChar w:fldCharType="end"/>
            </w:r>
          </w:hyperlink>
        </w:p>
        <w:p w:rsidR="00362C1C" w:rsidRDefault="00FB3343">
          <w:pPr>
            <w:pStyle w:val="TOC1"/>
            <w:tabs>
              <w:tab w:val="right" w:leader="dot" w:pos="9182"/>
            </w:tabs>
            <w:rPr>
              <w:rFonts w:asciiTheme="minorHAnsi" w:eastAsiaTheme="minorEastAsia" w:hAnsiTheme="minorHAnsi"/>
              <w:b w:val="0"/>
              <w:noProof/>
              <w:color w:val="auto"/>
              <w:sz w:val="22"/>
              <w:szCs w:val="22"/>
              <w:lang w:eastAsia="en-AU"/>
            </w:rPr>
          </w:pPr>
          <w:hyperlink w:anchor="_Toc406768040" w:history="1">
            <w:r w:rsidR="00362C1C" w:rsidRPr="00473015">
              <w:rPr>
                <w:rStyle w:val="Hyperlink"/>
                <w:noProof/>
              </w:rPr>
              <w:t>2.0 Case study - Mackay-Whitsunday Region</w:t>
            </w:r>
            <w:r w:rsidR="00362C1C">
              <w:rPr>
                <w:noProof/>
                <w:webHidden/>
              </w:rPr>
              <w:tab/>
            </w:r>
            <w:r>
              <w:rPr>
                <w:noProof/>
                <w:webHidden/>
              </w:rPr>
              <w:fldChar w:fldCharType="begin"/>
            </w:r>
            <w:r w:rsidR="00362C1C">
              <w:rPr>
                <w:noProof/>
                <w:webHidden/>
              </w:rPr>
              <w:instrText xml:space="preserve"> PAGEREF _Toc406768040 \h </w:instrText>
            </w:r>
            <w:r>
              <w:rPr>
                <w:noProof/>
                <w:webHidden/>
              </w:rPr>
            </w:r>
            <w:r>
              <w:rPr>
                <w:noProof/>
                <w:webHidden/>
              </w:rPr>
              <w:fldChar w:fldCharType="separate"/>
            </w:r>
            <w:r w:rsidR="007B22EB">
              <w:rPr>
                <w:noProof/>
                <w:webHidden/>
              </w:rPr>
              <w:t>8</w:t>
            </w:r>
            <w:r>
              <w:rPr>
                <w:noProof/>
                <w:webHidden/>
              </w:rPr>
              <w:fldChar w:fldCharType="end"/>
            </w:r>
          </w:hyperlink>
        </w:p>
        <w:p w:rsidR="00362C1C" w:rsidRDefault="00FB3343">
          <w:pPr>
            <w:pStyle w:val="TOC3"/>
            <w:tabs>
              <w:tab w:val="right" w:leader="dot" w:pos="9182"/>
            </w:tabs>
            <w:rPr>
              <w:rFonts w:eastAsiaTheme="minorEastAsia"/>
              <w:i w:val="0"/>
              <w:noProof/>
              <w:lang w:eastAsia="en-AU"/>
            </w:rPr>
          </w:pPr>
          <w:hyperlink w:anchor="_Toc406768041" w:history="1">
            <w:r w:rsidR="00362C1C" w:rsidRPr="00473015">
              <w:rPr>
                <w:rStyle w:val="Hyperlink"/>
                <w:noProof/>
              </w:rPr>
              <w:t>2.1 Study Area</w:t>
            </w:r>
            <w:r w:rsidR="00362C1C">
              <w:rPr>
                <w:noProof/>
                <w:webHidden/>
              </w:rPr>
              <w:tab/>
            </w:r>
            <w:r>
              <w:rPr>
                <w:noProof/>
                <w:webHidden/>
              </w:rPr>
              <w:fldChar w:fldCharType="begin"/>
            </w:r>
            <w:r w:rsidR="00362C1C">
              <w:rPr>
                <w:noProof/>
                <w:webHidden/>
              </w:rPr>
              <w:instrText xml:space="preserve"> PAGEREF _Toc406768041 \h </w:instrText>
            </w:r>
            <w:r>
              <w:rPr>
                <w:noProof/>
                <w:webHidden/>
              </w:rPr>
            </w:r>
            <w:r>
              <w:rPr>
                <w:noProof/>
                <w:webHidden/>
              </w:rPr>
              <w:fldChar w:fldCharType="separate"/>
            </w:r>
            <w:r w:rsidR="007B22EB">
              <w:rPr>
                <w:noProof/>
                <w:webHidden/>
              </w:rPr>
              <w:t>8</w:t>
            </w:r>
            <w:r>
              <w:rPr>
                <w:noProof/>
                <w:webHidden/>
              </w:rPr>
              <w:fldChar w:fldCharType="end"/>
            </w:r>
          </w:hyperlink>
        </w:p>
        <w:p w:rsidR="00362C1C" w:rsidRDefault="00FB3343">
          <w:pPr>
            <w:pStyle w:val="TOC3"/>
            <w:tabs>
              <w:tab w:val="right" w:leader="dot" w:pos="9182"/>
            </w:tabs>
            <w:rPr>
              <w:rFonts w:eastAsiaTheme="minorEastAsia"/>
              <w:i w:val="0"/>
              <w:noProof/>
              <w:lang w:eastAsia="en-AU"/>
            </w:rPr>
          </w:pPr>
          <w:hyperlink w:anchor="_Toc406768042" w:history="1">
            <w:r w:rsidR="00362C1C" w:rsidRPr="00473015">
              <w:rPr>
                <w:rStyle w:val="Hyperlink"/>
                <w:noProof/>
              </w:rPr>
              <w:t>2.2 Data</w:t>
            </w:r>
            <w:r w:rsidR="00362C1C">
              <w:rPr>
                <w:noProof/>
                <w:webHidden/>
              </w:rPr>
              <w:tab/>
            </w:r>
            <w:r>
              <w:rPr>
                <w:noProof/>
                <w:webHidden/>
              </w:rPr>
              <w:fldChar w:fldCharType="begin"/>
            </w:r>
            <w:r w:rsidR="00362C1C">
              <w:rPr>
                <w:noProof/>
                <w:webHidden/>
              </w:rPr>
              <w:instrText xml:space="preserve"> PAGEREF _Toc406768042 \h </w:instrText>
            </w:r>
            <w:r>
              <w:rPr>
                <w:noProof/>
                <w:webHidden/>
              </w:rPr>
            </w:r>
            <w:r>
              <w:rPr>
                <w:noProof/>
                <w:webHidden/>
              </w:rPr>
              <w:fldChar w:fldCharType="separate"/>
            </w:r>
            <w:r w:rsidR="007B22EB">
              <w:rPr>
                <w:noProof/>
                <w:webHidden/>
              </w:rPr>
              <w:t>14</w:t>
            </w:r>
            <w:r>
              <w:rPr>
                <w:noProof/>
                <w:webHidden/>
              </w:rPr>
              <w:fldChar w:fldCharType="end"/>
            </w:r>
          </w:hyperlink>
        </w:p>
        <w:p w:rsidR="00362C1C" w:rsidRDefault="00FB3343">
          <w:pPr>
            <w:pStyle w:val="TOC1"/>
            <w:tabs>
              <w:tab w:val="right" w:leader="dot" w:pos="9182"/>
            </w:tabs>
            <w:rPr>
              <w:rFonts w:asciiTheme="minorHAnsi" w:eastAsiaTheme="minorEastAsia" w:hAnsiTheme="minorHAnsi"/>
              <w:b w:val="0"/>
              <w:noProof/>
              <w:color w:val="auto"/>
              <w:sz w:val="22"/>
              <w:szCs w:val="22"/>
              <w:lang w:eastAsia="en-AU"/>
            </w:rPr>
          </w:pPr>
          <w:hyperlink w:anchor="_Toc406768043" w:history="1">
            <w:r w:rsidR="00362C1C" w:rsidRPr="00473015">
              <w:rPr>
                <w:rStyle w:val="Hyperlink"/>
                <w:noProof/>
              </w:rPr>
              <w:t>3.0 Analysis and integration of monitoring data</w:t>
            </w:r>
            <w:r w:rsidR="00362C1C">
              <w:rPr>
                <w:noProof/>
                <w:webHidden/>
              </w:rPr>
              <w:tab/>
            </w:r>
            <w:r>
              <w:rPr>
                <w:noProof/>
                <w:webHidden/>
              </w:rPr>
              <w:fldChar w:fldCharType="begin"/>
            </w:r>
            <w:r w:rsidR="00362C1C">
              <w:rPr>
                <w:noProof/>
                <w:webHidden/>
              </w:rPr>
              <w:instrText xml:space="preserve"> PAGEREF _Toc406768043 \h </w:instrText>
            </w:r>
            <w:r>
              <w:rPr>
                <w:noProof/>
                <w:webHidden/>
              </w:rPr>
            </w:r>
            <w:r>
              <w:rPr>
                <w:noProof/>
                <w:webHidden/>
              </w:rPr>
              <w:fldChar w:fldCharType="separate"/>
            </w:r>
            <w:r w:rsidR="007B22EB">
              <w:rPr>
                <w:noProof/>
                <w:webHidden/>
              </w:rPr>
              <w:t>16</w:t>
            </w:r>
            <w:r>
              <w:rPr>
                <w:noProof/>
                <w:webHidden/>
              </w:rPr>
              <w:fldChar w:fldCharType="end"/>
            </w:r>
          </w:hyperlink>
        </w:p>
        <w:p w:rsidR="00362C1C" w:rsidRDefault="00FB3343">
          <w:pPr>
            <w:pStyle w:val="TOC3"/>
            <w:tabs>
              <w:tab w:val="right" w:leader="dot" w:pos="9182"/>
            </w:tabs>
            <w:rPr>
              <w:rFonts w:eastAsiaTheme="minorEastAsia"/>
              <w:i w:val="0"/>
              <w:noProof/>
              <w:lang w:eastAsia="en-AU"/>
            </w:rPr>
          </w:pPr>
          <w:hyperlink w:anchor="_Toc406768044" w:history="1">
            <w:r w:rsidR="00362C1C" w:rsidRPr="00473015">
              <w:rPr>
                <w:rStyle w:val="Hyperlink"/>
                <w:noProof/>
              </w:rPr>
              <w:t>3.1 Analysis of monitoring data</w:t>
            </w:r>
            <w:r w:rsidR="00362C1C">
              <w:rPr>
                <w:noProof/>
                <w:webHidden/>
              </w:rPr>
              <w:tab/>
            </w:r>
            <w:r>
              <w:rPr>
                <w:noProof/>
                <w:webHidden/>
              </w:rPr>
              <w:fldChar w:fldCharType="begin"/>
            </w:r>
            <w:r w:rsidR="00362C1C">
              <w:rPr>
                <w:noProof/>
                <w:webHidden/>
              </w:rPr>
              <w:instrText xml:space="preserve"> PAGEREF _Toc406768044 \h </w:instrText>
            </w:r>
            <w:r>
              <w:rPr>
                <w:noProof/>
                <w:webHidden/>
              </w:rPr>
            </w:r>
            <w:r>
              <w:rPr>
                <w:noProof/>
                <w:webHidden/>
              </w:rPr>
              <w:fldChar w:fldCharType="separate"/>
            </w:r>
            <w:r w:rsidR="007B22EB">
              <w:rPr>
                <w:noProof/>
                <w:webHidden/>
              </w:rPr>
              <w:t>16</w:t>
            </w:r>
            <w:r>
              <w:rPr>
                <w:noProof/>
                <w:webHidden/>
              </w:rPr>
              <w:fldChar w:fldCharType="end"/>
            </w:r>
          </w:hyperlink>
        </w:p>
        <w:p w:rsidR="00362C1C" w:rsidRDefault="00FB3343">
          <w:pPr>
            <w:pStyle w:val="TOC3"/>
            <w:tabs>
              <w:tab w:val="right" w:leader="dot" w:pos="9182"/>
            </w:tabs>
            <w:rPr>
              <w:rFonts w:eastAsiaTheme="minorEastAsia"/>
              <w:i w:val="0"/>
              <w:noProof/>
              <w:lang w:eastAsia="en-AU"/>
            </w:rPr>
          </w:pPr>
          <w:hyperlink w:anchor="_Toc406768045" w:history="1">
            <w:r w:rsidR="00362C1C" w:rsidRPr="00473015">
              <w:rPr>
                <w:rStyle w:val="Hyperlink"/>
                <w:noProof/>
              </w:rPr>
              <w:t>3.2 Integrating datasets</w:t>
            </w:r>
            <w:r w:rsidR="00362C1C">
              <w:rPr>
                <w:noProof/>
                <w:webHidden/>
              </w:rPr>
              <w:tab/>
            </w:r>
            <w:r>
              <w:rPr>
                <w:noProof/>
                <w:webHidden/>
              </w:rPr>
              <w:fldChar w:fldCharType="begin"/>
            </w:r>
            <w:r w:rsidR="00362C1C">
              <w:rPr>
                <w:noProof/>
                <w:webHidden/>
              </w:rPr>
              <w:instrText xml:space="preserve"> PAGEREF _Toc406768045 \h </w:instrText>
            </w:r>
            <w:r>
              <w:rPr>
                <w:noProof/>
                <w:webHidden/>
              </w:rPr>
            </w:r>
            <w:r>
              <w:rPr>
                <w:noProof/>
                <w:webHidden/>
              </w:rPr>
              <w:fldChar w:fldCharType="separate"/>
            </w:r>
            <w:r w:rsidR="007B22EB">
              <w:rPr>
                <w:noProof/>
                <w:webHidden/>
              </w:rPr>
              <w:t>28</w:t>
            </w:r>
            <w:r>
              <w:rPr>
                <w:noProof/>
                <w:webHidden/>
              </w:rPr>
              <w:fldChar w:fldCharType="end"/>
            </w:r>
          </w:hyperlink>
        </w:p>
        <w:p w:rsidR="00362C1C" w:rsidRDefault="00FB3343">
          <w:pPr>
            <w:pStyle w:val="TOC1"/>
            <w:tabs>
              <w:tab w:val="right" w:leader="dot" w:pos="9182"/>
            </w:tabs>
            <w:rPr>
              <w:rFonts w:asciiTheme="minorHAnsi" w:eastAsiaTheme="minorEastAsia" w:hAnsiTheme="minorHAnsi"/>
              <w:b w:val="0"/>
              <w:noProof/>
              <w:color w:val="auto"/>
              <w:sz w:val="22"/>
              <w:szCs w:val="22"/>
              <w:lang w:eastAsia="en-AU"/>
            </w:rPr>
          </w:pPr>
          <w:hyperlink w:anchor="_Toc406768046" w:history="1">
            <w:r w:rsidR="00362C1C" w:rsidRPr="00473015">
              <w:rPr>
                <w:rStyle w:val="Hyperlink"/>
                <w:noProof/>
              </w:rPr>
              <w:t>4.0 Integration of models and monitoring data</w:t>
            </w:r>
            <w:r w:rsidR="00362C1C">
              <w:rPr>
                <w:noProof/>
                <w:webHidden/>
              </w:rPr>
              <w:tab/>
            </w:r>
            <w:r>
              <w:rPr>
                <w:noProof/>
                <w:webHidden/>
              </w:rPr>
              <w:fldChar w:fldCharType="begin"/>
            </w:r>
            <w:r w:rsidR="00362C1C">
              <w:rPr>
                <w:noProof/>
                <w:webHidden/>
              </w:rPr>
              <w:instrText xml:space="preserve"> PAGEREF _Toc406768046 \h </w:instrText>
            </w:r>
            <w:r>
              <w:rPr>
                <w:noProof/>
                <w:webHidden/>
              </w:rPr>
            </w:r>
            <w:r>
              <w:rPr>
                <w:noProof/>
                <w:webHidden/>
              </w:rPr>
              <w:fldChar w:fldCharType="separate"/>
            </w:r>
            <w:r w:rsidR="007B22EB">
              <w:rPr>
                <w:noProof/>
                <w:webHidden/>
              </w:rPr>
              <w:t>37</w:t>
            </w:r>
            <w:r>
              <w:rPr>
                <w:noProof/>
                <w:webHidden/>
              </w:rPr>
              <w:fldChar w:fldCharType="end"/>
            </w:r>
          </w:hyperlink>
        </w:p>
        <w:p w:rsidR="00362C1C" w:rsidRDefault="00FB3343">
          <w:pPr>
            <w:pStyle w:val="TOC3"/>
            <w:tabs>
              <w:tab w:val="right" w:leader="dot" w:pos="9182"/>
            </w:tabs>
            <w:rPr>
              <w:rFonts w:eastAsiaTheme="minorEastAsia"/>
              <w:i w:val="0"/>
              <w:noProof/>
              <w:lang w:eastAsia="en-AU"/>
            </w:rPr>
          </w:pPr>
          <w:hyperlink w:anchor="_Toc406768047" w:history="1">
            <w:r w:rsidR="00362C1C" w:rsidRPr="00473015">
              <w:rPr>
                <w:rStyle w:val="Hyperlink"/>
                <w:noProof/>
              </w:rPr>
              <w:t>4.1 Models</w:t>
            </w:r>
            <w:r w:rsidR="00362C1C">
              <w:rPr>
                <w:noProof/>
                <w:webHidden/>
              </w:rPr>
              <w:tab/>
            </w:r>
            <w:r>
              <w:rPr>
                <w:noProof/>
                <w:webHidden/>
              </w:rPr>
              <w:fldChar w:fldCharType="begin"/>
            </w:r>
            <w:r w:rsidR="00362C1C">
              <w:rPr>
                <w:noProof/>
                <w:webHidden/>
              </w:rPr>
              <w:instrText xml:space="preserve"> PAGEREF _Toc406768047 \h </w:instrText>
            </w:r>
            <w:r>
              <w:rPr>
                <w:noProof/>
                <w:webHidden/>
              </w:rPr>
            </w:r>
            <w:r>
              <w:rPr>
                <w:noProof/>
                <w:webHidden/>
              </w:rPr>
              <w:fldChar w:fldCharType="separate"/>
            </w:r>
            <w:r w:rsidR="007B22EB">
              <w:rPr>
                <w:noProof/>
                <w:webHidden/>
              </w:rPr>
              <w:t>37</w:t>
            </w:r>
            <w:r>
              <w:rPr>
                <w:noProof/>
                <w:webHidden/>
              </w:rPr>
              <w:fldChar w:fldCharType="end"/>
            </w:r>
          </w:hyperlink>
        </w:p>
        <w:p w:rsidR="00362C1C" w:rsidRDefault="00FB3343">
          <w:pPr>
            <w:pStyle w:val="TOC3"/>
            <w:tabs>
              <w:tab w:val="right" w:leader="dot" w:pos="9182"/>
            </w:tabs>
            <w:rPr>
              <w:rFonts w:eastAsiaTheme="minorEastAsia"/>
              <w:i w:val="0"/>
              <w:noProof/>
              <w:lang w:eastAsia="en-AU"/>
            </w:rPr>
          </w:pPr>
          <w:hyperlink w:anchor="_Toc406768048" w:history="1">
            <w:r w:rsidR="00362C1C" w:rsidRPr="00473015">
              <w:rPr>
                <w:rStyle w:val="Hyperlink"/>
                <w:noProof/>
              </w:rPr>
              <w:t>4.2 Combining models and monitoring data in risk-based adaptive management and adaptive monitoring</w:t>
            </w:r>
            <w:r w:rsidR="00362C1C">
              <w:rPr>
                <w:noProof/>
                <w:webHidden/>
              </w:rPr>
              <w:tab/>
            </w:r>
            <w:r>
              <w:rPr>
                <w:noProof/>
                <w:webHidden/>
              </w:rPr>
              <w:fldChar w:fldCharType="begin"/>
            </w:r>
            <w:r w:rsidR="00362C1C">
              <w:rPr>
                <w:noProof/>
                <w:webHidden/>
              </w:rPr>
              <w:instrText xml:space="preserve"> PAGEREF _Toc406768048 \h </w:instrText>
            </w:r>
            <w:r>
              <w:rPr>
                <w:noProof/>
                <w:webHidden/>
              </w:rPr>
            </w:r>
            <w:r>
              <w:rPr>
                <w:noProof/>
                <w:webHidden/>
              </w:rPr>
              <w:fldChar w:fldCharType="separate"/>
            </w:r>
            <w:r w:rsidR="007B22EB">
              <w:rPr>
                <w:noProof/>
                <w:webHidden/>
              </w:rPr>
              <w:t>44</w:t>
            </w:r>
            <w:r>
              <w:rPr>
                <w:noProof/>
                <w:webHidden/>
              </w:rPr>
              <w:fldChar w:fldCharType="end"/>
            </w:r>
          </w:hyperlink>
        </w:p>
        <w:p w:rsidR="00362C1C" w:rsidRDefault="00FB3343">
          <w:pPr>
            <w:pStyle w:val="TOC3"/>
            <w:tabs>
              <w:tab w:val="right" w:leader="dot" w:pos="9182"/>
            </w:tabs>
            <w:rPr>
              <w:rFonts w:eastAsiaTheme="minorEastAsia"/>
              <w:i w:val="0"/>
              <w:noProof/>
              <w:lang w:eastAsia="en-AU"/>
            </w:rPr>
          </w:pPr>
          <w:hyperlink w:anchor="_Toc406768049" w:history="1">
            <w:r w:rsidR="00362C1C" w:rsidRPr="00473015">
              <w:rPr>
                <w:rStyle w:val="Hyperlink"/>
                <w:noProof/>
              </w:rPr>
              <w:t>4.3 Structured decision-making</w:t>
            </w:r>
            <w:r w:rsidR="00362C1C">
              <w:rPr>
                <w:noProof/>
                <w:webHidden/>
              </w:rPr>
              <w:tab/>
            </w:r>
            <w:r>
              <w:rPr>
                <w:noProof/>
                <w:webHidden/>
              </w:rPr>
              <w:fldChar w:fldCharType="begin"/>
            </w:r>
            <w:r w:rsidR="00362C1C">
              <w:rPr>
                <w:noProof/>
                <w:webHidden/>
              </w:rPr>
              <w:instrText xml:space="preserve"> PAGEREF _Toc406768049 \h </w:instrText>
            </w:r>
            <w:r>
              <w:rPr>
                <w:noProof/>
                <w:webHidden/>
              </w:rPr>
            </w:r>
            <w:r>
              <w:rPr>
                <w:noProof/>
                <w:webHidden/>
              </w:rPr>
              <w:fldChar w:fldCharType="separate"/>
            </w:r>
            <w:r w:rsidR="007B22EB">
              <w:rPr>
                <w:noProof/>
                <w:webHidden/>
              </w:rPr>
              <w:t>50</w:t>
            </w:r>
            <w:r>
              <w:rPr>
                <w:noProof/>
                <w:webHidden/>
              </w:rPr>
              <w:fldChar w:fldCharType="end"/>
            </w:r>
          </w:hyperlink>
        </w:p>
        <w:p w:rsidR="00362C1C" w:rsidRDefault="00FB3343">
          <w:pPr>
            <w:pStyle w:val="TOC1"/>
            <w:tabs>
              <w:tab w:val="right" w:leader="dot" w:pos="9182"/>
            </w:tabs>
            <w:rPr>
              <w:rFonts w:asciiTheme="minorHAnsi" w:eastAsiaTheme="minorEastAsia" w:hAnsiTheme="minorHAnsi"/>
              <w:b w:val="0"/>
              <w:noProof/>
              <w:color w:val="auto"/>
              <w:sz w:val="22"/>
              <w:szCs w:val="22"/>
              <w:lang w:eastAsia="en-AU"/>
            </w:rPr>
          </w:pPr>
          <w:hyperlink w:anchor="_Toc406768050" w:history="1">
            <w:r w:rsidR="00362C1C" w:rsidRPr="00473015">
              <w:rPr>
                <w:rStyle w:val="Hyperlink"/>
                <w:noProof/>
              </w:rPr>
              <w:t>5.0  Integrating social and economic elements</w:t>
            </w:r>
            <w:r w:rsidR="00362C1C">
              <w:rPr>
                <w:noProof/>
                <w:webHidden/>
              </w:rPr>
              <w:tab/>
            </w:r>
            <w:r>
              <w:rPr>
                <w:noProof/>
                <w:webHidden/>
              </w:rPr>
              <w:fldChar w:fldCharType="begin"/>
            </w:r>
            <w:r w:rsidR="00362C1C">
              <w:rPr>
                <w:noProof/>
                <w:webHidden/>
              </w:rPr>
              <w:instrText xml:space="preserve"> PAGEREF _Toc406768050 \h </w:instrText>
            </w:r>
            <w:r>
              <w:rPr>
                <w:noProof/>
                <w:webHidden/>
              </w:rPr>
            </w:r>
            <w:r>
              <w:rPr>
                <w:noProof/>
                <w:webHidden/>
              </w:rPr>
              <w:fldChar w:fldCharType="separate"/>
            </w:r>
            <w:r w:rsidR="007B22EB">
              <w:rPr>
                <w:noProof/>
                <w:webHidden/>
              </w:rPr>
              <w:t>57</w:t>
            </w:r>
            <w:r>
              <w:rPr>
                <w:noProof/>
                <w:webHidden/>
              </w:rPr>
              <w:fldChar w:fldCharType="end"/>
            </w:r>
          </w:hyperlink>
        </w:p>
        <w:p w:rsidR="00362C1C" w:rsidRDefault="00FB3343">
          <w:pPr>
            <w:pStyle w:val="TOC1"/>
            <w:tabs>
              <w:tab w:val="right" w:leader="dot" w:pos="9182"/>
            </w:tabs>
            <w:rPr>
              <w:rFonts w:asciiTheme="minorHAnsi" w:eastAsiaTheme="minorEastAsia" w:hAnsiTheme="minorHAnsi"/>
              <w:b w:val="0"/>
              <w:noProof/>
              <w:color w:val="auto"/>
              <w:sz w:val="22"/>
              <w:szCs w:val="22"/>
              <w:lang w:eastAsia="en-AU"/>
            </w:rPr>
          </w:pPr>
          <w:hyperlink w:anchor="_Toc406768051" w:history="1">
            <w:r w:rsidR="00362C1C" w:rsidRPr="00473015">
              <w:rPr>
                <w:rStyle w:val="Hyperlink"/>
                <w:noProof/>
              </w:rPr>
              <w:t>6.0  Integration with reporting</w:t>
            </w:r>
            <w:r w:rsidR="00362C1C">
              <w:rPr>
                <w:noProof/>
                <w:webHidden/>
              </w:rPr>
              <w:tab/>
            </w:r>
            <w:r>
              <w:rPr>
                <w:noProof/>
                <w:webHidden/>
              </w:rPr>
              <w:fldChar w:fldCharType="begin"/>
            </w:r>
            <w:r w:rsidR="00362C1C">
              <w:rPr>
                <w:noProof/>
                <w:webHidden/>
              </w:rPr>
              <w:instrText xml:space="preserve"> PAGEREF _Toc406768051 \h </w:instrText>
            </w:r>
            <w:r>
              <w:rPr>
                <w:noProof/>
                <w:webHidden/>
              </w:rPr>
            </w:r>
            <w:r>
              <w:rPr>
                <w:noProof/>
                <w:webHidden/>
              </w:rPr>
              <w:fldChar w:fldCharType="separate"/>
            </w:r>
            <w:r w:rsidR="007B22EB">
              <w:rPr>
                <w:noProof/>
                <w:webHidden/>
              </w:rPr>
              <w:t>61</w:t>
            </w:r>
            <w:r>
              <w:rPr>
                <w:noProof/>
                <w:webHidden/>
              </w:rPr>
              <w:fldChar w:fldCharType="end"/>
            </w:r>
          </w:hyperlink>
        </w:p>
        <w:p w:rsidR="00362C1C" w:rsidRDefault="00FB3343">
          <w:pPr>
            <w:pStyle w:val="TOC1"/>
            <w:tabs>
              <w:tab w:val="right" w:leader="dot" w:pos="9182"/>
            </w:tabs>
            <w:rPr>
              <w:rFonts w:asciiTheme="minorHAnsi" w:eastAsiaTheme="minorEastAsia" w:hAnsiTheme="minorHAnsi"/>
              <w:b w:val="0"/>
              <w:noProof/>
              <w:color w:val="auto"/>
              <w:sz w:val="22"/>
              <w:szCs w:val="22"/>
              <w:lang w:eastAsia="en-AU"/>
            </w:rPr>
          </w:pPr>
          <w:hyperlink w:anchor="_Toc406768052" w:history="1">
            <w:r w:rsidR="00362C1C" w:rsidRPr="00473015">
              <w:rPr>
                <w:rStyle w:val="Hyperlink"/>
                <w:noProof/>
              </w:rPr>
              <w:t>7.0  Conclusion and recommendations</w:t>
            </w:r>
            <w:r w:rsidR="00362C1C">
              <w:rPr>
                <w:noProof/>
                <w:webHidden/>
              </w:rPr>
              <w:tab/>
            </w:r>
            <w:r>
              <w:rPr>
                <w:noProof/>
                <w:webHidden/>
              </w:rPr>
              <w:fldChar w:fldCharType="begin"/>
            </w:r>
            <w:r w:rsidR="00362C1C">
              <w:rPr>
                <w:noProof/>
                <w:webHidden/>
              </w:rPr>
              <w:instrText xml:space="preserve"> PAGEREF _Toc406768052 \h </w:instrText>
            </w:r>
            <w:r>
              <w:rPr>
                <w:noProof/>
                <w:webHidden/>
              </w:rPr>
            </w:r>
            <w:r>
              <w:rPr>
                <w:noProof/>
                <w:webHidden/>
              </w:rPr>
              <w:fldChar w:fldCharType="separate"/>
            </w:r>
            <w:r w:rsidR="007B22EB">
              <w:rPr>
                <w:noProof/>
                <w:webHidden/>
              </w:rPr>
              <w:t>64</w:t>
            </w:r>
            <w:r>
              <w:rPr>
                <w:noProof/>
                <w:webHidden/>
              </w:rPr>
              <w:fldChar w:fldCharType="end"/>
            </w:r>
          </w:hyperlink>
        </w:p>
        <w:p w:rsidR="00362C1C" w:rsidRDefault="00FB3343">
          <w:pPr>
            <w:pStyle w:val="TOC1"/>
            <w:tabs>
              <w:tab w:val="right" w:leader="dot" w:pos="9182"/>
            </w:tabs>
            <w:rPr>
              <w:rFonts w:asciiTheme="minorHAnsi" w:eastAsiaTheme="minorEastAsia" w:hAnsiTheme="minorHAnsi"/>
              <w:b w:val="0"/>
              <w:noProof/>
              <w:color w:val="auto"/>
              <w:sz w:val="22"/>
              <w:szCs w:val="22"/>
              <w:lang w:eastAsia="en-AU"/>
            </w:rPr>
          </w:pPr>
          <w:hyperlink w:anchor="_Toc406768053" w:history="1">
            <w:r w:rsidR="00362C1C" w:rsidRPr="00473015">
              <w:rPr>
                <w:rStyle w:val="Hyperlink"/>
                <w:noProof/>
              </w:rPr>
              <w:t>Acknowledgements</w:t>
            </w:r>
            <w:r w:rsidR="00362C1C">
              <w:rPr>
                <w:noProof/>
                <w:webHidden/>
              </w:rPr>
              <w:tab/>
            </w:r>
            <w:r>
              <w:rPr>
                <w:noProof/>
                <w:webHidden/>
              </w:rPr>
              <w:fldChar w:fldCharType="begin"/>
            </w:r>
            <w:r w:rsidR="00362C1C">
              <w:rPr>
                <w:noProof/>
                <w:webHidden/>
              </w:rPr>
              <w:instrText xml:space="preserve"> PAGEREF _Toc406768053 \h </w:instrText>
            </w:r>
            <w:r>
              <w:rPr>
                <w:noProof/>
                <w:webHidden/>
              </w:rPr>
            </w:r>
            <w:r>
              <w:rPr>
                <w:noProof/>
                <w:webHidden/>
              </w:rPr>
              <w:fldChar w:fldCharType="separate"/>
            </w:r>
            <w:r w:rsidR="007B22EB">
              <w:rPr>
                <w:noProof/>
                <w:webHidden/>
              </w:rPr>
              <w:t>65</w:t>
            </w:r>
            <w:r>
              <w:rPr>
                <w:noProof/>
                <w:webHidden/>
              </w:rPr>
              <w:fldChar w:fldCharType="end"/>
            </w:r>
          </w:hyperlink>
        </w:p>
        <w:p w:rsidR="00362C1C" w:rsidRDefault="00FB3343">
          <w:pPr>
            <w:pStyle w:val="TOC1"/>
            <w:tabs>
              <w:tab w:val="right" w:leader="dot" w:pos="9182"/>
            </w:tabs>
            <w:rPr>
              <w:rFonts w:asciiTheme="minorHAnsi" w:eastAsiaTheme="minorEastAsia" w:hAnsiTheme="minorHAnsi"/>
              <w:b w:val="0"/>
              <w:noProof/>
              <w:color w:val="auto"/>
              <w:sz w:val="22"/>
              <w:szCs w:val="22"/>
              <w:lang w:eastAsia="en-AU"/>
            </w:rPr>
          </w:pPr>
          <w:hyperlink w:anchor="_Toc406768054" w:history="1">
            <w:r w:rsidR="00362C1C" w:rsidRPr="00473015">
              <w:rPr>
                <w:rStyle w:val="Hyperlink"/>
                <w:noProof/>
              </w:rPr>
              <w:t>References</w:t>
            </w:r>
            <w:r w:rsidR="00362C1C">
              <w:rPr>
                <w:noProof/>
                <w:webHidden/>
              </w:rPr>
              <w:tab/>
            </w:r>
            <w:r>
              <w:rPr>
                <w:noProof/>
                <w:webHidden/>
              </w:rPr>
              <w:fldChar w:fldCharType="begin"/>
            </w:r>
            <w:r w:rsidR="00362C1C">
              <w:rPr>
                <w:noProof/>
                <w:webHidden/>
              </w:rPr>
              <w:instrText xml:space="preserve"> PAGEREF _Toc406768054 \h </w:instrText>
            </w:r>
            <w:r>
              <w:rPr>
                <w:noProof/>
                <w:webHidden/>
              </w:rPr>
            </w:r>
            <w:r>
              <w:rPr>
                <w:noProof/>
                <w:webHidden/>
              </w:rPr>
              <w:fldChar w:fldCharType="separate"/>
            </w:r>
            <w:r w:rsidR="007B22EB">
              <w:rPr>
                <w:noProof/>
                <w:webHidden/>
              </w:rPr>
              <w:t>66</w:t>
            </w:r>
            <w:r>
              <w:rPr>
                <w:noProof/>
                <w:webHidden/>
              </w:rPr>
              <w:fldChar w:fldCharType="end"/>
            </w:r>
          </w:hyperlink>
        </w:p>
        <w:p w:rsidR="00362C1C" w:rsidRDefault="00FB3343">
          <w:pPr>
            <w:pStyle w:val="TOC1"/>
            <w:tabs>
              <w:tab w:val="right" w:leader="dot" w:pos="9182"/>
            </w:tabs>
            <w:rPr>
              <w:rFonts w:asciiTheme="minorHAnsi" w:eastAsiaTheme="minorEastAsia" w:hAnsiTheme="minorHAnsi"/>
              <w:b w:val="0"/>
              <w:noProof/>
              <w:color w:val="auto"/>
              <w:sz w:val="22"/>
              <w:szCs w:val="22"/>
              <w:lang w:eastAsia="en-AU"/>
            </w:rPr>
          </w:pPr>
          <w:hyperlink w:anchor="_Toc406768055" w:history="1">
            <w:r w:rsidR="00362C1C" w:rsidRPr="00473015">
              <w:rPr>
                <w:rStyle w:val="Hyperlink"/>
                <w:noProof/>
              </w:rPr>
              <w:t>Appendix – Monitoring programs in the Mackay-Whitsunday case study area</w:t>
            </w:r>
            <w:r w:rsidR="00362C1C">
              <w:rPr>
                <w:noProof/>
                <w:webHidden/>
              </w:rPr>
              <w:tab/>
            </w:r>
            <w:r>
              <w:rPr>
                <w:noProof/>
                <w:webHidden/>
              </w:rPr>
              <w:fldChar w:fldCharType="begin"/>
            </w:r>
            <w:r w:rsidR="00362C1C">
              <w:rPr>
                <w:noProof/>
                <w:webHidden/>
              </w:rPr>
              <w:instrText xml:space="preserve"> PAGEREF _Toc406768055 \h </w:instrText>
            </w:r>
            <w:r>
              <w:rPr>
                <w:noProof/>
                <w:webHidden/>
              </w:rPr>
            </w:r>
            <w:r>
              <w:rPr>
                <w:noProof/>
                <w:webHidden/>
              </w:rPr>
              <w:fldChar w:fldCharType="separate"/>
            </w:r>
            <w:r w:rsidR="007B22EB">
              <w:rPr>
                <w:noProof/>
                <w:webHidden/>
              </w:rPr>
              <w:t>73</w:t>
            </w:r>
            <w:r>
              <w:rPr>
                <w:noProof/>
                <w:webHidden/>
              </w:rPr>
              <w:fldChar w:fldCharType="end"/>
            </w:r>
          </w:hyperlink>
        </w:p>
        <w:p w:rsidR="00D22F68" w:rsidRPr="00D07377" w:rsidRDefault="00FB3343">
          <w:pPr>
            <w:rPr>
              <w:rFonts w:ascii="Cambria" w:hAnsi="Cambria"/>
            </w:rPr>
          </w:pPr>
          <w:r w:rsidRPr="00D07377">
            <w:rPr>
              <w:rFonts w:ascii="Cambria" w:hAnsi="Cambria"/>
              <w:b/>
              <w:bCs/>
              <w:noProof/>
            </w:rPr>
            <w:fldChar w:fldCharType="end"/>
          </w:r>
        </w:p>
      </w:sdtContent>
    </w:sdt>
    <w:p w:rsidR="006861CB" w:rsidRPr="00690E71" w:rsidRDefault="006861CB">
      <w:pPr>
        <w:rPr>
          <w:rFonts w:ascii="Cambria" w:eastAsiaTheme="majorEastAsia" w:hAnsi="Cambria" w:cstheme="majorBidi"/>
          <w:b/>
          <w:bCs/>
          <w:color w:val="4F81BD" w:themeColor="accent1"/>
          <w:sz w:val="26"/>
          <w:szCs w:val="26"/>
          <w:lang w:val="en-US"/>
        </w:rPr>
      </w:pPr>
      <w:r>
        <w:rPr>
          <w:b/>
        </w:rPr>
        <w:br w:type="page"/>
      </w:r>
    </w:p>
    <w:p w:rsidR="00DB2B09" w:rsidRDefault="002C0526" w:rsidP="00DB2B09">
      <w:pPr>
        <w:pStyle w:val="Heading1"/>
      </w:pPr>
      <w:bookmarkStart w:id="3" w:name="_Toc406768037"/>
      <w:r>
        <w:lastRenderedPageBreak/>
        <w:t>1.0 Introduction</w:t>
      </w:r>
      <w:bookmarkEnd w:id="3"/>
    </w:p>
    <w:p w:rsidR="007070D2" w:rsidRPr="00C72160" w:rsidRDefault="007070D2" w:rsidP="007070D2">
      <w:pPr>
        <w:spacing w:before="120"/>
        <w:jc w:val="both"/>
        <w:rPr>
          <w:rFonts w:cs="Times New Roman"/>
          <w:lang w:val="en-US"/>
        </w:rPr>
      </w:pPr>
      <w:r>
        <w:t>This report describes</w:t>
      </w:r>
      <w:r w:rsidRPr="00D07377">
        <w:t xml:space="preserve"> </w:t>
      </w:r>
      <w:r>
        <w:t xml:space="preserve">progress in </w:t>
      </w:r>
      <w:proofErr w:type="spellStart"/>
      <w:r>
        <w:t>operationalising</w:t>
      </w:r>
      <w:proofErr w:type="spellEnd"/>
      <w:r>
        <w:t xml:space="preserve"> integrated monitoring in the </w:t>
      </w:r>
      <w:r w:rsidRPr="00910258">
        <w:t>Great Barrier Reef World Heritage Area (GBRWHA)</w:t>
      </w:r>
      <w:r>
        <w:t>.  Using the Mackay region as a case study, it illustrates how targeted and adaptive monitoring can be integrated with modelling and structured decision-making to best inform adaptive management.</w:t>
      </w:r>
      <w:r w:rsidRPr="005A10FB">
        <w:t xml:space="preserve"> </w:t>
      </w:r>
    </w:p>
    <w:p w:rsidR="007070D2" w:rsidRDefault="007070D2" w:rsidP="007070D2">
      <w:r w:rsidRPr="00910258">
        <w:t xml:space="preserve">The </w:t>
      </w:r>
      <w:r>
        <w:t>GBRWHA</w:t>
      </w:r>
      <w:r w:rsidRPr="00910258">
        <w:t xml:space="preserve"> is home to some of the richest and diverse marine ecosystems</w:t>
      </w:r>
      <w:r w:rsidRPr="0062517F">
        <w:t xml:space="preserve"> </w:t>
      </w:r>
      <w:r>
        <w:t>on Earth</w:t>
      </w:r>
      <w:r w:rsidRPr="00910258">
        <w:t xml:space="preserve">. </w:t>
      </w:r>
      <w:r>
        <w:t>It</w:t>
      </w:r>
      <w:r w:rsidRPr="00910258">
        <w:t xml:space="preserve"> faces a suite of environmental and human-caused pressures, ranging from global environmental change to regional </w:t>
      </w:r>
      <w:r w:rsidRPr="0041245D">
        <w:t>and local-scale impacts such as land-use run-off and dredging from ports and other coastal developments (GBRMPA 2013</w:t>
      </w:r>
      <w:r w:rsidR="000945AA">
        <w:t>, GBRMPA 2014</w:t>
      </w:r>
      <w:r w:rsidRPr="0041245D">
        <w:t>).</w:t>
      </w:r>
      <w:r w:rsidRPr="00910258">
        <w:t xml:space="preserve">  </w:t>
      </w:r>
    </w:p>
    <w:p w:rsidR="007070D2" w:rsidRPr="00813986" w:rsidRDefault="00826BA8" w:rsidP="007070D2">
      <w:r w:rsidRPr="00813986">
        <w:t xml:space="preserve">Key challenges for GBRWHA managers and decision-makers are to (1) understand </w:t>
      </w:r>
      <w:r w:rsidR="000945AA">
        <w:t>the chronic and</w:t>
      </w:r>
      <w:r w:rsidRPr="00813986">
        <w:t xml:space="preserve"> cumulative </w:t>
      </w:r>
      <w:r w:rsidR="000945AA">
        <w:t xml:space="preserve">impact of multiple </w:t>
      </w:r>
      <w:r w:rsidRPr="00813986">
        <w:t xml:space="preserve">stressors, (2) monitor drivers, activities, pressures and their impacts on ecosystem values and their goods and services (and the linked </w:t>
      </w:r>
      <w:r>
        <w:t xml:space="preserve">social and economic </w:t>
      </w:r>
      <w:r w:rsidRPr="00813986">
        <w:t>system</w:t>
      </w:r>
      <w:r w:rsidR="007324C0">
        <w:t>s</w:t>
      </w:r>
      <w:r w:rsidRPr="00813986">
        <w:t xml:space="preserve">) effectively and optimally in order to (3) support the most well-informed management decisions. When integrated and targeted, monitoring </w:t>
      </w:r>
      <w:r>
        <w:t>can enable</w:t>
      </w:r>
      <w:r w:rsidRPr="00813986">
        <w:t xml:space="preserve"> evaluation of system performance (indicated by condition and trend), effectiveness of management actions, and </w:t>
      </w:r>
      <w:r>
        <w:t>inform</w:t>
      </w:r>
      <w:r w:rsidRPr="00813986">
        <w:t xml:space="preserve"> allocation of resources to monitoring and speci</w:t>
      </w:r>
      <w:r>
        <w:t>fic management action (</w:t>
      </w:r>
      <w:r w:rsidR="002775AE" w:rsidRPr="00813986">
        <w:t>Field et al. 2005</w:t>
      </w:r>
      <w:r w:rsidR="002775AE">
        <w:t xml:space="preserve">; Nichols and Williams 2006; </w:t>
      </w:r>
      <w:proofErr w:type="spellStart"/>
      <w:r w:rsidRPr="00272207">
        <w:t>Sanchirico</w:t>
      </w:r>
      <w:proofErr w:type="spellEnd"/>
      <w:r>
        <w:t xml:space="preserve"> et al. 2013</w:t>
      </w:r>
      <w:r w:rsidRPr="00813986">
        <w:t xml:space="preserve">). Ecological and environmental monitoring in the GBRWHA is substantial but not integrated, targeted or optimal </w:t>
      </w:r>
      <w:r>
        <w:t xml:space="preserve">for management </w:t>
      </w:r>
      <w:r w:rsidRPr="00813986">
        <w:t>(Hedge et al. 2013).</w:t>
      </w:r>
      <w:r>
        <w:t xml:space="preserve"> Such a lack of monitoring integration into management is a common feature seen in many marine protected areas in Australia (Addison et al. </w:t>
      </w:r>
      <w:r w:rsidR="003A3305">
        <w:t>2015</w:t>
      </w:r>
      <w:r>
        <w:t>), and indeed around the globe (Addison 2011).</w:t>
      </w:r>
    </w:p>
    <w:p w:rsidR="007070D2" w:rsidRPr="00813986" w:rsidRDefault="007070D2" w:rsidP="007070D2">
      <w:r w:rsidRPr="00813986">
        <w:t xml:space="preserve">To sustain the GBRWHA now and into the future will require management strategies and policies informed by a deeper understanding of how ecological and social systems interact, and will be interacting under scenarios of </w:t>
      </w:r>
      <w:r>
        <w:t xml:space="preserve">environmental </w:t>
      </w:r>
      <w:r w:rsidRPr="00813986">
        <w:t xml:space="preserve">change.  A path to such understanding is the integration of (1) multidisciplinary </w:t>
      </w:r>
      <w:r>
        <w:t xml:space="preserve">and multi-scale </w:t>
      </w:r>
      <w:r w:rsidRPr="00813986">
        <w:t xml:space="preserve">monitoring programs with (2) science-based models of ecosystem </w:t>
      </w:r>
      <w:r>
        <w:t xml:space="preserve">and socio-ecological </w:t>
      </w:r>
      <w:r w:rsidRPr="00813986">
        <w:t xml:space="preserve">behaviour and (3) a framework for transparent environmental decision-making. </w:t>
      </w:r>
    </w:p>
    <w:p w:rsidR="007070D2" w:rsidRDefault="007070D2" w:rsidP="007070D2">
      <w:r w:rsidRPr="00813986">
        <w:t>This demo</w:t>
      </w:r>
      <w:r w:rsidR="003734CF">
        <w:t xml:space="preserve">nstration case incorporates </w:t>
      </w:r>
      <w:r w:rsidRPr="00813986">
        <w:t>elements and principles of integrated monitoring and links these functionally to the modelling of the environment and its impacts on key ecosystems as</w:t>
      </w:r>
      <w:r w:rsidR="00F531A9">
        <w:t xml:space="preserve"> a primary objective, and social and </w:t>
      </w:r>
      <w:r w:rsidRPr="00813986">
        <w:t>economic aspects as secondary objectives. The specific focus ecosystems are se</w:t>
      </w:r>
      <w:r>
        <w:t xml:space="preserve">agrass meadows, coral reefs and, by implication, </w:t>
      </w:r>
      <w:r w:rsidRPr="00813986">
        <w:t xml:space="preserve">their </w:t>
      </w:r>
      <w:r>
        <w:t xml:space="preserve">key </w:t>
      </w:r>
      <w:r w:rsidRPr="00813986">
        <w:t>dependent species</w:t>
      </w:r>
      <w:r>
        <w:t xml:space="preserve">. The </w:t>
      </w:r>
      <w:r w:rsidR="00C7613D">
        <w:t>report</w:t>
      </w:r>
      <w:r>
        <w:t xml:space="preserve"> demonstrates how existing monitoring programs provide a stepping stone for fuller integration, and how improved design, coordination and integration with analysis and modelling can improve and support management decisions.  </w:t>
      </w:r>
    </w:p>
    <w:p w:rsidR="007070D2" w:rsidRDefault="007070D2" w:rsidP="007070D2">
      <w:r>
        <w:t xml:space="preserve">Dredging associated with expansion </w:t>
      </w:r>
      <w:r w:rsidRPr="00813986">
        <w:t xml:space="preserve">of </w:t>
      </w:r>
      <w:r w:rsidR="00F531A9">
        <w:t xml:space="preserve">port </w:t>
      </w:r>
      <w:r w:rsidR="002C0526">
        <w:t>capacity</w:t>
      </w:r>
      <w:r>
        <w:t xml:space="preserve"> and nutri</w:t>
      </w:r>
      <w:r w:rsidR="00F531A9">
        <w:t>ent and sediment run-off via</w:t>
      </w:r>
      <w:r>
        <w:t xml:space="preserve"> </w:t>
      </w:r>
      <w:r w:rsidR="00F531A9">
        <w:t>major rivers</w:t>
      </w:r>
      <w:r>
        <w:t xml:space="preserve"> are</w:t>
      </w:r>
      <w:r w:rsidRPr="00813986">
        <w:t xml:space="preserve"> used as key driv</w:t>
      </w:r>
      <w:r>
        <w:t xml:space="preserve">ers of environmental </w:t>
      </w:r>
      <w:r w:rsidRPr="00813986">
        <w:t>scenario</w:t>
      </w:r>
      <w:r>
        <w:t>s</w:t>
      </w:r>
      <w:r w:rsidRPr="00813986">
        <w:t xml:space="preserve"> </w:t>
      </w:r>
      <w:r>
        <w:t>in</w:t>
      </w:r>
      <w:r w:rsidRPr="00813986">
        <w:t xml:space="preserve"> the demonstration case.  </w:t>
      </w:r>
      <w:r>
        <w:t>As part of</w:t>
      </w:r>
      <w:r w:rsidRPr="00813986">
        <w:t xml:space="preserve"> this demonstration, we show how required monitoring effort is sensitive to the probability of </w:t>
      </w:r>
      <w:r>
        <w:t xml:space="preserve">environmental </w:t>
      </w:r>
      <w:r w:rsidRPr="00813986">
        <w:t>harm</w:t>
      </w:r>
      <w:r>
        <w:t xml:space="preserve"> (or unacceptable progress towards defined management targets), as informed by modelling. </w:t>
      </w:r>
    </w:p>
    <w:p w:rsidR="007070D2" w:rsidRDefault="007070D2" w:rsidP="007070D2">
      <w:r>
        <w:t xml:space="preserve">Although the </w:t>
      </w:r>
      <w:r w:rsidR="00C7613D">
        <w:t>report</w:t>
      </w:r>
      <w:r>
        <w:t xml:space="preserve"> uses the waters off Mackay and its surrounds as</w:t>
      </w:r>
      <w:r w:rsidR="00F531A9">
        <w:t xml:space="preserve"> a specific demonstration case</w:t>
      </w:r>
      <w:r>
        <w:t xml:space="preserve">, it is made scalable </w:t>
      </w:r>
      <w:r w:rsidRPr="00910258">
        <w:t xml:space="preserve">(expandable) </w:t>
      </w:r>
      <w:r>
        <w:t xml:space="preserve">by using a systems approach that allows the incorporation of additional </w:t>
      </w:r>
      <w:r>
        <w:lastRenderedPageBreak/>
        <w:t xml:space="preserve">drivers, pressures, indicators and values, and their interaction. Apart from using region-specific monitoring data, such scaling is possible by adjusting the structure and number of layers in the operational models of environment, ecosystem, and social system to represent the local or regional setting. </w:t>
      </w:r>
    </w:p>
    <w:p w:rsidR="00E53116" w:rsidRDefault="007070D2" w:rsidP="006C33D9">
      <w:r w:rsidRPr="00910258">
        <w:t xml:space="preserve">By using a scalable approach that incorporates elements of integrated monitoring, risk modelling, structured decision-making and adaptive management, the recommendations </w:t>
      </w:r>
      <w:r w:rsidR="00C7613D">
        <w:t>included in this report are made relevant to</w:t>
      </w:r>
      <w:r>
        <w:t xml:space="preserve"> the </w:t>
      </w:r>
      <w:r w:rsidR="00F531A9">
        <w:t xml:space="preserve">2050 </w:t>
      </w:r>
      <w:r>
        <w:t>Long-T</w:t>
      </w:r>
      <w:r w:rsidRPr="00910258">
        <w:t xml:space="preserve">erm </w:t>
      </w:r>
      <w:r>
        <w:t>Sustainability Plan for the GBR (Austra</w:t>
      </w:r>
      <w:r w:rsidR="00F531A9">
        <w:t>lian and Queensland governments 2014</w:t>
      </w:r>
      <w:r>
        <w:t xml:space="preserve">). </w:t>
      </w:r>
      <w:r w:rsidRPr="00910258">
        <w:t xml:space="preserve">While environmental and ecosystem values take centre stage in this case study, the approach can </w:t>
      </w:r>
      <w:r>
        <w:t xml:space="preserve">also </w:t>
      </w:r>
      <w:r w:rsidRPr="00910258">
        <w:t xml:space="preserve">formally accommodate social, economic and cultural objectives, thus supporting broad outcomes for the GBRWHA now and in the future. </w:t>
      </w:r>
    </w:p>
    <w:p w:rsidR="00E53116" w:rsidRPr="00B93C32" w:rsidRDefault="00E53116" w:rsidP="00E53116">
      <w:pPr>
        <w:spacing w:after="0"/>
      </w:pPr>
    </w:p>
    <w:p w:rsidR="00DB2B09" w:rsidRPr="008F3901" w:rsidRDefault="00B21790" w:rsidP="00DB2B09">
      <w:pPr>
        <w:pStyle w:val="Heading3"/>
      </w:pPr>
      <w:bookmarkStart w:id="4" w:name="_Toc406768038"/>
      <w:r>
        <w:t xml:space="preserve">1.1 </w:t>
      </w:r>
      <w:r w:rsidR="00DB2B09">
        <w:t xml:space="preserve">Overview of General </w:t>
      </w:r>
      <w:r w:rsidR="00DB2B09" w:rsidRPr="008F3901">
        <w:t>Approach</w:t>
      </w:r>
      <w:bookmarkEnd w:id="4"/>
    </w:p>
    <w:p w:rsidR="00136E64" w:rsidRDefault="007070D2" w:rsidP="00DB2B09">
      <w:r>
        <w:t>Monitoring is a critical component</w:t>
      </w:r>
      <w:r w:rsidR="00F531A9">
        <w:t xml:space="preserve"> of target-based adaptive management</w:t>
      </w:r>
      <w:r w:rsidR="009029E1">
        <w:t xml:space="preserve"> (</w:t>
      </w:r>
      <w:r w:rsidR="00820B60">
        <w:t xml:space="preserve">Keith et al. 2011, </w:t>
      </w:r>
      <w:r w:rsidR="009029E1" w:rsidRPr="00272207">
        <w:t xml:space="preserve">Nichols </w:t>
      </w:r>
      <w:r w:rsidR="009029E1">
        <w:t>and</w:t>
      </w:r>
      <w:r w:rsidR="00820B60">
        <w:t xml:space="preserve"> Williams 2006, </w:t>
      </w:r>
      <w:r w:rsidR="009029E1" w:rsidRPr="00272207">
        <w:t>Sergeant et al. 2012</w:t>
      </w:r>
      <w:r w:rsidR="009029E1">
        <w:t>)</w:t>
      </w:r>
      <w:r>
        <w:t xml:space="preserve">. </w:t>
      </w:r>
      <w:r w:rsidR="00F531A9">
        <w:t>M</w:t>
      </w:r>
      <w:r>
        <w:t xml:space="preserve">onitoring </w:t>
      </w:r>
      <w:r w:rsidR="00F531A9">
        <w:t xml:space="preserve">also </w:t>
      </w:r>
      <w:r>
        <w:t>helps provide insight into causal linkages in the system, and thereby leads to</w:t>
      </w:r>
      <w:r w:rsidR="00F531A9">
        <w:t xml:space="preserve"> </w:t>
      </w:r>
      <w:r w:rsidR="002C0526">
        <w:t>management</w:t>
      </w:r>
      <w:r w:rsidR="00F531A9">
        <w:t xml:space="preserve"> gains through </w:t>
      </w:r>
      <w:r>
        <w:t>improved system understanding. To formalise the role of monitoring in the context of adaptive management and causal linkages (Fig</w:t>
      </w:r>
      <w:r w:rsidR="00F531A9">
        <w:t>ure</w:t>
      </w:r>
      <w:r>
        <w:t xml:space="preserve"> 1), </w:t>
      </w:r>
      <w:r w:rsidR="00C7613D">
        <w:t>this report</w:t>
      </w:r>
      <w:r w:rsidRPr="00BB18CF">
        <w:t xml:space="preserve"> builds on two linked frameworks: </w:t>
      </w:r>
      <w:r w:rsidRPr="00BB18CF">
        <w:rPr>
          <w:i/>
        </w:rPr>
        <w:t>Adaptive</w:t>
      </w:r>
      <w:r w:rsidRPr="00BB18CF">
        <w:t xml:space="preserve"> </w:t>
      </w:r>
      <w:r w:rsidRPr="00BB18CF">
        <w:rPr>
          <w:i/>
        </w:rPr>
        <w:t xml:space="preserve">Management </w:t>
      </w:r>
      <w:r w:rsidR="009029E1">
        <w:t>(</w:t>
      </w:r>
      <w:proofErr w:type="spellStart"/>
      <w:r w:rsidR="009029E1">
        <w:t>Holling</w:t>
      </w:r>
      <w:proofErr w:type="spellEnd"/>
      <w:r w:rsidR="009029E1">
        <w:t xml:space="preserve"> 1978;</w:t>
      </w:r>
      <w:r w:rsidRPr="00BB18CF">
        <w:t xml:space="preserve"> Schreiber </w:t>
      </w:r>
      <w:r>
        <w:rPr>
          <w:i/>
        </w:rPr>
        <w:t xml:space="preserve">et al. </w:t>
      </w:r>
      <w:r>
        <w:t>2004; Argent</w:t>
      </w:r>
      <w:r w:rsidRPr="00BB18CF">
        <w:t xml:space="preserve"> 2009; </w:t>
      </w:r>
      <w:proofErr w:type="spellStart"/>
      <w:r w:rsidRPr="00BB18CF">
        <w:t>Rist</w:t>
      </w:r>
      <w:proofErr w:type="spellEnd"/>
      <w:r w:rsidRPr="00BB18CF">
        <w:t xml:space="preserve"> et al. 2013)</w:t>
      </w:r>
      <w:r w:rsidRPr="00BB18CF">
        <w:rPr>
          <w:i/>
        </w:rPr>
        <w:t xml:space="preserve"> </w:t>
      </w:r>
      <w:r w:rsidRPr="00BB18CF">
        <w:t xml:space="preserve">and the </w:t>
      </w:r>
      <w:r w:rsidRPr="00BB18CF">
        <w:rPr>
          <w:i/>
        </w:rPr>
        <w:t xml:space="preserve">Drivers, Pressures, Impacts (on values) and Responses </w:t>
      </w:r>
      <w:r w:rsidRPr="00BB18CF">
        <w:t>hierarchy (</w:t>
      </w:r>
      <w:proofErr w:type="spellStart"/>
      <w:r w:rsidRPr="00BB18CF">
        <w:t>Jago</w:t>
      </w:r>
      <w:proofErr w:type="spellEnd"/>
      <w:r w:rsidRPr="00BB18CF">
        <w:t xml:space="preserve">-on et al. 2009; </w:t>
      </w:r>
      <w:proofErr w:type="spellStart"/>
      <w:r w:rsidRPr="00BB18CF">
        <w:t>Borja</w:t>
      </w:r>
      <w:proofErr w:type="spellEnd"/>
      <w:r w:rsidRPr="00BB18CF">
        <w:t xml:space="preserve"> et al. 20</w:t>
      </w:r>
      <w:r w:rsidR="00E46DFE">
        <w:t>12</w:t>
      </w:r>
      <w:r w:rsidRPr="00BB18CF">
        <w:t>; GBRMPA 2013). Integration, coordination and management of monitoring data and models lead to improved understanding of ecosystem status and trend, and attribution of drivers and pressures, in turn leading to more informed management decisions now and into the future.</w:t>
      </w:r>
      <w:r>
        <w:t xml:space="preserve"> </w:t>
      </w:r>
      <w:r w:rsidR="00136E64">
        <w:t xml:space="preserve">  </w:t>
      </w:r>
    </w:p>
    <w:p w:rsidR="00DB2B09" w:rsidRPr="00D07377" w:rsidRDefault="00DB2B09" w:rsidP="00DB2B09">
      <w:pPr>
        <w:spacing w:line="360" w:lineRule="auto"/>
        <w:rPr>
          <w:rFonts w:ascii="Cambria" w:hAnsi="Cambria"/>
        </w:rPr>
      </w:pPr>
      <w:r>
        <w:rPr>
          <w:rFonts w:ascii="Cambria" w:hAnsi="Cambria"/>
          <w:noProof/>
          <w:lang w:eastAsia="en-AU"/>
        </w:rPr>
        <w:drawing>
          <wp:inline distT="0" distB="0" distL="0" distR="0">
            <wp:extent cx="3726968" cy="2856925"/>
            <wp:effectExtent l="0" t="0" r="698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5934" cy="2863798"/>
                    </a:xfrm>
                    <a:prstGeom prst="rect">
                      <a:avLst/>
                    </a:prstGeom>
                    <a:noFill/>
                  </pic:spPr>
                </pic:pic>
              </a:graphicData>
            </a:graphic>
          </wp:inline>
        </w:drawing>
      </w:r>
    </w:p>
    <w:p w:rsidR="00DB2B09" w:rsidRPr="00136E64" w:rsidRDefault="00DB2B09" w:rsidP="00DB2B09">
      <w:pPr>
        <w:rPr>
          <w:sz w:val="20"/>
          <w:szCs w:val="20"/>
        </w:rPr>
      </w:pPr>
      <w:proofErr w:type="gramStart"/>
      <w:r w:rsidRPr="00136E64">
        <w:rPr>
          <w:b/>
          <w:sz w:val="20"/>
          <w:szCs w:val="20"/>
        </w:rPr>
        <w:t>Fig</w:t>
      </w:r>
      <w:r w:rsidR="00136E64" w:rsidRPr="00136E64">
        <w:rPr>
          <w:b/>
          <w:sz w:val="20"/>
          <w:szCs w:val="20"/>
        </w:rPr>
        <w:t>ure</w:t>
      </w:r>
      <w:r w:rsidRPr="00136E64">
        <w:rPr>
          <w:b/>
          <w:sz w:val="20"/>
          <w:szCs w:val="20"/>
        </w:rPr>
        <w:t xml:space="preserve"> 1.</w:t>
      </w:r>
      <w:proofErr w:type="gramEnd"/>
      <w:r w:rsidRPr="00136E64">
        <w:rPr>
          <w:sz w:val="20"/>
          <w:szCs w:val="20"/>
        </w:rPr>
        <w:t xml:space="preserve"> The two coupled frameworks used as a basis for this </w:t>
      </w:r>
      <w:r w:rsidR="00C7613D">
        <w:rPr>
          <w:sz w:val="20"/>
          <w:szCs w:val="20"/>
        </w:rPr>
        <w:t>report</w:t>
      </w:r>
      <w:r w:rsidRPr="00136E64">
        <w:rPr>
          <w:sz w:val="20"/>
          <w:szCs w:val="20"/>
        </w:rPr>
        <w:t xml:space="preserve">: </w:t>
      </w:r>
      <w:r w:rsidRPr="00136E64">
        <w:rPr>
          <w:i/>
          <w:sz w:val="20"/>
          <w:szCs w:val="20"/>
        </w:rPr>
        <w:t>Adaptive Management</w:t>
      </w:r>
      <w:r w:rsidRPr="00136E64">
        <w:rPr>
          <w:sz w:val="20"/>
          <w:szCs w:val="20"/>
        </w:rPr>
        <w:t xml:space="preserve"> and a </w:t>
      </w:r>
      <w:r w:rsidR="000D4E45" w:rsidRPr="00136E64">
        <w:rPr>
          <w:sz w:val="20"/>
          <w:szCs w:val="20"/>
        </w:rPr>
        <w:t>m</w:t>
      </w:r>
      <w:r w:rsidRPr="00136E64">
        <w:rPr>
          <w:sz w:val="20"/>
          <w:szCs w:val="20"/>
        </w:rPr>
        <w:t xml:space="preserve">odified </w:t>
      </w:r>
      <w:r w:rsidRPr="00136E64">
        <w:rPr>
          <w:i/>
          <w:sz w:val="20"/>
          <w:szCs w:val="20"/>
        </w:rPr>
        <w:t xml:space="preserve">Drivers, Pressures, Impacts, Status &amp; Response </w:t>
      </w:r>
      <w:r w:rsidRPr="00136E64">
        <w:rPr>
          <w:sz w:val="20"/>
          <w:szCs w:val="20"/>
        </w:rPr>
        <w:t>(DPSIR)</w:t>
      </w:r>
      <w:r w:rsidRPr="00136E64">
        <w:rPr>
          <w:i/>
          <w:sz w:val="20"/>
          <w:szCs w:val="20"/>
        </w:rPr>
        <w:t xml:space="preserve"> </w:t>
      </w:r>
      <w:r w:rsidRPr="00136E64">
        <w:rPr>
          <w:sz w:val="20"/>
          <w:szCs w:val="20"/>
        </w:rPr>
        <w:t xml:space="preserve">framework. The DPSIR framework is largely similar to that used by GBRMPA </w:t>
      </w:r>
      <w:r w:rsidR="000D4E45" w:rsidRPr="00136E64">
        <w:rPr>
          <w:sz w:val="20"/>
          <w:szCs w:val="20"/>
        </w:rPr>
        <w:t>(</w:t>
      </w:r>
      <w:r w:rsidRPr="00136E64">
        <w:rPr>
          <w:sz w:val="20"/>
          <w:szCs w:val="20"/>
        </w:rPr>
        <w:t>2013</w:t>
      </w:r>
      <w:r w:rsidR="000D4E45" w:rsidRPr="00136E64">
        <w:rPr>
          <w:sz w:val="20"/>
          <w:szCs w:val="20"/>
        </w:rPr>
        <w:t>)</w:t>
      </w:r>
      <w:r w:rsidRPr="00136E64">
        <w:rPr>
          <w:sz w:val="20"/>
          <w:szCs w:val="20"/>
        </w:rPr>
        <w:t xml:space="preserve">.  </w:t>
      </w:r>
    </w:p>
    <w:p w:rsidR="00DB2B09" w:rsidRPr="00BB62A5" w:rsidRDefault="00DB2B09" w:rsidP="00DB2B09">
      <w:pPr>
        <w:rPr>
          <w:sz w:val="20"/>
          <w:szCs w:val="20"/>
        </w:rPr>
      </w:pPr>
    </w:p>
    <w:p w:rsidR="00DB2B09" w:rsidRDefault="00DB2B09" w:rsidP="00DB2B09">
      <w:r>
        <w:t xml:space="preserve">The DPSIR framework has been used extensively in marine and terrestrial </w:t>
      </w:r>
      <w:r w:rsidR="000D4E45">
        <w:t xml:space="preserve">environments </w:t>
      </w:r>
      <w:r>
        <w:t>to discern linkages of cause and effect in ec</w:t>
      </w:r>
      <w:r w:rsidR="00136E64">
        <w:t>ological and social systems</w:t>
      </w:r>
      <w:r>
        <w:t xml:space="preserve">. It </w:t>
      </w:r>
      <w:r w:rsidR="002379E6">
        <w:t xml:space="preserve">is </w:t>
      </w:r>
      <w:r>
        <w:t>the key structure used in the GBRMPA’s and the Q</w:t>
      </w:r>
      <w:r w:rsidR="006D7FD4">
        <w:t>ueensland Government’s</w:t>
      </w:r>
      <w:r>
        <w:t xml:space="preserve"> Strategic Assessment of the GBRWHA (GBRMPA 2013). </w:t>
      </w:r>
    </w:p>
    <w:p w:rsidR="00DB2B09" w:rsidRDefault="009029E1" w:rsidP="00DB2B09">
      <w:r w:rsidRPr="00D07377">
        <w:t>Adaptive management</w:t>
      </w:r>
      <w:r>
        <w:t xml:space="preserve"> is</w:t>
      </w:r>
      <w:r w:rsidRPr="00806C24">
        <w:t xml:space="preserve"> </w:t>
      </w:r>
      <w:r>
        <w:t xml:space="preserve">a </w:t>
      </w:r>
      <w:r w:rsidRPr="007A7805">
        <w:t>decision-making process</w:t>
      </w:r>
      <w:r>
        <w:t xml:space="preserve"> that promotes learning </w:t>
      </w:r>
      <w:r w:rsidRPr="009A364B">
        <w:t>from management outcomes</w:t>
      </w:r>
      <w:r>
        <w:t xml:space="preserve">. Key elements of adaptive management include defining management </w:t>
      </w:r>
      <w:r w:rsidRPr="00D07377">
        <w:t>objectives</w:t>
      </w:r>
      <w:r>
        <w:t>, implementing management action(s), and conducting monitoring and evaluation to assist with clarifying</w:t>
      </w:r>
      <w:r w:rsidRPr="00D07377">
        <w:t xml:space="preserve"> uncertaint</w:t>
      </w:r>
      <w:r>
        <w:t>y and learning about the effectiveness of management intervention (Figure 1;</w:t>
      </w:r>
      <w:r w:rsidRPr="00272207">
        <w:t xml:space="preserve"> </w:t>
      </w:r>
      <w:r>
        <w:t>Walters and</w:t>
      </w:r>
      <w:r w:rsidRPr="00272207">
        <w:t xml:space="preserve"> </w:t>
      </w:r>
      <w:proofErr w:type="spellStart"/>
      <w:r w:rsidRPr="00272207">
        <w:t>Hilborn</w:t>
      </w:r>
      <w:proofErr w:type="spellEnd"/>
      <w:r w:rsidRPr="00272207">
        <w:t xml:space="preserve"> 1978; Williams 2011</w:t>
      </w:r>
      <w:r>
        <w:t>)</w:t>
      </w:r>
      <w:r w:rsidRPr="00D07377">
        <w:t xml:space="preserve">. </w:t>
      </w:r>
      <w:r>
        <w:t xml:space="preserve">In this </w:t>
      </w:r>
      <w:r w:rsidR="00C7613D">
        <w:t>report</w:t>
      </w:r>
      <w:r>
        <w:t>, integrated monitoring is a crucial aspect of a</w:t>
      </w:r>
      <w:r w:rsidRPr="00D07377">
        <w:t>daptive management</w:t>
      </w:r>
      <w:r>
        <w:t xml:space="preserve">.  Integrated monitoring will not only inform when </w:t>
      </w:r>
      <w:r w:rsidR="003734CF">
        <w:t xml:space="preserve">and where </w:t>
      </w:r>
      <w:r>
        <w:t xml:space="preserve">management </w:t>
      </w:r>
      <w:r w:rsidR="003734CF">
        <w:t>interventions</w:t>
      </w:r>
      <w:r>
        <w:t xml:space="preserve"> should be </w:t>
      </w:r>
      <w:r w:rsidR="003734CF">
        <w:t>made</w:t>
      </w:r>
      <w:r>
        <w:t>, but will also inform adaptive monitoring, where monitoring is adjusted to meet the needs of increased system representation, reduced uncertainty, a</w:t>
      </w:r>
      <w:r w:rsidRPr="002A6C9A">
        <w:t>nd increased cost-effectiveness of both management and monitoring</w:t>
      </w:r>
      <w:r>
        <w:t xml:space="preserve"> (Field et al. 2005; </w:t>
      </w:r>
      <w:proofErr w:type="spellStart"/>
      <w:r w:rsidR="00520AA4">
        <w:t>Lindenmayer</w:t>
      </w:r>
      <w:proofErr w:type="spellEnd"/>
      <w:r w:rsidR="00520AA4">
        <w:t xml:space="preserve"> and</w:t>
      </w:r>
      <w:r w:rsidRPr="00272207">
        <w:t xml:space="preserve"> Likens 2009</w:t>
      </w:r>
      <w:r>
        <w:t>).</w:t>
      </w:r>
      <w:r w:rsidR="00DB2B09">
        <w:t xml:space="preserve">  </w:t>
      </w:r>
    </w:p>
    <w:p w:rsidR="00DB2B09" w:rsidRDefault="00F531A9" w:rsidP="00DB2B09">
      <w:r>
        <w:t>Decisions around the approvals and management intervention are based on risk-based judgments (</w:t>
      </w:r>
      <w:proofErr w:type="spellStart"/>
      <w:r>
        <w:t>Burgman</w:t>
      </w:r>
      <w:proofErr w:type="spellEnd"/>
      <w:r>
        <w:t xml:space="preserve"> 2005). </w:t>
      </w:r>
      <w:r w:rsidR="00136E64">
        <w:t>I</w:t>
      </w:r>
      <w:r w:rsidR="00DB2B09">
        <w:t>n</w:t>
      </w:r>
      <w:r w:rsidR="00136E64">
        <w:t xml:space="preserve"> Figure 2, an</w:t>
      </w:r>
      <w:r w:rsidR="00DB2B09">
        <w:t xml:space="preserve"> adaptive cycle is drawn around the modelling, encompassing the</w:t>
      </w:r>
      <w:r>
        <w:t xml:space="preserve"> DPSIR framework and calibrated </w:t>
      </w:r>
      <w:r w:rsidR="00DB2B09">
        <w:t xml:space="preserve">against monitoring data. Here, models use representation </w:t>
      </w:r>
      <w:r w:rsidR="00B079AC">
        <w:t xml:space="preserve">(high representation means low spatial or temporal bias) </w:t>
      </w:r>
      <w:r w:rsidR="00DB2B09">
        <w:t xml:space="preserve">and </w:t>
      </w:r>
      <w:r>
        <w:t>im</w:t>
      </w:r>
      <w:r w:rsidR="00DB2B09">
        <w:t xml:space="preserve">precision </w:t>
      </w:r>
      <w:r w:rsidR="00B079AC">
        <w:t xml:space="preserve">(variation around means) </w:t>
      </w:r>
      <w:r w:rsidR="00DB2B09">
        <w:t>to propagate uncertainty through the system to calculate uncertainty associat</w:t>
      </w:r>
      <w:r>
        <w:t xml:space="preserve">ed with risk analyses. </w:t>
      </w:r>
      <w:r w:rsidR="00DB2B09">
        <w:t xml:space="preserve">This builds on the method developed </w:t>
      </w:r>
      <w:r w:rsidR="007324C0">
        <w:t xml:space="preserve">in </w:t>
      </w:r>
      <w:r w:rsidR="00DB2B09">
        <w:t xml:space="preserve">Anthony et al. 2013, but in this </w:t>
      </w:r>
      <w:r w:rsidR="00C7613D">
        <w:t>report</w:t>
      </w:r>
      <w:r w:rsidR="00DB2B09">
        <w:t xml:space="preserve"> </w:t>
      </w:r>
      <w:proofErr w:type="spellStart"/>
      <w:r w:rsidR="00DB2B09">
        <w:t>operationalised</w:t>
      </w:r>
      <w:proofErr w:type="spellEnd"/>
      <w:r w:rsidR="00DB2B09">
        <w:t xml:space="preserve"> </w:t>
      </w:r>
      <w:r>
        <w:t xml:space="preserve">further </w:t>
      </w:r>
      <w:r w:rsidR="00DB2B09">
        <w:t xml:space="preserve">for quantitative rather than qualitative/conceptual models.  Similar to the first loop for monitoring, </w:t>
      </w:r>
      <w:r w:rsidR="007324C0">
        <w:t>integrated monitoring program (</w:t>
      </w:r>
      <w:r w:rsidR="00DB2B09">
        <w:t>IMP</w:t>
      </w:r>
      <w:r w:rsidR="007324C0">
        <w:t>)</w:t>
      </w:r>
      <w:r w:rsidR="00DB2B09">
        <w:t xml:space="preserve"> designs are manipulated through simulation to help identify a more optimal design and distribution of </w:t>
      </w:r>
      <w:r w:rsidR="00B079AC">
        <w:t xml:space="preserve">monitoring </w:t>
      </w:r>
      <w:r w:rsidR="00335F2C">
        <w:t xml:space="preserve">effort. </w:t>
      </w:r>
    </w:p>
    <w:p w:rsidR="00335F2C" w:rsidRPr="00335F2C" w:rsidRDefault="00335F2C" w:rsidP="00335F2C">
      <w:pPr>
        <w:spacing w:after="0"/>
        <w:rPr>
          <w:sz w:val="12"/>
          <w:szCs w:val="12"/>
        </w:rPr>
      </w:pPr>
    </w:p>
    <w:p w:rsidR="00DB2B09" w:rsidRDefault="00DB2B09" w:rsidP="00335F2C">
      <w:pPr>
        <w:spacing w:after="0"/>
      </w:pPr>
      <w:r>
        <w:rPr>
          <w:noProof/>
          <w:lang w:eastAsia="en-AU"/>
        </w:rPr>
        <w:drawing>
          <wp:inline distT="0" distB="0" distL="0" distR="0">
            <wp:extent cx="4518000" cy="27000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ing Modelling and Management.gif"/>
                    <pic:cNvPicPr/>
                  </pic:nvPicPr>
                  <pic:blipFill rotWithShape="1">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4" t="18013" b="2996"/>
                    <a:stretch/>
                  </pic:blipFill>
                  <pic:spPr bwMode="auto">
                    <a:xfrm>
                      <a:off x="0" y="0"/>
                      <a:ext cx="4518000" cy="270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B2B09" w:rsidRPr="00136E64" w:rsidRDefault="00136E64" w:rsidP="00DB2B09">
      <w:pPr>
        <w:rPr>
          <w:sz w:val="20"/>
          <w:szCs w:val="20"/>
        </w:rPr>
      </w:pPr>
      <w:proofErr w:type="gramStart"/>
      <w:r w:rsidRPr="00136E64">
        <w:rPr>
          <w:b/>
          <w:sz w:val="20"/>
          <w:szCs w:val="20"/>
        </w:rPr>
        <w:t xml:space="preserve">Figure </w:t>
      </w:r>
      <w:r w:rsidR="00DB2B09" w:rsidRPr="00136E64">
        <w:rPr>
          <w:b/>
          <w:sz w:val="20"/>
          <w:szCs w:val="20"/>
        </w:rPr>
        <w:t>2.</w:t>
      </w:r>
      <w:proofErr w:type="gramEnd"/>
      <w:r w:rsidR="00DB2B09" w:rsidRPr="00136E64">
        <w:rPr>
          <w:sz w:val="20"/>
          <w:szCs w:val="20"/>
        </w:rPr>
        <w:t xml:space="preserve"> </w:t>
      </w:r>
      <w:proofErr w:type="gramStart"/>
      <w:r w:rsidR="00DB2B09" w:rsidRPr="00136E64">
        <w:rPr>
          <w:sz w:val="20"/>
          <w:szCs w:val="20"/>
        </w:rPr>
        <w:t>Overview of the Integrated Monitoring Program, Analysis and Control Tool (</w:t>
      </w:r>
      <w:r w:rsidR="00DB2B09" w:rsidRPr="00136E64">
        <w:rPr>
          <w:i/>
          <w:sz w:val="20"/>
          <w:szCs w:val="20"/>
        </w:rPr>
        <w:t>IMPACT</w:t>
      </w:r>
      <w:r w:rsidR="003734CF">
        <w:rPr>
          <w:sz w:val="20"/>
          <w:szCs w:val="20"/>
        </w:rPr>
        <w:t>).</w:t>
      </w:r>
      <w:proofErr w:type="gramEnd"/>
      <w:r w:rsidR="003734CF">
        <w:rPr>
          <w:sz w:val="20"/>
          <w:szCs w:val="20"/>
        </w:rPr>
        <w:t xml:space="preserve"> This conceptual</w:t>
      </w:r>
      <w:r w:rsidR="00DB2B09" w:rsidRPr="00136E64">
        <w:rPr>
          <w:sz w:val="20"/>
          <w:szCs w:val="20"/>
        </w:rPr>
        <w:t xml:space="preserve"> tool </w:t>
      </w:r>
      <w:r w:rsidR="003734CF">
        <w:rPr>
          <w:sz w:val="20"/>
          <w:szCs w:val="20"/>
        </w:rPr>
        <w:t xml:space="preserve">underpins the approach to integrated monitoring adopted in this report. It </w:t>
      </w:r>
      <w:r w:rsidR="00DB2B09" w:rsidRPr="00136E64">
        <w:rPr>
          <w:sz w:val="20"/>
          <w:szCs w:val="20"/>
        </w:rPr>
        <w:t>formally links and interrogates monitoring, modelling and information informing management decisions through two major loops: one pertaining to the statistical analysis of monitoring information and use in the adjustment of monitoring programs, and the other to informing predictive and diagnos</w:t>
      </w:r>
      <w:r w:rsidR="007324C0">
        <w:rPr>
          <w:sz w:val="20"/>
          <w:szCs w:val="20"/>
        </w:rPr>
        <w:t>tic models for the purpose of</w:t>
      </w:r>
      <w:r w:rsidR="00DB2B09" w:rsidRPr="00136E64">
        <w:rPr>
          <w:sz w:val="20"/>
          <w:szCs w:val="20"/>
        </w:rPr>
        <w:t xml:space="preserve"> guiding adaptive management. Arrows from monitoring to modelling represent model calibration and validation.</w:t>
      </w:r>
    </w:p>
    <w:p w:rsidR="0094077D" w:rsidRDefault="0094077D" w:rsidP="0094077D"/>
    <w:p w:rsidR="006765D4" w:rsidRDefault="00B21790" w:rsidP="0094077D">
      <w:pPr>
        <w:pStyle w:val="Heading3"/>
      </w:pPr>
      <w:bookmarkStart w:id="5" w:name="_Toc406768039"/>
      <w:r>
        <w:t xml:space="preserve">1.2 </w:t>
      </w:r>
      <w:r w:rsidR="006765D4">
        <w:t>Context</w:t>
      </w:r>
      <w:bookmarkEnd w:id="5"/>
    </w:p>
    <w:p w:rsidR="00813986" w:rsidRPr="001B314A" w:rsidRDefault="00813986" w:rsidP="001B314A">
      <w:pPr>
        <w:pStyle w:val="Heading4"/>
        <w:rPr>
          <w:rStyle w:val="IntenseEmphasis"/>
          <w:b/>
          <w:bCs/>
          <w:i/>
          <w:iCs/>
        </w:rPr>
      </w:pPr>
      <w:r w:rsidRPr="001B314A">
        <w:rPr>
          <w:rStyle w:val="IntenseEmphasis"/>
          <w:b/>
          <w:bCs/>
          <w:i/>
          <w:iCs/>
        </w:rPr>
        <w:t>Long Term Sustainability Plan 2050</w:t>
      </w:r>
    </w:p>
    <w:p w:rsidR="006765D4" w:rsidRPr="006765D4" w:rsidRDefault="006765D4" w:rsidP="006D7FD4">
      <w:pPr>
        <w:spacing w:after="0"/>
        <w:rPr>
          <w:sz w:val="12"/>
          <w:szCs w:val="12"/>
        </w:rPr>
      </w:pPr>
    </w:p>
    <w:p w:rsidR="0094077D" w:rsidRPr="0094077D" w:rsidRDefault="0094077D" w:rsidP="006D7FD4">
      <w:pPr>
        <w:spacing w:after="0"/>
      </w:pPr>
      <w:r>
        <w:t xml:space="preserve">The Reef 2050 Long-Term Sustainability </w:t>
      </w:r>
      <w:r w:rsidR="002C0526">
        <w:t>Plan (</w:t>
      </w:r>
      <w:r w:rsidR="00997981">
        <w:t xml:space="preserve">LTSP2050; Australian and Queensland governments, </w:t>
      </w:r>
      <w:r w:rsidR="0035047B">
        <w:t>2014</w:t>
      </w:r>
      <w:r w:rsidR="00997981">
        <w:t xml:space="preserve">) uses an outcomes-based approach to align </w:t>
      </w:r>
      <w:r w:rsidR="001F2162">
        <w:t>its</w:t>
      </w:r>
      <w:r w:rsidR="00997981">
        <w:t xml:space="preserve"> vision, long-term objectives, short term targets and actions under seven themes, including </w:t>
      </w:r>
      <w:r w:rsidR="00997981" w:rsidRPr="00997981">
        <w:t>water quality, biodiversity, ecosystem health, heritage, community benefits, economic benefits and governance</w:t>
      </w:r>
      <w:r w:rsidR="006D7FD4">
        <w:t>.  The overa</w:t>
      </w:r>
      <w:r w:rsidR="0035047B">
        <w:t>rching vision is that:</w:t>
      </w:r>
    </w:p>
    <w:p w:rsidR="0094077D" w:rsidRDefault="0094077D" w:rsidP="006D7FD4">
      <w:pPr>
        <w:spacing w:after="0"/>
        <w:rPr>
          <w:i/>
        </w:rPr>
      </w:pPr>
    </w:p>
    <w:p w:rsidR="00997981" w:rsidRDefault="00997981" w:rsidP="006D7FD4">
      <w:pPr>
        <w:spacing w:after="0"/>
        <w:rPr>
          <w:i/>
        </w:rPr>
      </w:pPr>
      <w:r w:rsidRPr="00A72443">
        <w:rPr>
          <w:i/>
        </w:rPr>
        <w:t>“By 2050 the Great Barrier Reef continues to demonstrate the Outstanding Universal Value for which it was listed as a World Heritage Area and supports a wide range of sustainable economic, social, cultural and traditional activities”.</w:t>
      </w:r>
    </w:p>
    <w:p w:rsidR="00997981" w:rsidRDefault="00997981" w:rsidP="006D7FD4">
      <w:pPr>
        <w:spacing w:after="0"/>
        <w:rPr>
          <w:i/>
        </w:rPr>
      </w:pPr>
    </w:p>
    <w:p w:rsidR="00A72443" w:rsidRPr="001F2162" w:rsidRDefault="00A72443" w:rsidP="006D7FD4">
      <w:pPr>
        <w:spacing w:after="0"/>
      </w:pPr>
      <w:r w:rsidRPr="001F2162">
        <w:t xml:space="preserve">Targets </w:t>
      </w:r>
      <w:r w:rsidR="001F2162" w:rsidRPr="001F2162">
        <w:t xml:space="preserve">are specified for 2020 and represent stepping stones to the achievement of 2050 outcomes. </w:t>
      </w:r>
      <w:r w:rsidRPr="001F2162">
        <w:t xml:space="preserve"> </w:t>
      </w:r>
      <w:r w:rsidR="001F2162" w:rsidRPr="001F2162">
        <w:t>The implicit claim of the LTSP2050 is that success in implementing identified actions wil</w:t>
      </w:r>
      <w:r w:rsidR="006D7FD4">
        <w:t>l lead to success in the achiev</w:t>
      </w:r>
      <w:r w:rsidR="001F2162" w:rsidRPr="001F2162">
        <w:t>em</w:t>
      </w:r>
      <w:r w:rsidR="006D7FD4">
        <w:t>e</w:t>
      </w:r>
      <w:r w:rsidR="001F2162" w:rsidRPr="001F2162">
        <w:t>nt of associated targets.</w:t>
      </w:r>
    </w:p>
    <w:p w:rsidR="00A72443" w:rsidRPr="00A72443" w:rsidRDefault="00A72443" w:rsidP="006D7FD4">
      <w:pPr>
        <w:spacing w:after="0"/>
        <w:rPr>
          <w:i/>
        </w:rPr>
      </w:pPr>
    </w:p>
    <w:p w:rsidR="007070D2" w:rsidRDefault="007070D2" w:rsidP="007070D2">
      <w:pPr>
        <w:spacing w:after="0"/>
      </w:pPr>
      <w:r>
        <w:t xml:space="preserve">The specification of targets in the LTSP2050 elevates the importance of monitoring. These targets represent a key element in the quality assurance provided by the Queensland and Commonwealth governments to stakeholders.  </w:t>
      </w:r>
      <w:proofErr w:type="gramStart"/>
      <w:r>
        <w:t>The extent to which management arrangements are regarded as adequate rests substantially on the extent to which targets are, or can be, achieved.</w:t>
      </w:r>
      <w:proofErr w:type="gramEnd"/>
      <w:r>
        <w:t xml:space="preserve">  The evidence for success (or failure) will be derived largely from the signal provided by monitoring. </w:t>
      </w:r>
    </w:p>
    <w:p w:rsidR="007070D2" w:rsidRDefault="007070D2" w:rsidP="007070D2">
      <w:pPr>
        <w:spacing w:after="0"/>
      </w:pPr>
    </w:p>
    <w:p w:rsidR="006765D4" w:rsidRPr="006765D4" w:rsidRDefault="006765D4" w:rsidP="006765D4">
      <w:pPr>
        <w:pStyle w:val="Heading4"/>
      </w:pPr>
      <w:r w:rsidRPr="006765D4">
        <w:t>Integrated Monitoring Framework</w:t>
      </w:r>
    </w:p>
    <w:p w:rsidR="006765D4" w:rsidRPr="006765D4" w:rsidRDefault="006765D4" w:rsidP="007070D2">
      <w:pPr>
        <w:spacing w:after="0"/>
        <w:rPr>
          <w:sz w:val="12"/>
          <w:szCs w:val="12"/>
        </w:rPr>
      </w:pPr>
    </w:p>
    <w:p w:rsidR="007070D2" w:rsidRDefault="007070D2" w:rsidP="007070D2">
      <w:pPr>
        <w:spacing w:after="0"/>
      </w:pPr>
      <w:r w:rsidRPr="006765D4">
        <w:t>This report builds on the prerequisites and essential monitoring functions that form the guidance for establishing an integrated monitoring program (Table 1</w:t>
      </w:r>
      <w:r w:rsidR="002C0526" w:rsidRPr="006765D4">
        <w:t>, Hedge</w:t>
      </w:r>
      <w:r w:rsidRPr="006765D4">
        <w:t xml:space="preserve"> et al. 2013).</w:t>
      </w:r>
      <w:r>
        <w:t xml:space="preserve"> The provision of targets in the LTSP2050 provides considerable clarity in progressing these pre-requisites and functions.  The content of this report uses the fundamental foundation of targets to progress these </w:t>
      </w:r>
      <w:r w:rsidR="006C4AA7">
        <w:t xml:space="preserve">monitoring </w:t>
      </w:r>
      <w:r>
        <w:t>functions further.</w:t>
      </w:r>
    </w:p>
    <w:p w:rsidR="007070D2" w:rsidRDefault="007070D2" w:rsidP="007070D2">
      <w:pPr>
        <w:pStyle w:val="Tablecaption"/>
        <w:keepNext/>
        <w:keepLines/>
      </w:pPr>
      <w:bookmarkStart w:id="6" w:name="_Toc365375108"/>
    </w:p>
    <w:p w:rsidR="00335F2C" w:rsidRPr="004534CD" w:rsidRDefault="00335F2C" w:rsidP="00335F2C">
      <w:pPr>
        <w:spacing w:after="0"/>
      </w:pPr>
      <w:r w:rsidRPr="004534CD">
        <w:t xml:space="preserve">We </w:t>
      </w:r>
      <w:r>
        <w:t>propose</w:t>
      </w:r>
      <w:r w:rsidRPr="004534CD">
        <w:t xml:space="preserve"> that the overarching objectives (function #1) of an integrated monitoring program (IMP) for the GBR are to:</w:t>
      </w:r>
    </w:p>
    <w:p w:rsidR="00335F2C" w:rsidRPr="004534CD" w:rsidRDefault="00335F2C" w:rsidP="00335F2C">
      <w:pPr>
        <w:pStyle w:val="ListParagraph"/>
        <w:numPr>
          <w:ilvl w:val="0"/>
          <w:numId w:val="6"/>
        </w:numPr>
        <w:spacing w:after="0"/>
      </w:pPr>
      <w:r w:rsidRPr="004534CD">
        <w:t>Demonstrate performance against targets specified in the LTSP2050.</w:t>
      </w:r>
    </w:p>
    <w:p w:rsidR="00335F2C" w:rsidRPr="004534CD" w:rsidRDefault="00335F2C" w:rsidP="00335F2C">
      <w:pPr>
        <w:pStyle w:val="ListParagraph"/>
        <w:numPr>
          <w:ilvl w:val="0"/>
          <w:numId w:val="6"/>
        </w:numPr>
        <w:spacing w:after="0"/>
      </w:pPr>
      <w:r w:rsidRPr="004534CD">
        <w:t xml:space="preserve">Provide insight on appropriate action to managers. </w:t>
      </w:r>
    </w:p>
    <w:p w:rsidR="00335F2C" w:rsidRDefault="00335F2C" w:rsidP="00335F2C">
      <w:pPr>
        <w:spacing w:after="0"/>
      </w:pPr>
    </w:p>
    <w:p w:rsidR="00335F2C" w:rsidRDefault="00335F2C" w:rsidP="00335F2C">
      <w:pPr>
        <w:spacing w:after="0"/>
      </w:pPr>
      <w:r>
        <w:t>The clarity with which performance is demonstrated and insight is provided rests fundamentally on the precision and accuracy of monitoring data.  In Sections 3 and 4 of this report we outline an approach to assessing the reliability of current monitoring efforts in the Mackay region as a case study. In doing so, we compile and analyse</w:t>
      </w:r>
      <w:r w:rsidRPr="00335486">
        <w:t xml:space="preserve"> relevant information on existing monitoring programs</w:t>
      </w:r>
      <w:r>
        <w:t xml:space="preserve"> (function #2), and develop and extend conceptual models to represent synoptic models (function #3). Sections 4 and 5 describe a structured decision-making approach to informing iterative improvement in sampling </w:t>
      </w:r>
      <w:r>
        <w:lastRenderedPageBreak/>
        <w:t xml:space="preserve">design (function #4).  In Section 6, we provide commentary on data integration and management (functions 6 – 8). </w:t>
      </w:r>
    </w:p>
    <w:p w:rsidR="00335F2C" w:rsidRDefault="00335F2C" w:rsidP="007070D2">
      <w:pPr>
        <w:pStyle w:val="Tablecaption"/>
        <w:keepNext/>
        <w:keepLines/>
      </w:pPr>
    </w:p>
    <w:p w:rsidR="00335486" w:rsidRPr="006D7FD4" w:rsidRDefault="007070D2" w:rsidP="007070D2">
      <w:pPr>
        <w:pStyle w:val="Tablecaption"/>
        <w:keepNext/>
        <w:keepLines/>
        <w:rPr>
          <w:b w:val="0"/>
        </w:rPr>
      </w:pPr>
      <w:r w:rsidRPr="006D7FD4">
        <w:t xml:space="preserve">Table 1 </w:t>
      </w:r>
      <w:r w:rsidRPr="006D7FD4">
        <w:rPr>
          <w:b w:val="0"/>
        </w:rPr>
        <w:t>Prerequisites and essential monitoring functions that form the guidance for establishing an integrated monitoring framework</w:t>
      </w:r>
      <w:bookmarkEnd w:id="6"/>
      <w:r w:rsidRPr="006D7FD4">
        <w:rPr>
          <w:b w:val="0"/>
        </w:rPr>
        <w:t>.</w:t>
      </w:r>
      <w:r w:rsidRPr="006D7FD4">
        <w:t xml:space="preserve"> </w:t>
      </w:r>
      <w:r w:rsidRPr="006D7FD4">
        <w:rPr>
          <w:b w:val="0"/>
        </w:rPr>
        <w:t xml:space="preserve">Source: Hedge et al. </w:t>
      </w:r>
      <w:r>
        <w:rPr>
          <w:b w:val="0"/>
        </w:rPr>
        <w:t>2013</w:t>
      </w:r>
    </w:p>
    <w:tbl>
      <w:tblPr>
        <w:tblStyle w:val="TableGrid"/>
        <w:tblW w:w="0" w:type="auto"/>
        <w:shd w:val="clear" w:color="auto" w:fill="FABF8F" w:themeFill="accent6" w:themeFillTint="99"/>
        <w:tblLook w:val="04A0"/>
      </w:tblPr>
      <w:tblGrid>
        <w:gridCol w:w="9242"/>
      </w:tblGrid>
      <w:tr w:rsidR="00335486" w:rsidRPr="001E5708" w:rsidTr="00ED2AD2">
        <w:tc>
          <w:tcPr>
            <w:tcW w:w="9242" w:type="dxa"/>
            <w:tcBorders>
              <w:bottom w:val="single" w:sz="4" w:space="0" w:color="auto"/>
            </w:tcBorders>
            <w:shd w:val="clear" w:color="auto" w:fill="D9D9D9" w:themeFill="background1" w:themeFillShade="D9"/>
            <w:vAlign w:val="center"/>
          </w:tcPr>
          <w:p w:rsidR="00335486" w:rsidRPr="001E5708" w:rsidRDefault="00335486" w:rsidP="00ED2AD2">
            <w:pPr>
              <w:keepNext/>
              <w:keepLines/>
              <w:rPr>
                <w:b/>
                <w:sz w:val="18"/>
                <w:szCs w:val="18"/>
              </w:rPr>
            </w:pPr>
            <w:r w:rsidRPr="001E5708">
              <w:rPr>
                <w:b/>
                <w:sz w:val="18"/>
                <w:szCs w:val="18"/>
              </w:rPr>
              <w:t>Prerequisites</w:t>
            </w:r>
          </w:p>
        </w:tc>
      </w:tr>
      <w:tr w:rsidR="00335486" w:rsidRPr="001E5708" w:rsidTr="00ED2AD2">
        <w:trPr>
          <w:trHeight w:val="1367"/>
        </w:trPr>
        <w:tc>
          <w:tcPr>
            <w:tcW w:w="9242" w:type="dxa"/>
            <w:tcBorders>
              <w:bottom w:val="single" w:sz="4" w:space="0" w:color="auto"/>
            </w:tcBorders>
            <w:shd w:val="clear" w:color="auto" w:fill="auto"/>
            <w:vAlign w:val="center"/>
          </w:tcPr>
          <w:p w:rsidR="00335486" w:rsidRPr="001E5708" w:rsidRDefault="00335486" w:rsidP="00C0513B">
            <w:pPr>
              <w:keepNext/>
              <w:keepLines/>
              <w:numPr>
                <w:ilvl w:val="0"/>
                <w:numId w:val="2"/>
              </w:numPr>
              <w:ind w:left="714" w:hanging="357"/>
              <w:rPr>
                <w:sz w:val="18"/>
                <w:szCs w:val="18"/>
              </w:rPr>
            </w:pPr>
            <w:r w:rsidRPr="001E5708">
              <w:rPr>
                <w:sz w:val="18"/>
                <w:szCs w:val="18"/>
              </w:rPr>
              <w:t>Management objectives—to provide clarity about management needs and priorities and inform the identification of monitoring priorities and objectives</w:t>
            </w:r>
          </w:p>
          <w:p w:rsidR="00335486" w:rsidRPr="001E5708" w:rsidRDefault="00335486" w:rsidP="00C0513B">
            <w:pPr>
              <w:numPr>
                <w:ilvl w:val="0"/>
                <w:numId w:val="2"/>
              </w:numPr>
              <w:ind w:left="714" w:hanging="357"/>
              <w:rPr>
                <w:sz w:val="18"/>
                <w:szCs w:val="18"/>
              </w:rPr>
            </w:pPr>
            <w:r w:rsidRPr="001E5708">
              <w:rPr>
                <w:sz w:val="18"/>
                <w:szCs w:val="18"/>
              </w:rPr>
              <w:t>Governance—to provide a foundation for performance of the program and conformance to law, regulations, standards and community expectations of probity, accountability and openness</w:t>
            </w:r>
          </w:p>
          <w:p w:rsidR="00335486" w:rsidRPr="001E5708" w:rsidRDefault="00335486" w:rsidP="00C0513B">
            <w:pPr>
              <w:numPr>
                <w:ilvl w:val="0"/>
                <w:numId w:val="2"/>
              </w:numPr>
              <w:rPr>
                <w:sz w:val="18"/>
                <w:szCs w:val="18"/>
              </w:rPr>
            </w:pPr>
            <w:r w:rsidRPr="001E5708">
              <w:rPr>
                <w:sz w:val="18"/>
                <w:szCs w:val="18"/>
              </w:rPr>
              <w:t>Principles of integrated monitoring—</w:t>
            </w:r>
            <w:r w:rsidRPr="001E5708">
              <w:rPr>
                <w:rFonts w:eastAsia="Times New Roman" w:cs="Times New Roman"/>
                <w:sz w:val="18"/>
                <w:szCs w:val="18"/>
              </w:rPr>
              <w:t>to guide the many discussions and decisions that need to be made to establish an integrated monitoring program</w:t>
            </w:r>
          </w:p>
        </w:tc>
      </w:tr>
      <w:tr w:rsidR="00335486" w:rsidRPr="001E5708" w:rsidTr="00ED2AD2">
        <w:tc>
          <w:tcPr>
            <w:tcW w:w="9242" w:type="dxa"/>
            <w:tcBorders>
              <w:bottom w:val="single" w:sz="4" w:space="0" w:color="auto"/>
            </w:tcBorders>
            <w:shd w:val="clear" w:color="auto" w:fill="D9D9D9" w:themeFill="background1" w:themeFillShade="D9"/>
            <w:vAlign w:val="center"/>
          </w:tcPr>
          <w:p w:rsidR="00335486" w:rsidRPr="001E5708" w:rsidRDefault="00335486" w:rsidP="00ED2AD2">
            <w:pPr>
              <w:rPr>
                <w:b/>
                <w:sz w:val="18"/>
                <w:szCs w:val="18"/>
              </w:rPr>
            </w:pPr>
            <w:r w:rsidRPr="001E5708">
              <w:rPr>
                <w:b/>
                <w:sz w:val="18"/>
                <w:szCs w:val="18"/>
              </w:rPr>
              <w:t>Essential monitoring functions</w:t>
            </w:r>
          </w:p>
        </w:tc>
      </w:tr>
      <w:tr w:rsidR="00335486" w:rsidRPr="001E5708" w:rsidTr="00ED2AD2">
        <w:trPr>
          <w:trHeight w:val="2717"/>
        </w:trPr>
        <w:tc>
          <w:tcPr>
            <w:tcW w:w="9242" w:type="dxa"/>
            <w:shd w:val="clear" w:color="auto" w:fill="auto"/>
            <w:vAlign w:val="center"/>
          </w:tcPr>
          <w:p w:rsidR="00335486" w:rsidRPr="001E5708" w:rsidRDefault="00335486" w:rsidP="00C0513B">
            <w:pPr>
              <w:numPr>
                <w:ilvl w:val="0"/>
                <w:numId w:val="3"/>
              </w:numPr>
              <w:ind w:left="714" w:hanging="357"/>
              <w:rPr>
                <w:sz w:val="18"/>
                <w:szCs w:val="18"/>
              </w:rPr>
            </w:pPr>
            <w:r w:rsidRPr="001E5708">
              <w:rPr>
                <w:sz w:val="18"/>
                <w:szCs w:val="18"/>
              </w:rPr>
              <w:t>Clearly defining the purpose of the integrated monitoring program and the monitoring objectives</w:t>
            </w:r>
          </w:p>
          <w:p w:rsidR="00335486" w:rsidRPr="001E5708" w:rsidRDefault="00335486" w:rsidP="00C0513B">
            <w:pPr>
              <w:numPr>
                <w:ilvl w:val="0"/>
                <w:numId w:val="3"/>
              </w:numPr>
              <w:ind w:left="714" w:hanging="357"/>
              <w:rPr>
                <w:sz w:val="18"/>
                <w:szCs w:val="18"/>
              </w:rPr>
            </w:pPr>
            <w:r w:rsidRPr="001E5708">
              <w:rPr>
                <w:sz w:val="18"/>
                <w:szCs w:val="18"/>
              </w:rPr>
              <w:t xml:space="preserve">Compiling and </w:t>
            </w:r>
            <w:proofErr w:type="spellStart"/>
            <w:r w:rsidRPr="001E5708">
              <w:rPr>
                <w:sz w:val="18"/>
                <w:szCs w:val="18"/>
              </w:rPr>
              <w:t>analysing</w:t>
            </w:r>
            <w:proofErr w:type="spellEnd"/>
            <w:r w:rsidRPr="001E5708">
              <w:rPr>
                <w:sz w:val="18"/>
                <w:szCs w:val="18"/>
              </w:rPr>
              <w:t xml:space="preserve"> relevant information on existing monitoring programs</w:t>
            </w:r>
          </w:p>
          <w:p w:rsidR="00335486" w:rsidRPr="001E5708" w:rsidRDefault="00335486" w:rsidP="00C0513B">
            <w:pPr>
              <w:numPr>
                <w:ilvl w:val="0"/>
                <w:numId w:val="3"/>
              </w:numPr>
              <w:ind w:left="714" w:hanging="357"/>
              <w:rPr>
                <w:sz w:val="18"/>
                <w:szCs w:val="18"/>
              </w:rPr>
            </w:pPr>
            <w:r w:rsidRPr="001E5708">
              <w:rPr>
                <w:sz w:val="18"/>
                <w:szCs w:val="18"/>
              </w:rPr>
              <w:t>Developing conceptual models</w:t>
            </w:r>
          </w:p>
          <w:p w:rsidR="00335486" w:rsidRPr="001E5708" w:rsidRDefault="00335486" w:rsidP="00C0513B">
            <w:pPr>
              <w:numPr>
                <w:ilvl w:val="0"/>
                <w:numId w:val="3"/>
              </w:numPr>
              <w:ind w:left="714" w:hanging="357"/>
              <w:rPr>
                <w:sz w:val="18"/>
                <w:szCs w:val="18"/>
              </w:rPr>
            </w:pPr>
            <w:r w:rsidRPr="001E5708">
              <w:rPr>
                <w:sz w:val="18"/>
                <w:szCs w:val="18"/>
              </w:rPr>
              <w:t>Developing overall sampling design for integrated monitoring</w:t>
            </w:r>
          </w:p>
          <w:p w:rsidR="00335486" w:rsidRPr="001E5708" w:rsidRDefault="00335486" w:rsidP="00C0513B">
            <w:pPr>
              <w:numPr>
                <w:ilvl w:val="1"/>
                <w:numId w:val="3"/>
              </w:numPr>
              <w:ind w:left="1434" w:hanging="357"/>
              <w:rPr>
                <w:sz w:val="18"/>
                <w:szCs w:val="18"/>
              </w:rPr>
            </w:pPr>
            <w:r w:rsidRPr="001E5708">
              <w:rPr>
                <w:sz w:val="18"/>
                <w:szCs w:val="18"/>
              </w:rPr>
              <w:t>Selecting indicators</w:t>
            </w:r>
            <w:r w:rsidR="003944F5">
              <w:rPr>
                <w:sz w:val="18"/>
                <w:szCs w:val="18"/>
              </w:rPr>
              <w:t xml:space="preserve"> and state variables</w:t>
            </w:r>
          </w:p>
          <w:p w:rsidR="00335486" w:rsidRPr="001E5708" w:rsidRDefault="00335486" w:rsidP="00C0513B">
            <w:pPr>
              <w:numPr>
                <w:ilvl w:val="1"/>
                <w:numId w:val="3"/>
              </w:numPr>
              <w:ind w:left="1434" w:hanging="357"/>
              <w:rPr>
                <w:sz w:val="18"/>
                <w:szCs w:val="18"/>
              </w:rPr>
            </w:pPr>
            <w:r w:rsidRPr="001E5708">
              <w:rPr>
                <w:sz w:val="18"/>
                <w:szCs w:val="18"/>
              </w:rPr>
              <w:t>Selecting monitoring programs</w:t>
            </w:r>
          </w:p>
          <w:p w:rsidR="00335486" w:rsidRPr="001E5708" w:rsidRDefault="00335486" w:rsidP="00C0513B">
            <w:pPr>
              <w:numPr>
                <w:ilvl w:val="1"/>
                <w:numId w:val="3"/>
              </w:numPr>
              <w:rPr>
                <w:sz w:val="18"/>
                <w:szCs w:val="18"/>
              </w:rPr>
            </w:pPr>
            <w:r w:rsidRPr="001E5708">
              <w:rPr>
                <w:sz w:val="18"/>
                <w:szCs w:val="18"/>
              </w:rPr>
              <w:t>Developing sampling design</w:t>
            </w:r>
          </w:p>
          <w:p w:rsidR="00335486" w:rsidRPr="001E5708" w:rsidRDefault="00335486" w:rsidP="00C0513B">
            <w:pPr>
              <w:numPr>
                <w:ilvl w:val="0"/>
                <w:numId w:val="3"/>
              </w:numPr>
              <w:ind w:left="714" w:hanging="357"/>
              <w:rPr>
                <w:sz w:val="18"/>
                <w:szCs w:val="18"/>
              </w:rPr>
            </w:pPr>
            <w:r w:rsidRPr="001E5708">
              <w:rPr>
                <w:sz w:val="18"/>
                <w:szCs w:val="18"/>
              </w:rPr>
              <w:t>Developing monitoring protocols</w:t>
            </w:r>
          </w:p>
          <w:p w:rsidR="00335486" w:rsidRPr="001E5708" w:rsidRDefault="00335486" w:rsidP="00C0513B">
            <w:pPr>
              <w:numPr>
                <w:ilvl w:val="0"/>
                <w:numId w:val="3"/>
              </w:numPr>
              <w:ind w:left="714" w:hanging="357"/>
              <w:rPr>
                <w:sz w:val="18"/>
                <w:szCs w:val="18"/>
              </w:rPr>
            </w:pPr>
            <w:r w:rsidRPr="001E5708">
              <w:rPr>
                <w:sz w:val="18"/>
                <w:szCs w:val="18"/>
              </w:rPr>
              <w:t>Managing data</w:t>
            </w:r>
          </w:p>
          <w:p w:rsidR="00335486" w:rsidRPr="001E5708" w:rsidRDefault="00335486" w:rsidP="00C0513B">
            <w:pPr>
              <w:numPr>
                <w:ilvl w:val="0"/>
                <w:numId w:val="3"/>
              </w:numPr>
              <w:ind w:left="714" w:hanging="357"/>
              <w:rPr>
                <w:sz w:val="18"/>
                <w:szCs w:val="18"/>
              </w:rPr>
            </w:pPr>
            <w:proofErr w:type="spellStart"/>
            <w:r w:rsidRPr="001E5708">
              <w:rPr>
                <w:sz w:val="18"/>
                <w:szCs w:val="18"/>
              </w:rPr>
              <w:t>Analysing</w:t>
            </w:r>
            <w:proofErr w:type="spellEnd"/>
            <w:r w:rsidRPr="001E5708">
              <w:rPr>
                <w:sz w:val="18"/>
                <w:szCs w:val="18"/>
              </w:rPr>
              <w:t xml:space="preserve"> data</w:t>
            </w:r>
          </w:p>
          <w:p w:rsidR="00335486" w:rsidRPr="001E5708" w:rsidRDefault="00335486" w:rsidP="00C0513B">
            <w:pPr>
              <w:numPr>
                <w:ilvl w:val="0"/>
                <w:numId w:val="3"/>
              </w:numPr>
              <w:ind w:left="714" w:hanging="357"/>
              <w:rPr>
                <w:sz w:val="18"/>
                <w:szCs w:val="18"/>
              </w:rPr>
            </w:pPr>
            <w:r w:rsidRPr="001E5708">
              <w:rPr>
                <w:sz w:val="18"/>
                <w:szCs w:val="18"/>
              </w:rPr>
              <w:t>Reporting and communicating</w:t>
            </w:r>
          </w:p>
          <w:p w:rsidR="00335486" w:rsidRPr="001E5708" w:rsidRDefault="00335486" w:rsidP="00C0513B">
            <w:pPr>
              <w:numPr>
                <w:ilvl w:val="0"/>
                <w:numId w:val="3"/>
              </w:numPr>
              <w:ind w:left="714" w:hanging="357"/>
              <w:rPr>
                <w:sz w:val="18"/>
                <w:szCs w:val="18"/>
              </w:rPr>
            </w:pPr>
            <w:r w:rsidRPr="001E5708">
              <w:rPr>
                <w:sz w:val="18"/>
                <w:szCs w:val="18"/>
              </w:rPr>
              <w:t>Reviewing and auditing</w:t>
            </w:r>
          </w:p>
        </w:tc>
      </w:tr>
    </w:tbl>
    <w:p w:rsidR="00335486" w:rsidRDefault="00335486" w:rsidP="002928F3">
      <w:pPr>
        <w:spacing w:after="0" w:line="240" w:lineRule="auto"/>
      </w:pPr>
    </w:p>
    <w:p w:rsidR="00335486" w:rsidRDefault="00335486" w:rsidP="002928F3">
      <w:pPr>
        <w:spacing w:after="0" w:line="240" w:lineRule="auto"/>
      </w:pPr>
    </w:p>
    <w:p w:rsidR="00134175" w:rsidRDefault="007070D2" w:rsidP="007070D2">
      <w:pPr>
        <w:spacing w:after="0"/>
      </w:pPr>
      <w:r>
        <w:t>The focus of the main body of this report is the monitoring of ecological and biophysical elements of the GBRWHA.  In Section 5, we discuss one approach that could be used to integrate social and economic objectives in an IMP through considered treatment of trade-offs in the specification of regional targets and thresholds.</w:t>
      </w:r>
    </w:p>
    <w:p w:rsidR="00FC7E87" w:rsidRDefault="00FC7E87" w:rsidP="007070D2">
      <w:pPr>
        <w:spacing w:after="0"/>
      </w:pPr>
    </w:p>
    <w:p w:rsidR="007070D2" w:rsidRDefault="002C0526" w:rsidP="00D20C69">
      <w:pPr>
        <w:pStyle w:val="Heading1"/>
      </w:pPr>
      <w:bookmarkStart w:id="7" w:name="_Toc399352491"/>
      <w:bookmarkStart w:id="8" w:name="_Toc406768040"/>
      <w:r>
        <w:t>2.0 Case</w:t>
      </w:r>
      <w:r w:rsidR="007070D2" w:rsidRPr="00134175">
        <w:t xml:space="preserve"> </w:t>
      </w:r>
      <w:r w:rsidRPr="00134175">
        <w:t xml:space="preserve">study </w:t>
      </w:r>
      <w:bookmarkEnd w:id="7"/>
      <w:r w:rsidRPr="00134175">
        <w:t xml:space="preserve">- </w:t>
      </w:r>
      <w:r>
        <w:t>Mackay</w:t>
      </w:r>
      <w:r w:rsidR="000945AA">
        <w:t>-Whitsunday R</w:t>
      </w:r>
      <w:r w:rsidR="007070D2">
        <w:t>egion</w:t>
      </w:r>
      <w:bookmarkEnd w:id="8"/>
      <w:r w:rsidR="007070D2">
        <w:t xml:space="preserve"> </w:t>
      </w:r>
    </w:p>
    <w:p w:rsidR="00A04191" w:rsidRDefault="002C0526" w:rsidP="00D20C69">
      <w:pPr>
        <w:pStyle w:val="Heading3"/>
        <w:rPr>
          <w:rFonts w:eastAsia="Times New Roman" w:cs="Arial"/>
          <w:lang w:eastAsia="en-AU"/>
        </w:rPr>
      </w:pPr>
      <w:bookmarkStart w:id="9" w:name="_Toc399352492"/>
      <w:bookmarkStart w:id="10" w:name="_Toc406768041"/>
      <w:r>
        <w:t>2.1 Study</w:t>
      </w:r>
      <w:r w:rsidR="007070D2" w:rsidRPr="00712425">
        <w:t xml:space="preserve"> Area</w:t>
      </w:r>
      <w:bookmarkEnd w:id="9"/>
      <w:bookmarkEnd w:id="10"/>
    </w:p>
    <w:p w:rsidR="007070D2" w:rsidRPr="00EA6894" w:rsidRDefault="00A04191" w:rsidP="00D20C69">
      <w:pPr>
        <w:rPr>
          <w:rFonts w:eastAsia="Times New Roman" w:cs="Arial"/>
          <w:lang w:eastAsia="en-AU"/>
        </w:rPr>
      </w:pPr>
      <w:r>
        <w:rPr>
          <w:rFonts w:eastAsia="Times New Roman" w:cs="Arial"/>
          <w:lang w:eastAsia="en-AU"/>
        </w:rPr>
        <w:t>T</w:t>
      </w:r>
      <w:r w:rsidR="007070D2">
        <w:rPr>
          <w:rFonts w:eastAsia="Times New Roman" w:cs="Arial"/>
          <w:lang w:eastAsia="en-AU"/>
        </w:rPr>
        <w:t>he Mackay-</w:t>
      </w:r>
      <w:r w:rsidR="007070D2" w:rsidRPr="00EA6894">
        <w:rPr>
          <w:rFonts w:eastAsia="Times New Roman" w:cs="Arial"/>
          <w:lang w:eastAsia="en-AU"/>
        </w:rPr>
        <w:t xml:space="preserve">Whitsunday region stretches from </w:t>
      </w:r>
      <w:proofErr w:type="spellStart"/>
      <w:r w:rsidR="007070D2" w:rsidRPr="00EA6894">
        <w:rPr>
          <w:rFonts w:eastAsia="Times New Roman" w:cs="Arial"/>
          <w:lang w:eastAsia="en-AU"/>
        </w:rPr>
        <w:t>Clairview</w:t>
      </w:r>
      <w:proofErr w:type="spellEnd"/>
      <w:r w:rsidR="007070D2" w:rsidRPr="00EA6894">
        <w:rPr>
          <w:rFonts w:eastAsia="Times New Roman" w:cs="Arial"/>
          <w:lang w:eastAsia="en-AU"/>
        </w:rPr>
        <w:t xml:space="preserve"> in the south to Home Hill in the north, </w:t>
      </w:r>
      <w:r w:rsidR="00EC725E">
        <w:rPr>
          <w:rFonts w:eastAsia="Times New Roman" w:cs="Arial"/>
          <w:lang w:eastAsia="en-AU"/>
        </w:rPr>
        <w:t xml:space="preserve">comprising </w:t>
      </w:r>
      <w:r w:rsidR="007070D2" w:rsidRPr="00EA6894">
        <w:rPr>
          <w:rFonts w:eastAsia="Times New Roman" w:cs="Arial"/>
          <w:lang w:eastAsia="en-AU"/>
        </w:rPr>
        <w:t>approximately 250 kilometres of coastline. The Mackay/Whitsunday catchments cover an area of approximately 9</w:t>
      </w:r>
      <w:r w:rsidR="00EC725E">
        <w:rPr>
          <w:rFonts w:eastAsia="Times New Roman" w:cs="Arial"/>
          <w:lang w:eastAsia="en-AU"/>
        </w:rPr>
        <w:t>,</w:t>
      </w:r>
      <w:r w:rsidR="007070D2" w:rsidRPr="00EA6894">
        <w:rPr>
          <w:rFonts w:eastAsia="Times New Roman" w:cs="Arial"/>
          <w:lang w:eastAsia="en-AU"/>
        </w:rPr>
        <w:t xml:space="preserve">000 square kilometres and include the Pioneer, O’Connell, Don and Proserpine River systems. </w:t>
      </w:r>
    </w:p>
    <w:p w:rsidR="007070D2" w:rsidRPr="00EA6894" w:rsidRDefault="007070D2" w:rsidP="00D20C69">
      <w:pPr>
        <w:pStyle w:val="ListParagraph"/>
        <w:ind w:left="0"/>
      </w:pPr>
      <w:r w:rsidRPr="00EA6894">
        <w:t xml:space="preserve">The region has </w:t>
      </w:r>
      <w:r w:rsidRPr="00EA6894">
        <w:rPr>
          <w:rFonts w:eastAsia="Times New Roman" w:cs="Arial"/>
          <w:lang w:eastAsia="en-AU"/>
        </w:rPr>
        <w:t xml:space="preserve">74 </w:t>
      </w:r>
      <w:r w:rsidRPr="00EA6894">
        <w:t xml:space="preserve">inshore </w:t>
      </w:r>
      <w:r w:rsidRPr="00EA6894">
        <w:rPr>
          <w:rFonts w:eastAsia="Times New Roman" w:cs="Arial"/>
          <w:lang w:eastAsia="en-AU"/>
        </w:rPr>
        <w:t>islands</w:t>
      </w:r>
      <w:r w:rsidRPr="00EA6894">
        <w:t xml:space="preserve"> surrounded by fringing coral reefs</w:t>
      </w:r>
      <w:r w:rsidR="000945AA">
        <w:t>, creating distinct complexity in ecological connectivity and water flow</w:t>
      </w:r>
      <w:r w:rsidRPr="00EA6894">
        <w:t xml:space="preserve">. Larger swaths of reefs stretch from 50 to 150 km offshore.  Parts of the coastal marine environments in the region are important seagrass habitat and dugong protection areas, specifically </w:t>
      </w:r>
      <w:proofErr w:type="spellStart"/>
      <w:r>
        <w:t>Edgecumbe</w:t>
      </w:r>
      <w:proofErr w:type="spellEnd"/>
      <w:r>
        <w:t xml:space="preserve"> Bay, </w:t>
      </w:r>
      <w:r w:rsidRPr="00EA6894">
        <w:t xml:space="preserve">Repulse Bay, Newry Region, Sandy Bay, Llewellyn Bay, </w:t>
      </w:r>
      <w:proofErr w:type="spellStart"/>
      <w:r w:rsidRPr="00EA6894">
        <w:t>Ince</w:t>
      </w:r>
      <w:proofErr w:type="spellEnd"/>
      <w:r w:rsidRPr="00EA6894">
        <w:t xml:space="preserve"> Bay </w:t>
      </w:r>
      <w:r w:rsidR="00335F2C">
        <w:t xml:space="preserve">and </w:t>
      </w:r>
      <w:proofErr w:type="spellStart"/>
      <w:r w:rsidR="00335F2C">
        <w:t>Clairview</w:t>
      </w:r>
      <w:proofErr w:type="spellEnd"/>
      <w:r w:rsidR="00335F2C">
        <w:t xml:space="preserve">. </w:t>
      </w:r>
      <w:r w:rsidRPr="00EA6894">
        <w:t>The Whitsunday Islands are some of the most important domestic and international tourism destinations on the Great Barrier Reef.  The region has around 4.6 million domestic and 1.6 million international visitor nights per year (Deloit</w:t>
      </w:r>
      <w:r w:rsidR="006765D4">
        <w:t>t</w:t>
      </w:r>
      <w:r w:rsidRPr="00EA6894">
        <w:t>e Access</w:t>
      </w:r>
      <w:r>
        <w:t xml:space="preserve"> Economics</w:t>
      </w:r>
      <w:r w:rsidRPr="00EA6894">
        <w:t xml:space="preserve">, 2013). The </w:t>
      </w:r>
      <w:r w:rsidRPr="00EA6894">
        <w:lastRenderedPageBreak/>
        <w:t>direct econ</w:t>
      </w:r>
      <w:r>
        <w:t xml:space="preserve">omic contribution </w:t>
      </w:r>
      <w:r w:rsidR="00EC725E">
        <w:t>of</w:t>
      </w:r>
      <w:r>
        <w:t xml:space="preserve"> the Mackay</w:t>
      </w:r>
      <w:r w:rsidR="000945AA">
        <w:t>–Whitsunday R</w:t>
      </w:r>
      <w:r w:rsidRPr="00EA6894">
        <w:t>egion via tourism, recreational activity and commercial fishing is around $1.1B. The reef supports around 7,400 jobs in the region.</w:t>
      </w:r>
    </w:p>
    <w:p w:rsidR="007070D2" w:rsidRDefault="007070D2" w:rsidP="00D20C69">
      <w:r w:rsidRPr="00570DED">
        <w:t>The rationale for se</w:t>
      </w:r>
      <w:r w:rsidR="006C160A">
        <w:t>lecting the Mackay-Whitsunday R</w:t>
      </w:r>
      <w:r w:rsidRPr="00570DED">
        <w:t>egion for this study is two-fold. Firstly, many of the environmental challenges on the Great Barrier Reef, their influence by regional drivers, and their impact on ecological, social and economic values are broadly represented in the region. Specifically, two major coal port expansions are underway (Abbott Point and Hay Point) servicing multiple coal mining operations; the region supports significant s</w:t>
      </w:r>
      <w:r w:rsidR="007324C0">
        <w:t>ugar and cattle farming industries</w:t>
      </w:r>
      <w:r w:rsidRPr="00570DED">
        <w:t xml:space="preserve"> in adjacent catchments; </w:t>
      </w:r>
      <w:r w:rsidR="00EC725E">
        <w:t xml:space="preserve">and </w:t>
      </w:r>
      <w:r w:rsidRPr="00570DED">
        <w:t xml:space="preserve">the Whitsunday Islands are one of the most valuable tourism destinations on the Queensland coast and an important tourism gateway to the central Great Barrier Reef. </w:t>
      </w:r>
    </w:p>
    <w:p w:rsidR="007070D2" w:rsidRPr="00570DED" w:rsidRDefault="007070D2" w:rsidP="00D20C69">
      <w:pPr>
        <w:rPr>
          <w:rFonts w:eastAsiaTheme="majorEastAsia" w:cs="Arial"/>
          <w:bCs/>
          <w:color w:val="365F91" w:themeColor="accent1" w:themeShade="BF"/>
          <w:sz w:val="24"/>
          <w:szCs w:val="24"/>
        </w:rPr>
      </w:pPr>
      <w:r w:rsidRPr="00570DED">
        <w:t xml:space="preserve">Secondly, </w:t>
      </w:r>
      <w:r w:rsidRPr="00570DED">
        <w:rPr>
          <w:rFonts w:cs="Arial"/>
        </w:rPr>
        <w:t>a new report card is being developed for the region</w:t>
      </w:r>
      <w:r>
        <w:rPr>
          <w:rFonts w:cs="Arial"/>
        </w:rPr>
        <w:t xml:space="preserve"> supported by the Queensland </w:t>
      </w:r>
      <w:r w:rsidRPr="00570DED">
        <w:rPr>
          <w:rFonts w:cs="Arial"/>
        </w:rPr>
        <w:t xml:space="preserve">Government, building on and aligned with the report card for Gladstone Healthy Harbour. The </w:t>
      </w:r>
      <w:proofErr w:type="spellStart"/>
      <w:r w:rsidRPr="00570DED">
        <w:rPr>
          <w:rFonts w:cs="Arial"/>
        </w:rPr>
        <w:t>learnings</w:t>
      </w:r>
      <w:proofErr w:type="spellEnd"/>
      <w:r w:rsidRPr="00570DED">
        <w:rPr>
          <w:rFonts w:cs="Arial"/>
        </w:rPr>
        <w:t xml:space="preserve"> from the Mackay-Whitsunday report card will be applied to the development of other regional integrated monitoring report card programs into the future (e.g. Townsville and Cairns).</w:t>
      </w:r>
      <w:r w:rsidRPr="00570DED">
        <w:rPr>
          <w:rFonts w:eastAsiaTheme="majorEastAsia" w:cs="Arial"/>
          <w:bCs/>
          <w:color w:val="365F91" w:themeColor="accent1" w:themeShade="BF"/>
          <w:sz w:val="24"/>
          <w:szCs w:val="24"/>
        </w:rPr>
        <w:t xml:space="preserve"> </w:t>
      </w:r>
      <w:r w:rsidRPr="00570DED">
        <w:rPr>
          <w:rFonts w:cs="Arial"/>
        </w:rPr>
        <w:t xml:space="preserve">The intent is to build on the current reef wide approach to reporting, with nested regional models that provide finer scale information and </w:t>
      </w:r>
      <w:r w:rsidR="00EC725E">
        <w:rPr>
          <w:rFonts w:cs="Arial"/>
        </w:rPr>
        <w:t>promote community awareness and custodianship</w:t>
      </w:r>
      <w:r w:rsidRPr="00570DED">
        <w:rPr>
          <w:rFonts w:cs="Arial"/>
        </w:rPr>
        <w:t>.</w:t>
      </w:r>
    </w:p>
    <w:p w:rsidR="007070D2" w:rsidRDefault="007070D2" w:rsidP="00335F2C">
      <w:r>
        <w:t xml:space="preserve">As the purpose of this </w:t>
      </w:r>
      <w:r w:rsidR="00C7613D">
        <w:t>report</w:t>
      </w:r>
      <w:r>
        <w:t xml:space="preserve"> is to demonstrate how an integrated monitoring program can best support adaptive management in the region with consideration of key drivers, activities and pressures on values, we focus on a subse</w:t>
      </w:r>
      <w:r w:rsidR="006C160A">
        <w:t>ction of the Mackay-Whitsunday R</w:t>
      </w:r>
      <w:r>
        <w:t xml:space="preserve">egion centred </w:t>
      </w:r>
      <w:proofErr w:type="gramStart"/>
      <w:r>
        <w:t>around</w:t>
      </w:r>
      <w:proofErr w:type="gramEnd"/>
      <w:r>
        <w:t xml:space="preserve"> </w:t>
      </w:r>
      <w:r w:rsidR="00556052">
        <w:t xml:space="preserve">the Port of </w:t>
      </w:r>
      <w:r>
        <w:t>Hay Point and downstream influences of the O’C</w:t>
      </w:r>
      <w:r w:rsidR="00EC725E">
        <w:t>onnel</w:t>
      </w:r>
      <w:r w:rsidR="00556052">
        <w:t>l</w:t>
      </w:r>
      <w:r w:rsidR="00EC725E">
        <w:t xml:space="preserve">, Pioneer and Plane </w:t>
      </w:r>
      <w:r>
        <w:t>catchments. The specific focus subsection stretches from Gloucester Island in the north to West Hill Island in the south (Fig</w:t>
      </w:r>
      <w:r w:rsidR="00EC725E">
        <w:t>ure 3</w:t>
      </w:r>
      <w:r w:rsidR="00335F2C">
        <w:t xml:space="preserve">). </w:t>
      </w:r>
    </w:p>
    <w:p w:rsidR="007070D2" w:rsidRPr="00EA6894" w:rsidRDefault="007070D2" w:rsidP="00D20C69">
      <w:r>
        <w:rPr>
          <w:noProof/>
          <w:lang w:eastAsia="en-AU"/>
        </w:rPr>
        <w:drawing>
          <wp:inline distT="0" distB="0" distL="0" distR="0">
            <wp:extent cx="5264150" cy="341207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kay-Whitsundays Region - study area.jpg"/>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5296" cy="3412819"/>
                    </a:xfrm>
                    <a:prstGeom prst="rect">
                      <a:avLst/>
                    </a:prstGeom>
                  </pic:spPr>
                </pic:pic>
              </a:graphicData>
            </a:graphic>
          </wp:inline>
        </w:drawing>
      </w:r>
    </w:p>
    <w:p w:rsidR="007070D2" w:rsidRPr="008560C8" w:rsidRDefault="007070D2" w:rsidP="00D20C69">
      <w:pPr>
        <w:rPr>
          <w:sz w:val="20"/>
          <w:szCs w:val="20"/>
        </w:rPr>
      </w:pPr>
      <w:proofErr w:type="gramStart"/>
      <w:r w:rsidRPr="00F84791">
        <w:rPr>
          <w:b/>
          <w:sz w:val="20"/>
          <w:szCs w:val="20"/>
        </w:rPr>
        <w:t>Fig</w:t>
      </w:r>
      <w:r w:rsidR="00F84791" w:rsidRPr="00F84791">
        <w:rPr>
          <w:b/>
          <w:sz w:val="20"/>
          <w:szCs w:val="20"/>
        </w:rPr>
        <w:t>ure</w:t>
      </w:r>
      <w:r w:rsidRPr="00F84791">
        <w:rPr>
          <w:b/>
          <w:sz w:val="20"/>
          <w:szCs w:val="20"/>
        </w:rPr>
        <w:t xml:space="preserve"> </w:t>
      </w:r>
      <w:r w:rsidR="00F84791" w:rsidRPr="00F84791">
        <w:rPr>
          <w:b/>
          <w:sz w:val="20"/>
          <w:szCs w:val="20"/>
        </w:rPr>
        <w:t>3</w:t>
      </w:r>
      <w:r w:rsidRPr="00F84791">
        <w:rPr>
          <w:b/>
          <w:sz w:val="20"/>
          <w:szCs w:val="20"/>
        </w:rPr>
        <w:t>.</w:t>
      </w:r>
      <w:proofErr w:type="gramEnd"/>
      <w:r w:rsidRPr="008560C8">
        <w:rPr>
          <w:sz w:val="20"/>
          <w:szCs w:val="20"/>
        </w:rPr>
        <w:t xml:space="preserve"> </w:t>
      </w:r>
      <w:proofErr w:type="gramStart"/>
      <w:r w:rsidRPr="008560C8">
        <w:rPr>
          <w:sz w:val="20"/>
          <w:szCs w:val="20"/>
        </w:rPr>
        <w:t>Study focus</w:t>
      </w:r>
      <w:proofErr w:type="gramEnd"/>
      <w:r w:rsidRPr="008560C8">
        <w:rPr>
          <w:sz w:val="20"/>
          <w:szCs w:val="20"/>
        </w:rPr>
        <w:t xml:space="preserve"> area within the Mackay-Whitsundays region.  White, purple and red boundaries on land outline the O’Connell, Pioneer and Plane cat</w:t>
      </w:r>
      <w:r w:rsidR="00EC725E">
        <w:rPr>
          <w:sz w:val="20"/>
          <w:szCs w:val="20"/>
        </w:rPr>
        <w:t>c</w:t>
      </w:r>
      <w:r w:rsidRPr="008560C8">
        <w:rPr>
          <w:sz w:val="20"/>
          <w:szCs w:val="20"/>
        </w:rPr>
        <w:t>hments</w:t>
      </w:r>
      <w:r w:rsidR="00EC725E">
        <w:rPr>
          <w:sz w:val="20"/>
          <w:szCs w:val="20"/>
        </w:rPr>
        <w:t>, respectively</w:t>
      </w:r>
      <w:r w:rsidRPr="008560C8">
        <w:rPr>
          <w:sz w:val="20"/>
          <w:szCs w:val="20"/>
        </w:rPr>
        <w:t xml:space="preserve">. Yellow boundaries in the coastal marine environment are dugong protection zones (GBRMPA). Seagrass habitats are green areas (source: </w:t>
      </w:r>
      <w:proofErr w:type="spellStart"/>
      <w:r w:rsidRPr="008560C8">
        <w:rPr>
          <w:sz w:val="20"/>
          <w:szCs w:val="20"/>
        </w:rPr>
        <w:t>TropWater</w:t>
      </w:r>
      <w:proofErr w:type="spellEnd"/>
      <w:r w:rsidRPr="008560C8">
        <w:rPr>
          <w:sz w:val="20"/>
          <w:szCs w:val="20"/>
        </w:rPr>
        <w:t xml:space="preserve">), and coral reefs are light blue areas (GBRMPA).  </w:t>
      </w:r>
    </w:p>
    <w:p w:rsidR="007070D2" w:rsidRDefault="007070D2" w:rsidP="00D20C69">
      <w:pPr>
        <w:pStyle w:val="ListParagraph"/>
        <w:ind w:left="0"/>
      </w:pPr>
    </w:p>
    <w:p w:rsidR="007070D2" w:rsidRPr="00570DED" w:rsidRDefault="007070D2" w:rsidP="00EC725E">
      <w:pPr>
        <w:pStyle w:val="Heading4"/>
      </w:pPr>
      <w:r w:rsidRPr="00570DED">
        <w:t>Key drivers, activities and press</w:t>
      </w:r>
      <w:r w:rsidR="006C160A">
        <w:t>ures in the Mackay-Whitsunday R</w:t>
      </w:r>
      <w:r w:rsidRPr="00570DED">
        <w:t>egion</w:t>
      </w:r>
    </w:p>
    <w:p w:rsidR="007070D2" w:rsidRDefault="007070D2" w:rsidP="00D20C69">
      <w:pPr>
        <w:pStyle w:val="ListParagraph"/>
        <w:ind w:left="0"/>
      </w:pPr>
    </w:p>
    <w:p w:rsidR="007070D2" w:rsidRDefault="007070D2" w:rsidP="00D20C69">
      <w:pPr>
        <w:pStyle w:val="ListParagraph"/>
        <w:ind w:left="0"/>
      </w:pPr>
      <w:r>
        <w:t>The Port of Hay Point, situated 40 km south of Mackay</w:t>
      </w:r>
      <w:r w:rsidR="002C0526">
        <w:t>, is</w:t>
      </w:r>
      <w:r>
        <w:t xml:space="preserve"> one of the largest coal export ports in the world.  It consists of two coal export terminals: the Dalrymple Bay and the Hay Point terminals (Fig</w:t>
      </w:r>
      <w:r w:rsidR="00EC725E">
        <w:t>ure 4</w:t>
      </w:r>
      <w:r>
        <w:t>). The two coal terminals service the mines in the Bowen Basin in central Queensland which link to the port through an integrated rail-port network (</w:t>
      </w:r>
      <w:hyperlink r:id="rId17" w:history="1">
        <w:r w:rsidRPr="009E45DD">
          <w:rPr>
            <w:rStyle w:val="Hyperlink"/>
          </w:rPr>
          <w:t>www.nqbp.com.au/hay-point/</w:t>
        </w:r>
      </w:hyperlink>
      <w:r>
        <w:t>).  Th</w:t>
      </w:r>
      <w:r w:rsidR="00556052">
        <w:t xml:space="preserve">e Hay Point and Dalrymple Bay </w:t>
      </w:r>
      <w:r>
        <w:t>terminals handled around 40 million and 67 million tonnes of coal in 2013/2014. Around 3-4 cargo ships and 5-10 tugs arrive and depart from Hay Point Port per day (</w:t>
      </w:r>
      <w:hyperlink r:id="rId18" w:history="1">
        <w:r w:rsidRPr="009E45DD">
          <w:rPr>
            <w:rStyle w:val="Hyperlink"/>
          </w:rPr>
          <w:t>www.marinetraffic.com</w:t>
        </w:r>
      </w:hyperlink>
      <w:r>
        <w:t xml:space="preserve">). </w:t>
      </w:r>
    </w:p>
    <w:p w:rsidR="007070D2" w:rsidRDefault="007070D2" w:rsidP="00D20C69">
      <w:pPr>
        <w:pStyle w:val="ListParagraph"/>
        <w:ind w:left="0"/>
      </w:pPr>
    </w:p>
    <w:p w:rsidR="007070D2" w:rsidRDefault="007070D2" w:rsidP="00D20C69">
      <w:pPr>
        <w:pStyle w:val="ListParagraph"/>
        <w:ind w:left="0"/>
      </w:pPr>
      <w:r>
        <w:t>A three-year maintenance dredging program for Hay Point Port is scheduled to start in November 2014. The program will involve dredging a total of 378,000 m</w:t>
      </w:r>
      <w:r w:rsidRPr="00EC725E">
        <w:rPr>
          <w:vertAlign w:val="superscript"/>
        </w:rPr>
        <w:t>3</w:t>
      </w:r>
      <w:r>
        <w:t>, with a limit of 208,000 m</w:t>
      </w:r>
      <w:r w:rsidRPr="00EC725E">
        <w:rPr>
          <w:vertAlign w:val="superscript"/>
        </w:rPr>
        <w:t>3</w:t>
      </w:r>
      <w:r>
        <w:t xml:space="preserve"> in any one year, from five different locations within the harbour and the departure channel (</w:t>
      </w:r>
      <w:hyperlink r:id="rId19" w:history="1">
        <w:r w:rsidRPr="009E45DD">
          <w:rPr>
            <w:rStyle w:val="Hyperlink"/>
          </w:rPr>
          <w:t>www.NQBP.com.au</w:t>
        </w:r>
      </w:hyperlink>
      <w:r>
        <w:t xml:space="preserve">). </w:t>
      </w:r>
    </w:p>
    <w:p w:rsidR="007070D2" w:rsidRDefault="007070D2" w:rsidP="00D20C69">
      <w:pPr>
        <w:pStyle w:val="ListParagraph"/>
        <w:ind w:left="0"/>
      </w:pPr>
      <w:r>
        <w:rPr>
          <w:noProof/>
          <w:lang w:eastAsia="en-AU"/>
        </w:rPr>
        <w:drawing>
          <wp:inline distT="0" distB="0" distL="0" distR="0">
            <wp:extent cx="4298950" cy="2756470"/>
            <wp:effectExtent l="0" t="0" r="6350" b="6350"/>
            <wp:docPr id="21504" name="Picture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email"/>
                    <a:srcRect/>
                    <a:stretch/>
                  </pic:blipFill>
                  <pic:spPr bwMode="auto">
                    <a:xfrm>
                      <a:off x="0" y="0"/>
                      <a:ext cx="4302144" cy="27585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070D2" w:rsidRDefault="007070D2" w:rsidP="00D20C69">
      <w:pPr>
        <w:pStyle w:val="ListParagraph"/>
        <w:ind w:left="0"/>
      </w:pPr>
    </w:p>
    <w:p w:rsidR="007070D2" w:rsidRDefault="007070D2" w:rsidP="00D20C69">
      <w:pPr>
        <w:pStyle w:val="ListParagraph"/>
        <w:ind w:left="0"/>
        <w:rPr>
          <w:sz w:val="20"/>
          <w:szCs w:val="20"/>
        </w:rPr>
      </w:pPr>
      <w:proofErr w:type="gramStart"/>
      <w:r w:rsidRPr="00EC725E">
        <w:rPr>
          <w:b/>
          <w:sz w:val="20"/>
          <w:szCs w:val="20"/>
        </w:rPr>
        <w:t>Fig</w:t>
      </w:r>
      <w:r w:rsidR="00EC725E" w:rsidRPr="00EC725E">
        <w:rPr>
          <w:b/>
          <w:sz w:val="20"/>
          <w:szCs w:val="20"/>
        </w:rPr>
        <w:t>ure 4.</w:t>
      </w:r>
      <w:proofErr w:type="gramEnd"/>
      <w:r w:rsidR="00EC725E" w:rsidRPr="00EC725E">
        <w:rPr>
          <w:b/>
          <w:sz w:val="20"/>
          <w:szCs w:val="20"/>
        </w:rPr>
        <w:t xml:space="preserve"> </w:t>
      </w:r>
      <w:r w:rsidR="00EC725E">
        <w:rPr>
          <w:sz w:val="20"/>
          <w:szCs w:val="20"/>
        </w:rPr>
        <w:t>Port of Hay P</w:t>
      </w:r>
      <w:r w:rsidRPr="00CE022D">
        <w:rPr>
          <w:sz w:val="20"/>
          <w:szCs w:val="20"/>
        </w:rPr>
        <w:t>oint coal loading terminals. Source: NQBP</w:t>
      </w:r>
      <w:r w:rsidR="00D96957">
        <w:rPr>
          <w:sz w:val="20"/>
          <w:szCs w:val="20"/>
        </w:rPr>
        <w:t xml:space="preserve"> (</w:t>
      </w:r>
      <w:r>
        <w:rPr>
          <w:sz w:val="20"/>
          <w:szCs w:val="20"/>
        </w:rPr>
        <w:t>2013</w:t>
      </w:r>
      <w:r w:rsidRPr="00CE022D">
        <w:rPr>
          <w:sz w:val="20"/>
          <w:szCs w:val="20"/>
        </w:rPr>
        <w:t>)</w:t>
      </w:r>
      <w:r w:rsidR="00D96957">
        <w:rPr>
          <w:sz w:val="20"/>
          <w:szCs w:val="20"/>
        </w:rPr>
        <w:t>.</w:t>
      </w:r>
    </w:p>
    <w:p w:rsidR="007070D2" w:rsidRPr="00CE022D" w:rsidRDefault="007070D2" w:rsidP="00D20C69">
      <w:pPr>
        <w:pStyle w:val="ListParagraph"/>
        <w:ind w:left="0"/>
        <w:rPr>
          <w:sz w:val="20"/>
          <w:szCs w:val="20"/>
        </w:rPr>
      </w:pPr>
    </w:p>
    <w:p w:rsidR="007070D2" w:rsidRDefault="007070D2" w:rsidP="00D20C69">
      <w:pPr>
        <w:pStyle w:val="ListParagraph"/>
        <w:ind w:left="0"/>
      </w:pPr>
    </w:p>
    <w:p w:rsidR="007070D2" w:rsidRDefault="007070D2" w:rsidP="00D20C69">
      <w:pPr>
        <w:pStyle w:val="ListParagraph"/>
        <w:ind w:left="0"/>
      </w:pPr>
      <w:r>
        <w:t xml:space="preserve">More than 40% of the catchment area of the region is used to support </w:t>
      </w:r>
      <w:r w:rsidR="007324C0">
        <w:t>cattle grazing</w:t>
      </w:r>
      <w:r w:rsidR="00556052">
        <w:t xml:space="preserve">, principally </w:t>
      </w:r>
      <w:r w:rsidR="00A66B7F">
        <w:t>in the headwaters</w:t>
      </w:r>
      <w:r>
        <w:t>.  A total of 416 graziers manage approximately 3</w:t>
      </w:r>
      <w:r w:rsidR="00EC725E">
        <w:t>,</w:t>
      </w:r>
      <w:r>
        <w:t xml:space="preserve">900 square kilometres of land.  Nearly 70% of the graziers have adopted significantly improved management practices under Reef Rescue facilitated by </w:t>
      </w:r>
      <w:r w:rsidR="00CF0485">
        <w:t>Mackay Whitsunday Isaac Reef Catchments NRM</w:t>
      </w:r>
      <w:r>
        <w:t xml:space="preserve">. The dominant level of grazing practice has shifted from C to </w:t>
      </w:r>
      <w:r w:rsidR="00EC725E">
        <w:t>a high B across the region (Figure 5</w:t>
      </w:r>
      <w:r>
        <w:t xml:space="preserve">).   </w:t>
      </w:r>
    </w:p>
    <w:p w:rsidR="007070D2" w:rsidRDefault="007070D2" w:rsidP="00D20C69">
      <w:pPr>
        <w:pStyle w:val="ListParagraph"/>
        <w:ind w:left="0"/>
      </w:pPr>
    </w:p>
    <w:p w:rsidR="007070D2" w:rsidRDefault="007070D2" w:rsidP="00D20C69">
      <w:pPr>
        <w:pStyle w:val="ListParagraph"/>
        <w:ind w:left="0"/>
      </w:pPr>
    </w:p>
    <w:p w:rsidR="007070D2" w:rsidRDefault="007070D2" w:rsidP="00D20C69">
      <w:pPr>
        <w:pStyle w:val="ListParagraph"/>
        <w:ind w:left="0"/>
      </w:pPr>
      <w:r>
        <w:rPr>
          <w:noProof/>
          <w:lang w:eastAsia="en-AU"/>
        </w:rPr>
        <w:lastRenderedPageBreak/>
        <w:drawing>
          <wp:inline distT="0" distB="0" distL="0" distR="0">
            <wp:extent cx="4052160" cy="2559050"/>
            <wp:effectExtent l="0" t="0" r="5715" b="0"/>
            <wp:docPr id="21508" name="Picture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stretch>
                      <a:fillRect/>
                    </a:stretch>
                  </pic:blipFill>
                  <pic:spPr>
                    <a:xfrm>
                      <a:off x="0" y="0"/>
                      <a:ext cx="4055653" cy="2561256"/>
                    </a:xfrm>
                    <a:prstGeom prst="rect">
                      <a:avLst/>
                    </a:prstGeom>
                  </pic:spPr>
                </pic:pic>
              </a:graphicData>
            </a:graphic>
          </wp:inline>
        </w:drawing>
      </w:r>
    </w:p>
    <w:p w:rsidR="007070D2" w:rsidRPr="00827451" w:rsidRDefault="00EC725E" w:rsidP="00D20C69">
      <w:pPr>
        <w:rPr>
          <w:sz w:val="20"/>
          <w:szCs w:val="20"/>
        </w:rPr>
      </w:pPr>
      <w:proofErr w:type="gramStart"/>
      <w:r w:rsidRPr="00EC725E">
        <w:rPr>
          <w:b/>
          <w:sz w:val="20"/>
          <w:szCs w:val="20"/>
        </w:rPr>
        <w:t>Figure 5</w:t>
      </w:r>
      <w:r w:rsidR="007070D2" w:rsidRPr="00EC725E">
        <w:rPr>
          <w:b/>
          <w:sz w:val="20"/>
          <w:szCs w:val="20"/>
        </w:rPr>
        <w:t>.</w:t>
      </w:r>
      <w:proofErr w:type="gramEnd"/>
      <w:r w:rsidR="007070D2" w:rsidRPr="00EC725E">
        <w:rPr>
          <w:b/>
          <w:sz w:val="20"/>
          <w:szCs w:val="20"/>
        </w:rPr>
        <w:t xml:space="preserve"> </w:t>
      </w:r>
      <w:r w:rsidR="007070D2" w:rsidRPr="00276A93">
        <w:rPr>
          <w:sz w:val="20"/>
          <w:szCs w:val="20"/>
        </w:rPr>
        <w:t>Shift in the distribution of grazing management practices between 2008-09 and 2012-2013.</w:t>
      </w:r>
      <w:r w:rsidR="007070D2">
        <w:rPr>
          <w:sz w:val="20"/>
          <w:szCs w:val="20"/>
        </w:rPr>
        <w:t xml:space="preserve"> </w:t>
      </w:r>
      <w:r w:rsidR="007070D2" w:rsidRPr="00827451">
        <w:rPr>
          <w:sz w:val="20"/>
          <w:szCs w:val="20"/>
        </w:rPr>
        <w:t xml:space="preserve">Source: GBR </w:t>
      </w:r>
      <w:r w:rsidR="007070D2">
        <w:rPr>
          <w:sz w:val="20"/>
          <w:szCs w:val="20"/>
        </w:rPr>
        <w:t>Report</w:t>
      </w:r>
      <w:r>
        <w:rPr>
          <w:sz w:val="20"/>
          <w:szCs w:val="20"/>
        </w:rPr>
        <w:t xml:space="preserve"> Card 2012 and</w:t>
      </w:r>
      <w:r w:rsidR="007070D2" w:rsidRPr="00827451">
        <w:rPr>
          <w:sz w:val="20"/>
          <w:szCs w:val="20"/>
        </w:rPr>
        <w:t xml:space="preserve"> 2</w:t>
      </w:r>
      <w:r w:rsidR="00BB3070">
        <w:rPr>
          <w:sz w:val="20"/>
          <w:szCs w:val="20"/>
        </w:rPr>
        <w:t>013 (Anon, 2014</w:t>
      </w:r>
      <w:r w:rsidR="007070D2" w:rsidRPr="00827451">
        <w:rPr>
          <w:sz w:val="20"/>
          <w:szCs w:val="20"/>
        </w:rPr>
        <w:t>).</w:t>
      </w:r>
    </w:p>
    <w:p w:rsidR="007070D2" w:rsidRDefault="007070D2" w:rsidP="00D20C69">
      <w:pPr>
        <w:pStyle w:val="ListParagraph"/>
        <w:ind w:left="0"/>
      </w:pPr>
    </w:p>
    <w:p w:rsidR="007070D2" w:rsidRDefault="007070D2" w:rsidP="00D20C69">
      <w:pPr>
        <w:pStyle w:val="ListParagraph"/>
        <w:ind w:left="0"/>
      </w:pPr>
    </w:p>
    <w:p w:rsidR="007070D2" w:rsidRDefault="007070D2" w:rsidP="00D20C69">
      <w:pPr>
        <w:pStyle w:val="ListParagraph"/>
        <w:ind w:left="0"/>
      </w:pPr>
      <w:r>
        <w:t>Another 20% of the catchment area is used for cropping, mainly sugarcane</w:t>
      </w:r>
      <w:r w:rsidR="00A66B7F">
        <w:t xml:space="preserve">, principally located </w:t>
      </w:r>
      <w:r w:rsidR="00473B42">
        <w:t>in the</w:t>
      </w:r>
      <w:r w:rsidR="00A66B7F">
        <w:t xml:space="preserve"> lower catchment, and </w:t>
      </w:r>
      <w:r w:rsidR="00473B42">
        <w:t>therefore</w:t>
      </w:r>
      <w:r w:rsidR="00A66B7F">
        <w:t xml:space="preserve"> more proximal influencers of water quality</w:t>
      </w:r>
      <w:r>
        <w:t xml:space="preserve">. Agricultural land-use practices in the region are </w:t>
      </w:r>
      <w:r w:rsidR="00A66B7F">
        <w:t xml:space="preserve">rated as </w:t>
      </w:r>
      <w:r>
        <w:t xml:space="preserve">moderate, </w:t>
      </w:r>
      <w:r w:rsidR="00A66B7F">
        <w:t xml:space="preserve">with </w:t>
      </w:r>
      <w:r>
        <w:t>C and B practices dominating. H</w:t>
      </w:r>
      <w:r w:rsidR="004B3470">
        <w:t>owever, approximately 50% of su</w:t>
      </w:r>
      <w:r>
        <w:t>gar cane farmers in the region have adopted some level of improved management practice as part o</w:t>
      </w:r>
      <w:r w:rsidR="004B3470">
        <w:t>f the Reef Protection Plan (Figure</w:t>
      </w:r>
      <w:r>
        <w:t xml:space="preserve"> </w:t>
      </w:r>
      <w:r w:rsidR="004B3470">
        <w:t>6</w:t>
      </w:r>
      <w:r>
        <w:t>)</w:t>
      </w:r>
      <w:r w:rsidR="003734CF">
        <w:t>.</w:t>
      </w:r>
    </w:p>
    <w:p w:rsidR="007070D2" w:rsidRDefault="007070D2" w:rsidP="00D20C69"/>
    <w:p w:rsidR="007070D2" w:rsidRDefault="007070D2" w:rsidP="00D20C69">
      <w:r>
        <w:rPr>
          <w:noProof/>
          <w:lang w:eastAsia="en-AU"/>
        </w:rPr>
        <w:drawing>
          <wp:inline distT="0" distB="0" distL="0" distR="0">
            <wp:extent cx="3561854" cy="2311400"/>
            <wp:effectExtent l="0" t="0" r="635" b="0"/>
            <wp:docPr id="21505" name="Picture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stretch>
                      <a:fillRect/>
                    </a:stretch>
                  </pic:blipFill>
                  <pic:spPr>
                    <a:xfrm>
                      <a:off x="0" y="0"/>
                      <a:ext cx="3561854" cy="2311400"/>
                    </a:xfrm>
                    <a:prstGeom prst="rect">
                      <a:avLst/>
                    </a:prstGeom>
                  </pic:spPr>
                </pic:pic>
              </a:graphicData>
            </a:graphic>
          </wp:inline>
        </w:drawing>
      </w:r>
      <w:r w:rsidRPr="00827451">
        <w:rPr>
          <w:noProof/>
          <w:lang w:eastAsia="en-AU"/>
        </w:rPr>
        <w:t xml:space="preserve"> </w:t>
      </w:r>
    </w:p>
    <w:p w:rsidR="007070D2" w:rsidRPr="00276A93" w:rsidRDefault="007070D2" w:rsidP="00D20C69">
      <w:pPr>
        <w:rPr>
          <w:sz w:val="20"/>
          <w:szCs w:val="20"/>
        </w:rPr>
      </w:pPr>
      <w:proofErr w:type="gramStart"/>
      <w:r w:rsidRPr="004B3470">
        <w:rPr>
          <w:b/>
          <w:sz w:val="20"/>
          <w:szCs w:val="20"/>
        </w:rPr>
        <w:t>Fig</w:t>
      </w:r>
      <w:r w:rsidR="004B3470" w:rsidRPr="004B3470">
        <w:rPr>
          <w:b/>
          <w:sz w:val="20"/>
          <w:szCs w:val="20"/>
        </w:rPr>
        <w:t>ure 6</w:t>
      </w:r>
      <w:r w:rsidRPr="004B3470">
        <w:rPr>
          <w:b/>
          <w:sz w:val="20"/>
          <w:szCs w:val="20"/>
        </w:rPr>
        <w:t>.</w:t>
      </w:r>
      <w:proofErr w:type="gramEnd"/>
      <w:r w:rsidRPr="004B3470">
        <w:rPr>
          <w:b/>
          <w:sz w:val="20"/>
          <w:szCs w:val="20"/>
        </w:rPr>
        <w:t xml:space="preserve"> </w:t>
      </w:r>
      <w:r w:rsidRPr="00827451">
        <w:rPr>
          <w:sz w:val="20"/>
          <w:szCs w:val="20"/>
        </w:rPr>
        <w:t xml:space="preserve"> Land-use practices for sugar cane gr</w:t>
      </w:r>
      <w:r w:rsidR="006C160A">
        <w:rPr>
          <w:sz w:val="20"/>
          <w:szCs w:val="20"/>
        </w:rPr>
        <w:t>owers in the Mackay-Whitsunday R</w:t>
      </w:r>
      <w:r w:rsidRPr="00827451">
        <w:rPr>
          <w:sz w:val="20"/>
          <w:szCs w:val="20"/>
        </w:rPr>
        <w:t>egion.  Approximately 50% of the 1</w:t>
      </w:r>
      <w:r w:rsidR="004B3470">
        <w:rPr>
          <w:sz w:val="20"/>
          <w:szCs w:val="20"/>
        </w:rPr>
        <w:t>,</w:t>
      </w:r>
      <w:r w:rsidRPr="00827451">
        <w:rPr>
          <w:sz w:val="20"/>
          <w:szCs w:val="20"/>
        </w:rPr>
        <w:t xml:space="preserve">380 growers in the region have adopted improved management practices. Source: GBR </w:t>
      </w:r>
      <w:r>
        <w:rPr>
          <w:sz w:val="20"/>
          <w:szCs w:val="20"/>
        </w:rPr>
        <w:t>Report</w:t>
      </w:r>
      <w:r w:rsidRPr="00827451">
        <w:rPr>
          <w:sz w:val="20"/>
          <w:szCs w:val="20"/>
        </w:rPr>
        <w:t xml:space="preserve"> Card 2012 </w:t>
      </w:r>
      <w:r w:rsidR="004B3470">
        <w:rPr>
          <w:sz w:val="20"/>
          <w:szCs w:val="20"/>
        </w:rPr>
        <w:t>and</w:t>
      </w:r>
      <w:r w:rsidRPr="00827451">
        <w:rPr>
          <w:sz w:val="20"/>
          <w:szCs w:val="20"/>
        </w:rPr>
        <w:t xml:space="preserve"> 2013 (Anon,</w:t>
      </w:r>
      <w:r w:rsidR="00BB3070">
        <w:rPr>
          <w:sz w:val="20"/>
          <w:szCs w:val="20"/>
        </w:rPr>
        <w:t xml:space="preserve"> 2014</w:t>
      </w:r>
      <w:r w:rsidRPr="00827451">
        <w:rPr>
          <w:sz w:val="20"/>
          <w:szCs w:val="20"/>
        </w:rPr>
        <w:t>).</w:t>
      </w:r>
    </w:p>
    <w:p w:rsidR="007070D2" w:rsidRDefault="007070D2" w:rsidP="00D20C69"/>
    <w:p w:rsidR="007070D2" w:rsidRDefault="007070D2" w:rsidP="00D20C69">
      <w:r w:rsidRPr="0021436C">
        <w:t>The Pioneer River is the dominant source of freshwater export to the marine environment in the Mackay-Whitsundays region</w:t>
      </w:r>
      <w:r>
        <w:t xml:space="preserve"> (Table </w:t>
      </w:r>
      <w:r w:rsidR="004B3470">
        <w:t>2</w:t>
      </w:r>
      <w:r>
        <w:t>)</w:t>
      </w:r>
      <w:r w:rsidR="004B3470">
        <w:t>. But to place it in context, t</w:t>
      </w:r>
      <w:r w:rsidRPr="0021436C">
        <w:t xml:space="preserve">he median discharge </w:t>
      </w:r>
      <w:r>
        <w:t xml:space="preserve">of the Pioneer </w:t>
      </w:r>
      <w:r>
        <w:lastRenderedPageBreak/>
        <w:t xml:space="preserve">River </w:t>
      </w:r>
      <w:r w:rsidRPr="0021436C">
        <w:t xml:space="preserve">is </w:t>
      </w:r>
      <w:r>
        <w:t xml:space="preserve">only </w:t>
      </w:r>
      <w:r w:rsidRPr="0021436C">
        <w:t>around a tenth of the Burdekin and Fitzroy rivers</w:t>
      </w:r>
      <w:r>
        <w:t xml:space="preserve">. In recent wet years, floods associated with </w:t>
      </w:r>
      <w:r w:rsidR="003734CF">
        <w:t>Tropical Cyclones</w:t>
      </w:r>
      <w:r>
        <w:t xml:space="preserve"> Oswald (Jan 2013) and </w:t>
      </w:r>
      <w:proofErr w:type="spellStart"/>
      <w:r>
        <w:t>Yasi</w:t>
      </w:r>
      <w:proofErr w:type="spellEnd"/>
      <w:r>
        <w:t xml:space="preserve"> (Feb 2011) led to 2-10 fold increases </w:t>
      </w:r>
      <w:r w:rsidR="004B3470">
        <w:t xml:space="preserve">in </w:t>
      </w:r>
      <w:r>
        <w:t xml:space="preserve">river discharges </w:t>
      </w:r>
      <w:r w:rsidR="006C160A">
        <w:t>in the Mackay-Whitsunday R</w:t>
      </w:r>
      <w:r w:rsidR="004B3470">
        <w:t>egion</w:t>
      </w:r>
      <w:r>
        <w:t xml:space="preserve">. </w:t>
      </w:r>
    </w:p>
    <w:p w:rsidR="004B3470" w:rsidRDefault="004B3470" w:rsidP="00D20C69">
      <w:pPr>
        <w:rPr>
          <w:b/>
          <w:sz w:val="20"/>
          <w:szCs w:val="20"/>
        </w:rPr>
      </w:pPr>
      <w:r>
        <w:t>The Whitsunday Islands is a busy area for recreational boating, fishing and sailing on the GBR (Deloitte Access Economics, 2013). Boating here is associated with the transport of visitors between the mainland and resort islands, bareboat charters and traffic between mainland and island boat ramps and fishing spots or snorkelling/diving spots. The risk from boat traffic to marine life – particularly boat strikes on dugongs, turtles and cetaceans - in the region is from a diversity of boat users ranging from ferries to tinnies.  Gill netting represents a significant risk to both dugongs and turtles. High marine visitation increases the risk of marine debris, which is particularly a threat to turtles (Dobbs and Pierce 2005).</w:t>
      </w:r>
    </w:p>
    <w:p w:rsidR="004B3470" w:rsidRDefault="004B3470" w:rsidP="00D20C69">
      <w:pPr>
        <w:rPr>
          <w:b/>
          <w:sz w:val="20"/>
          <w:szCs w:val="20"/>
        </w:rPr>
      </w:pPr>
    </w:p>
    <w:p w:rsidR="004B3470" w:rsidRPr="004B3470" w:rsidRDefault="004B3470" w:rsidP="003F765E">
      <w:pPr>
        <w:rPr>
          <w:sz w:val="20"/>
          <w:szCs w:val="20"/>
        </w:rPr>
      </w:pPr>
      <w:proofErr w:type="gramStart"/>
      <w:r w:rsidRPr="004B3470">
        <w:rPr>
          <w:b/>
          <w:sz w:val="20"/>
          <w:szCs w:val="20"/>
        </w:rPr>
        <w:t>Table 2.</w:t>
      </w:r>
      <w:proofErr w:type="gramEnd"/>
      <w:r w:rsidRPr="004B3470">
        <w:rPr>
          <w:sz w:val="20"/>
          <w:szCs w:val="20"/>
        </w:rPr>
        <w:t xml:space="preserve"> </w:t>
      </w:r>
      <w:proofErr w:type="spellStart"/>
      <w:proofErr w:type="gramStart"/>
      <w:r w:rsidRPr="004B3470">
        <w:rPr>
          <w:sz w:val="20"/>
          <w:szCs w:val="20"/>
        </w:rPr>
        <w:t>Riverine</w:t>
      </w:r>
      <w:proofErr w:type="spellEnd"/>
      <w:r w:rsidRPr="004B3470">
        <w:rPr>
          <w:sz w:val="20"/>
          <w:szCs w:val="20"/>
        </w:rPr>
        <w:t xml:space="preserve"> disc</w:t>
      </w:r>
      <w:r>
        <w:rPr>
          <w:sz w:val="20"/>
          <w:szCs w:val="20"/>
        </w:rPr>
        <w:t>harge</w:t>
      </w:r>
      <w:r w:rsidRPr="004B3470">
        <w:rPr>
          <w:sz w:val="20"/>
          <w:szCs w:val="20"/>
        </w:rPr>
        <w:t xml:space="preserve"> volumes to the Great Barrier Reef.</w:t>
      </w:r>
      <w:proofErr w:type="gramEnd"/>
      <w:r w:rsidR="003F765E">
        <w:rPr>
          <w:sz w:val="20"/>
          <w:szCs w:val="20"/>
        </w:rPr>
        <w:t xml:space="preserve"> * Long - </w:t>
      </w:r>
      <w:r w:rsidR="003F765E" w:rsidRPr="003F765E">
        <w:rPr>
          <w:sz w:val="20"/>
          <w:szCs w:val="20"/>
        </w:rPr>
        <w:t>term (LT) median</w:t>
      </w:r>
      <w:r w:rsidR="003F765E">
        <w:rPr>
          <w:sz w:val="20"/>
          <w:szCs w:val="20"/>
        </w:rPr>
        <w:t xml:space="preserve"> discharges were estimated from available long-t</w:t>
      </w:r>
      <w:r w:rsidR="003F765E" w:rsidRPr="003F765E">
        <w:rPr>
          <w:sz w:val="20"/>
          <w:szCs w:val="20"/>
        </w:rPr>
        <w:t>erm time series</w:t>
      </w:r>
      <w:r w:rsidR="003F765E">
        <w:rPr>
          <w:sz w:val="20"/>
          <w:szCs w:val="20"/>
        </w:rPr>
        <w:t>.</w:t>
      </w:r>
    </w:p>
    <w:p w:rsidR="007070D2" w:rsidRDefault="007070D2" w:rsidP="00D20C69">
      <w:r>
        <w:rPr>
          <w:noProof/>
          <w:lang w:eastAsia="en-AU"/>
        </w:rPr>
        <w:drawing>
          <wp:inline distT="0" distB="0" distL="0" distR="0">
            <wp:extent cx="5348703" cy="3790950"/>
            <wp:effectExtent l="0" t="0" r="4445" b="0"/>
            <wp:docPr id="21510" name="Picture 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stretch>
                      <a:fillRect/>
                    </a:stretch>
                  </pic:blipFill>
                  <pic:spPr>
                    <a:xfrm>
                      <a:off x="0" y="0"/>
                      <a:ext cx="5352752" cy="3793819"/>
                    </a:xfrm>
                    <a:prstGeom prst="rect">
                      <a:avLst/>
                    </a:prstGeom>
                  </pic:spPr>
                </pic:pic>
              </a:graphicData>
            </a:graphic>
          </wp:inline>
        </w:drawing>
      </w:r>
    </w:p>
    <w:p w:rsidR="007070D2" w:rsidRDefault="007070D2" w:rsidP="00D20C69"/>
    <w:p w:rsidR="007070D2" w:rsidRDefault="004B3470" w:rsidP="004B3470">
      <w:pPr>
        <w:pStyle w:val="Heading4"/>
        <w:spacing w:after="200"/>
      </w:pPr>
      <w:r>
        <w:t>Ecological values</w:t>
      </w:r>
    </w:p>
    <w:p w:rsidR="007070D2" w:rsidRDefault="007070D2" w:rsidP="00D20C69">
      <w:r>
        <w:t xml:space="preserve">In recent years, the condition (distribution and abundance) of </w:t>
      </w:r>
      <w:r w:rsidRPr="0078064A">
        <w:rPr>
          <w:b/>
          <w:i/>
        </w:rPr>
        <w:t>seagrass</w:t>
      </w:r>
      <w:r>
        <w:t xml:space="preserve"> meadows ha</w:t>
      </w:r>
      <w:r w:rsidR="00E25355">
        <w:t>s</w:t>
      </w:r>
      <w:r>
        <w:t xml:space="preserve"> declined to poor and very poor in the central and southern GBRWHA, in partic</w:t>
      </w:r>
      <w:r w:rsidR="006C160A">
        <w:t>ular in the Mackay-Whitsunday R</w:t>
      </w:r>
      <w:r>
        <w:t>egion (</w:t>
      </w:r>
      <w:r w:rsidR="00E25355">
        <w:t>Figure 7; Anon</w:t>
      </w:r>
      <w:r w:rsidR="00BB3070">
        <w:t xml:space="preserve"> 2014</w:t>
      </w:r>
      <w:r w:rsidR="00E25355">
        <w:t>)</w:t>
      </w:r>
      <w:r>
        <w:t xml:space="preserve">. This recent decline is partly explained by a series of severe cyclones and associated floods and partly by land run-off of sediment, nutrients and herbicides (GBRMPA 2014).  </w:t>
      </w:r>
      <w:r>
        <w:lastRenderedPageBreak/>
        <w:t>Some of the highest levels of herbicides know</w:t>
      </w:r>
      <w:r w:rsidR="00CF0485">
        <w:t>n</w:t>
      </w:r>
      <w:r>
        <w:t xml:space="preserve"> to affect seagrass productivity (e.g. </w:t>
      </w:r>
      <w:proofErr w:type="spellStart"/>
      <w:r>
        <w:t>diuron</w:t>
      </w:r>
      <w:proofErr w:type="spellEnd"/>
      <w:r>
        <w:t>) have been found in the Mackay</w:t>
      </w:r>
      <w:r w:rsidR="00BB3070">
        <w:t>-Whitsunday region (</w:t>
      </w:r>
      <w:proofErr w:type="spellStart"/>
      <w:r w:rsidR="006D75C7">
        <w:t>Gallen</w:t>
      </w:r>
      <w:proofErr w:type="spellEnd"/>
      <w:r w:rsidR="006D75C7">
        <w:t xml:space="preserve"> et al. 2013, </w:t>
      </w:r>
      <w:r w:rsidR="00BB3070">
        <w:t>Anon 2014</w:t>
      </w:r>
      <w:r>
        <w:t>).</w:t>
      </w:r>
    </w:p>
    <w:p w:rsidR="007070D2" w:rsidRDefault="007070D2" w:rsidP="00D20C69"/>
    <w:p w:rsidR="007070D2" w:rsidRPr="007A20C1" w:rsidRDefault="007070D2" w:rsidP="00D20C69">
      <w:r>
        <w:t xml:space="preserve">  </w:t>
      </w:r>
      <w:r>
        <w:rPr>
          <w:noProof/>
          <w:lang w:eastAsia="en-AU"/>
        </w:rPr>
        <w:drawing>
          <wp:inline distT="0" distB="0" distL="0" distR="0">
            <wp:extent cx="4267200" cy="3017140"/>
            <wp:effectExtent l="0" t="0" r="0" b="0"/>
            <wp:docPr id="21512" name="Picture 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srcRect/>
                    <a:stretch/>
                  </pic:blipFill>
                  <pic:spPr bwMode="auto">
                    <a:xfrm>
                      <a:off x="0" y="0"/>
                      <a:ext cx="4275759" cy="30231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070D2" w:rsidRPr="00E25355" w:rsidRDefault="007070D2" w:rsidP="00D20C69">
      <w:pPr>
        <w:rPr>
          <w:sz w:val="20"/>
          <w:szCs w:val="20"/>
        </w:rPr>
      </w:pPr>
      <w:proofErr w:type="gramStart"/>
      <w:r w:rsidRPr="00E25355">
        <w:rPr>
          <w:b/>
          <w:sz w:val="20"/>
          <w:szCs w:val="20"/>
        </w:rPr>
        <w:t>Fig</w:t>
      </w:r>
      <w:r w:rsidR="00E25355" w:rsidRPr="00E25355">
        <w:rPr>
          <w:b/>
          <w:sz w:val="20"/>
          <w:szCs w:val="20"/>
        </w:rPr>
        <w:t>ure 7</w:t>
      </w:r>
      <w:r w:rsidRPr="00E25355">
        <w:rPr>
          <w:b/>
          <w:sz w:val="20"/>
          <w:szCs w:val="20"/>
        </w:rPr>
        <w:t>.</w:t>
      </w:r>
      <w:proofErr w:type="gramEnd"/>
      <w:r w:rsidRPr="00E25355">
        <w:rPr>
          <w:sz w:val="20"/>
          <w:szCs w:val="20"/>
        </w:rPr>
        <w:t xml:space="preserve"> </w:t>
      </w:r>
      <w:r w:rsidR="00E25355" w:rsidRPr="00E25355">
        <w:rPr>
          <w:sz w:val="20"/>
          <w:szCs w:val="20"/>
        </w:rPr>
        <w:t xml:space="preserve">Seagrass status and trend in the Mackay-Whitsunday region </w:t>
      </w:r>
      <w:r w:rsidRPr="00E25355">
        <w:rPr>
          <w:sz w:val="20"/>
          <w:szCs w:val="20"/>
        </w:rPr>
        <w:t xml:space="preserve">Source: </w:t>
      </w:r>
      <w:r w:rsidR="003734CF">
        <w:rPr>
          <w:sz w:val="20"/>
          <w:szCs w:val="20"/>
        </w:rPr>
        <w:t>Anon (</w:t>
      </w:r>
      <w:r w:rsidR="00BB3070">
        <w:rPr>
          <w:sz w:val="20"/>
          <w:szCs w:val="20"/>
        </w:rPr>
        <w:t>2014</w:t>
      </w:r>
      <w:r w:rsidR="003734CF">
        <w:rPr>
          <w:sz w:val="20"/>
          <w:szCs w:val="20"/>
        </w:rPr>
        <w:t>)</w:t>
      </w:r>
      <w:r w:rsidR="00E25355" w:rsidRPr="00E25355">
        <w:rPr>
          <w:sz w:val="20"/>
          <w:szCs w:val="20"/>
        </w:rPr>
        <w:t>.</w:t>
      </w:r>
    </w:p>
    <w:p w:rsidR="007070D2" w:rsidRDefault="007070D2" w:rsidP="00D20C69">
      <w:pPr>
        <w:rPr>
          <w:b/>
        </w:rPr>
      </w:pPr>
    </w:p>
    <w:p w:rsidR="007070D2" w:rsidRDefault="007070D2" w:rsidP="00D20C69">
      <w:pPr>
        <w:autoSpaceDE w:val="0"/>
        <w:autoSpaceDN w:val="0"/>
        <w:adjustRightInd w:val="0"/>
        <w:rPr>
          <w:rFonts w:cs="HelveticaNeue"/>
        </w:rPr>
      </w:pPr>
      <w:r w:rsidRPr="0078064A">
        <w:rPr>
          <w:b/>
          <w:i/>
        </w:rPr>
        <w:t>Dugong</w:t>
      </w:r>
      <w:r w:rsidRPr="007A20C1">
        <w:t xml:space="preserve"> populations in the central and southern inshore areas of the GBRWHA have continued to decline</w:t>
      </w:r>
      <w:r>
        <w:t xml:space="preserve"> (GBRMPA 2014).  One of the key pressures on dug</w:t>
      </w:r>
      <w:r w:rsidR="006C160A">
        <w:t>ongs in the Mackay-Whitsunday R</w:t>
      </w:r>
      <w:r>
        <w:t xml:space="preserve">egion </w:t>
      </w:r>
      <w:r w:rsidR="00CF0485">
        <w:t xml:space="preserve">is </w:t>
      </w:r>
      <w:r>
        <w:t xml:space="preserve">deterioration </w:t>
      </w:r>
      <w:r w:rsidR="007E73E7">
        <w:t xml:space="preserve">of </w:t>
      </w:r>
      <w:r w:rsidR="00CF0485">
        <w:t xml:space="preserve">their </w:t>
      </w:r>
      <w:r w:rsidR="002C0526">
        <w:t>primary</w:t>
      </w:r>
      <w:r w:rsidR="007E73E7">
        <w:t xml:space="preserve"> food source, </w:t>
      </w:r>
      <w:r w:rsidRPr="007A20C1">
        <w:t xml:space="preserve">seagrass </w:t>
      </w:r>
      <w:r>
        <w:t>meadows (Marsh et al. 2005</w:t>
      </w:r>
      <w:r w:rsidR="002C0526">
        <w:t>)</w:t>
      </w:r>
      <w:r>
        <w:t xml:space="preserve">.  </w:t>
      </w:r>
      <w:r>
        <w:rPr>
          <w:rFonts w:cs="HelveticaNeue"/>
        </w:rPr>
        <w:t>Other significant local pressures on dugongs are vessel strikes</w:t>
      </w:r>
      <w:r w:rsidR="007E73E7">
        <w:rPr>
          <w:rFonts w:cs="HelveticaNeue"/>
        </w:rPr>
        <w:t>, gill netting, and pesticides</w:t>
      </w:r>
      <w:r>
        <w:rPr>
          <w:rFonts w:cs="HelveticaNeue"/>
        </w:rPr>
        <w:t>.</w:t>
      </w:r>
      <w:r w:rsidRPr="00385EC7">
        <w:rPr>
          <w:rFonts w:cs="HelveticaNeue"/>
        </w:rPr>
        <w:t xml:space="preserve"> </w:t>
      </w:r>
      <w:r>
        <w:rPr>
          <w:rFonts w:cs="HelveticaNeue"/>
        </w:rPr>
        <w:t xml:space="preserve"> Populations of green </w:t>
      </w:r>
      <w:r w:rsidRPr="007E73E7">
        <w:rPr>
          <w:rFonts w:cs="HelveticaNeue"/>
          <w:b/>
          <w:i/>
        </w:rPr>
        <w:t>turtles</w:t>
      </w:r>
      <w:r>
        <w:rPr>
          <w:rFonts w:cs="HelveticaNeue"/>
        </w:rPr>
        <w:t xml:space="preserve"> are </w:t>
      </w:r>
      <w:r w:rsidR="007E73E7">
        <w:rPr>
          <w:rFonts w:cs="HelveticaNeue"/>
        </w:rPr>
        <w:t>improving</w:t>
      </w:r>
      <w:r>
        <w:rPr>
          <w:rFonts w:cs="HelveticaNeue"/>
        </w:rPr>
        <w:t xml:space="preserve"> on the Great Barrier Reef and are categorised as healthy (GBRMPA 2014). However, </w:t>
      </w:r>
      <w:r w:rsidRPr="007E73E7">
        <w:rPr>
          <w:rFonts w:cs="HelveticaNeue"/>
        </w:rPr>
        <w:t xml:space="preserve">turtle </w:t>
      </w:r>
      <w:r>
        <w:rPr>
          <w:rFonts w:cs="HelveticaNeue"/>
        </w:rPr>
        <w:t xml:space="preserve">mortality (recorded as </w:t>
      </w:r>
      <w:proofErr w:type="spellStart"/>
      <w:r w:rsidR="002C0526">
        <w:rPr>
          <w:rFonts w:cs="HelveticaNeue"/>
        </w:rPr>
        <w:t>stranding</w:t>
      </w:r>
      <w:r w:rsidR="00CF0485">
        <w:rPr>
          <w:rFonts w:cs="HelveticaNeue"/>
        </w:rPr>
        <w:t>s</w:t>
      </w:r>
      <w:proofErr w:type="spellEnd"/>
      <w:r>
        <w:rPr>
          <w:rFonts w:cs="HelveticaNeue"/>
        </w:rPr>
        <w:t xml:space="preserve">) remains higher than historical rates prior to </w:t>
      </w:r>
      <w:r w:rsidR="003734CF">
        <w:rPr>
          <w:rFonts w:cs="HelveticaNeue"/>
        </w:rPr>
        <w:t>T</w:t>
      </w:r>
      <w:r w:rsidR="0042343E">
        <w:rPr>
          <w:rFonts w:cs="HelveticaNeue"/>
        </w:rPr>
        <w:t>ropical Cyclone</w:t>
      </w:r>
      <w:r>
        <w:rPr>
          <w:rFonts w:cs="HelveticaNeue"/>
        </w:rPr>
        <w:t xml:space="preserve"> </w:t>
      </w:r>
      <w:proofErr w:type="spellStart"/>
      <w:r>
        <w:rPr>
          <w:rFonts w:cs="HelveticaNeue"/>
        </w:rPr>
        <w:t>Yasi</w:t>
      </w:r>
      <w:proofErr w:type="spellEnd"/>
      <w:r>
        <w:rPr>
          <w:rFonts w:cs="HelveticaNeue"/>
        </w:rPr>
        <w:t xml:space="preserve"> in 2011 (GBR Report Card, 2013). </w:t>
      </w:r>
    </w:p>
    <w:p w:rsidR="007070D2" w:rsidRDefault="007070D2" w:rsidP="00D20C69">
      <w:pPr>
        <w:autoSpaceDE w:val="0"/>
        <w:autoSpaceDN w:val="0"/>
        <w:adjustRightInd w:val="0"/>
        <w:rPr>
          <w:rFonts w:cs="HelveticaNeue"/>
        </w:rPr>
      </w:pPr>
      <w:r w:rsidRPr="0078064A">
        <w:rPr>
          <w:rFonts w:cs="HelveticaNeue"/>
          <w:b/>
          <w:i/>
        </w:rPr>
        <w:t xml:space="preserve">Coral reefs </w:t>
      </w:r>
      <w:r>
        <w:rPr>
          <w:rFonts w:cs="HelveticaNeue"/>
        </w:rPr>
        <w:t xml:space="preserve">are one of the main tourist attractions in the Mackay-Whitsunday region. Many of the coastal islands are surrounded by fringing coral reefs and are important inshore fish habitats. In the </w:t>
      </w:r>
      <w:r w:rsidR="007E73E7">
        <w:rPr>
          <w:rFonts w:cs="HelveticaNeue"/>
        </w:rPr>
        <w:t xml:space="preserve">most </w:t>
      </w:r>
      <w:r>
        <w:rPr>
          <w:rFonts w:cs="HelveticaNeue"/>
        </w:rPr>
        <w:t>recent decade, the condition of the region’s coral reefs has fallen to moderate (</w:t>
      </w:r>
      <w:r w:rsidR="0042343E">
        <w:rPr>
          <w:rFonts w:cs="HelveticaNeue"/>
        </w:rPr>
        <w:t xml:space="preserve">Thompson et al. 2013; Thompson et al. 2014; </w:t>
      </w:r>
      <w:r>
        <w:rPr>
          <w:rFonts w:cs="HelveticaNeue"/>
        </w:rPr>
        <w:t xml:space="preserve">GBRMPA 2014). The average coral cover is at a historical low, partly explained by </w:t>
      </w:r>
      <w:r w:rsidR="0042343E">
        <w:rPr>
          <w:rFonts w:cs="HelveticaNeue"/>
        </w:rPr>
        <w:t xml:space="preserve">poor water quality, </w:t>
      </w:r>
      <w:r>
        <w:rPr>
          <w:rFonts w:cs="HelveticaNeue"/>
        </w:rPr>
        <w:t>cyclones, crown-of-thorns starfish (</w:t>
      </w:r>
      <w:proofErr w:type="spellStart"/>
      <w:r>
        <w:rPr>
          <w:rFonts w:cs="HelveticaNeue"/>
        </w:rPr>
        <w:t>CoTS</w:t>
      </w:r>
      <w:proofErr w:type="spellEnd"/>
      <w:r>
        <w:rPr>
          <w:rFonts w:cs="HelveticaNeue"/>
        </w:rPr>
        <w:t>) predation and bleaching events (</w:t>
      </w:r>
      <w:proofErr w:type="spellStart"/>
      <w:r>
        <w:rPr>
          <w:rFonts w:cs="HelveticaNeue"/>
        </w:rPr>
        <w:t>De’ath</w:t>
      </w:r>
      <w:proofErr w:type="spellEnd"/>
      <w:r>
        <w:rPr>
          <w:rFonts w:cs="HelveticaNeue"/>
        </w:rPr>
        <w:t xml:space="preserve"> </w:t>
      </w:r>
      <w:r w:rsidR="00085951">
        <w:rPr>
          <w:rFonts w:cs="HelveticaNeue"/>
        </w:rPr>
        <w:t xml:space="preserve">et al. </w:t>
      </w:r>
      <w:r>
        <w:rPr>
          <w:rFonts w:cs="HelveticaNeue"/>
        </w:rPr>
        <w:t>2012</w:t>
      </w:r>
      <w:r w:rsidR="0042343E">
        <w:rPr>
          <w:rFonts w:cs="HelveticaNeue"/>
        </w:rPr>
        <w:t>; Thompson et al. 2014</w:t>
      </w:r>
      <w:r>
        <w:rPr>
          <w:rFonts w:cs="HelveticaNeue"/>
        </w:rPr>
        <w:t xml:space="preserve">). Sediment </w:t>
      </w:r>
      <w:proofErr w:type="spellStart"/>
      <w:r>
        <w:rPr>
          <w:rFonts w:cs="HelveticaNeue"/>
        </w:rPr>
        <w:t>resuspension</w:t>
      </w:r>
      <w:proofErr w:type="spellEnd"/>
      <w:r>
        <w:rPr>
          <w:rFonts w:cs="HelveticaNeue"/>
        </w:rPr>
        <w:t xml:space="preserve"> and</w:t>
      </w:r>
      <w:r w:rsidR="006C4AA7">
        <w:rPr>
          <w:rFonts w:cs="HelveticaNeue"/>
        </w:rPr>
        <w:t xml:space="preserve"> flood plumes associated with Tropical Cyclone</w:t>
      </w:r>
      <w:r>
        <w:rPr>
          <w:rFonts w:cs="HelveticaNeue"/>
        </w:rPr>
        <w:t xml:space="preserve"> Oswald </w:t>
      </w:r>
      <w:r w:rsidR="007E73E7">
        <w:rPr>
          <w:rFonts w:cs="HelveticaNeue"/>
        </w:rPr>
        <w:t xml:space="preserve">in </w:t>
      </w:r>
      <w:r>
        <w:rPr>
          <w:rFonts w:cs="HelveticaNeue"/>
        </w:rPr>
        <w:t xml:space="preserve">early 2013 also led to high turbidity and nutrient loads in the region (Devlin unpublished).  While coral reefs in the region are recovering from past </w:t>
      </w:r>
      <w:proofErr w:type="spellStart"/>
      <w:r>
        <w:rPr>
          <w:rFonts w:cs="HelveticaNeue"/>
        </w:rPr>
        <w:t>CoTS</w:t>
      </w:r>
      <w:proofErr w:type="spellEnd"/>
      <w:r>
        <w:rPr>
          <w:rFonts w:cs="HelveticaNeue"/>
        </w:rPr>
        <w:t xml:space="preserve"> infestations, a new </w:t>
      </w:r>
      <w:proofErr w:type="spellStart"/>
      <w:r>
        <w:rPr>
          <w:rFonts w:cs="HelveticaNeue"/>
        </w:rPr>
        <w:t>CoTS</w:t>
      </w:r>
      <w:proofErr w:type="spellEnd"/>
      <w:r>
        <w:rPr>
          <w:rFonts w:cs="HelveticaNeue"/>
        </w:rPr>
        <w:t xml:space="preserve"> outbreak is currently underway </w:t>
      </w:r>
      <w:r w:rsidR="00CF0485">
        <w:rPr>
          <w:rFonts w:cs="HelveticaNeue"/>
        </w:rPr>
        <w:t>around</w:t>
      </w:r>
      <w:r>
        <w:rPr>
          <w:rFonts w:cs="HelveticaNeue"/>
        </w:rPr>
        <w:t xml:space="preserve"> Cairns. As </w:t>
      </w:r>
      <w:proofErr w:type="spellStart"/>
      <w:r>
        <w:rPr>
          <w:rFonts w:cs="HelveticaNeue"/>
        </w:rPr>
        <w:t>CoTS</w:t>
      </w:r>
      <w:proofErr w:type="spellEnd"/>
      <w:r>
        <w:rPr>
          <w:rFonts w:cs="HelveticaNeue"/>
        </w:rPr>
        <w:t xml:space="preserve"> outbreaks have historically propagated south to Whitsundays and beyond (</w:t>
      </w:r>
      <w:proofErr w:type="spellStart"/>
      <w:r>
        <w:rPr>
          <w:rFonts w:cs="HelveticaNeue"/>
        </w:rPr>
        <w:t>Fabricius</w:t>
      </w:r>
      <w:proofErr w:type="spellEnd"/>
      <w:r>
        <w:rPr>
          <w:rFonts w:cs="HelveticaNeue"/>
        </w:rPr>
        <w:t xml:space="preserve"> et al 2010), the region’s coral reefs, in particular in mid-shelf areas, will be at risk of significant </w:t>
      </w:r>
      <w:proofErr w:type="spellStart"/>
      <w:r>
        <w:rPr>
          <w:rFonts w:cs="HelveticaNeue"/>
        </w:rPr>
        <w:t>CoTS</w:t>
      </w:r>
      <w:proofErr w:type="spellEnd"/>
      <w:r>
        <w:rPr>
          <w:rFonts w:cs="HelveticaNeue"/>
        </w:rPr>
        <w:t xml:space="preserve"> predation</w:t>
      </w:r>
      <w:r w:rsidR="0078064A">
        <w:rPr>
          <w:rFonts w:cs="HelveticaNeue"/>
        </w:rPr>
        <w:t xml:space="preserve"> in coming years.   </w:t>
      </w:r>
      <w:r>
        <w:rPr>
          <w:rFonts w:cs="HelveticaNeue"/>
        </w:rPr>
        <w:t xml:space="preserve"> </w:t>
      </w:r>
    </w:p>
    <w:p w:rsidR="00FA5A6F" w:rsidRDefault="00FA5A6F" w:rsidP="00D20C69">
      <w:pPr>
        <w:rPr>
          <w:b/>
          <w:sz w:val="20"/>
          <w:szCs w:val="20"/>
        </w:rPr>
      </w:pPr>
    </w:p>
    <w:p w:rsidR="00D856FB" w:rsidRDefault="002C0526" w:rsidP="00D856FB">
      <w:pPr>
        <w:pStyle w:val="Heading3"/>
      </w:pPr>
      <w:bookmarkStart w:id="11" w:name="_Toc406768042"/>
      <w:r>
        <w:lastRenderedPageBreak/>
        <w:t>2.2 Data</w:t>
      </w:r>
      <w:bookmarkEnd w:id="11"/>
    </w:p>
    <w:p w:rsidR="009E5B0E" w:rsidRDefault="009E5B0E" w:rsidP="00AF4F32">
      <w:r>
        <w:rPr>
          <w:lang w:val="en-US"/>
        </w:rPr>
        <w:t xml:space="preserve">As is the case throughout much of the GBRWHA, there are a number of monitoring programs that collect biophysical data relevant to </w:t>
      </w:r>
      <w:r w:rsidR="003734CF">
        <w:rPr>
          <w:lang w:val="en-US"/>
        </w:rPr>
        <w:t xml:space="preserve">matters of national environmental significance (MNES) </w:t>
      </w:r>
      <w:r>
        <w:rPr>
          <w:lang w:val="en-US"/>
        </w:rPr>
        <w:t>and OUV in the Mackay region. These programs have been established for different reasons and with little coordination regarding coverage or inter-comparability of sampling methods and resulting data.</w:t>
      </w:r>
    </w:p>
    <w:p w:rsidR="00AF4F32" w:rsidRPr="00BB0E9D" w:rsidRDefault="00AF4F32" w:rsidP="004534CD">
      <w:pPr>
        <w:autoSpaceDE w:val="0"/>
        <w:autoSpaceDN w:val="0"/>
        <w:adjustRightInd w:val="0"/>
      </w:pPr>
      <w:r>
        <w:t>The AIMS Long-term Monitoring Program is a surveillance monitoring program (</w:t>
      </w:r>
      <w:proofErr w:type="spellStart"/>
      <w:r>
        <w:t>sensu</w:t>
      </w:r>
      <w:proofErr w:type="spellEnd"/>
      <w:r>
        <w:t xml:space="preserve"> Nichols and Williams 2006) that grew out of </w:t>
      </w:r>
      <w:proofErr w:type="spellStart"/>
      <w:r>
        <w:t>broadscale</w:t>
      </w:r>
      <w:proofErr w:type="spellEnd"/>
      <w:r>
        <w:t xml:space="preserve"> surveys of crown-of-thorns starfish beginning in the 1980s.  In 1992 the program was modified to monitor reef fishes and benthic organisms at sites in a standard habitat on about 50 reefs between 14.5</w:t>
      </w:r>
      <w:r w:rsidR="00CF0485">
        <w:rPr>
          <w:rFonts w:ascii="Calibri" w:hAnsi="Calibri" w:cs="Calibri"/>
          <w:sz w:val="24"/>
          <w:szCs w:val="24"/>
        </w:rPr>
        <w:t>°</w:t>
      </w:r>
      <w:r w:rsidR="00CF0485">
        <w:t xml:space="preserve"> </w:t>
      </w:r>
      <w:r>
        <w:t>S and 23</w:t>
      </w:r>
      <w:r w:rsidR="00CF0485">
        <w:rPr>
          <w:rFonts w:ascii="Calibri" w:hAnsi="Calibri" w:cs="Calibri"/>
          <w:sz w:val="24"/>
          <w:szCs w:val="24"/>
        </w:rPr>
        <w:t>°</w:t>
      </w:r>
      <w:r w:rsidR="00CF0485">
        <w:t xml:space="preserve"> </w:t>
      </w:r>
      <w:r>
        <w:t>S.  Survey reefs were selected based on accessibility and prior data b</w:t>
      </w:r>
      <w:r w:rsidR="007E73E7">
        <w:t>ut are stratified by latitude (six</w:t>
      </w:r>
      <w:r>
        <w:t xml:space="preserve"> bands) and position on the continental shelf between the coast and the Coral Sea.</w:t>
      </w:r>
      <w:r w:rsidRPr="00BB0E9D">
        <w:t xml:space="preserve"> </w:t>
      </w:r>
    </w:p>
    <w:p w:rsidR="00AF4F32" w:rsidRDefault="00AF4F32" w:rsidP="00AF4F32">
      <w:r>
        <w:t>The Reef Rescue Marine Monitoring Program  (MMP)</w:t>
      </w:r>
      <w:r w:rsidR="003734CF">
        <w:t xml:space="preserve"> </w:t>
      </w:r>
      <w:r>
        <w:t>is a multi-agency program that monitors management performance: it is designed to track improvements in inshore water quality that follow from changes in land use in the GBR catchments as a result of the Reef Water Quality Protection Plan. To this end, intertidal seagrasses are monitored</w:t>
      </w:r>
      <w:r w:rsidR="007E73E7">
        <w:t xml:space="preserve"> </w:t>
      </w:r>
      <w:r>
        <w:t>(</w:t>
      </w:r>
      <w:r w:rsidR="00C9437D">
        <w:t>JCU-</w:t>
      </w:r>
      <w:proofErr w:type="spellStart"/>
      <w:r>
        <w:t>TropWater</w:t>
      </w:r>
      <w:proofErr w:type="spellEnd"/>
      <w:r>
        <w:t xml:space="preserve">) at </w:t>
      </w:r>
      <w:r w:rsidR="007E73E7">
        <w:t>three sites in the study area. A</w:t>
      </w:r>
      <w:r>
        <w:t xml:space="preserve">s well as extent of seagrass beds and species composition, reproduction, tissue chemistry, in situ light and herbicide content in the sediment are recorded.  Coral communities are monitored at seven sites (AIMS) including </w:t>
      </w:r>
      <w:r w:rsidR="00C9437D">
        <w:t xml:space="preserve">cover of major benthos including corals, </w:t>
      </w:r>
      <w:r>
        <w:t>colony size structure and estimates of recruitment. Ambient pesticide levels are monitored (</w:t>
      </w:r>
      <w:proofErr w:type="spellStart"/>
      <w:r>
        <w:t>Entox</w:t>
      </w:r>
      <w:proofErr w:type="spellEnd"/>
      <w:r>
        <w:t xml:space="preserve"> UQ) at five sites using passive sampling techniques.  A standard range of variables representing ambient water quality are sampled at three sites, both manually and using loggers (AIMS).  In addition, flood waters are sampled opportunistically (</w:t>
      </w:r>
      <w:r w:rsidR="00C9437D">
        <w:t>JCU-</w:t>
      </w:r>
      <w:proofErr w:type="spellStart"/>
      <w:r>
        <w:t>TropWater</w:t>
      </w:r>
      <w:proofErr w:type="spellEnd"/>
      <w:r>
        <w:t xml:space="preserve">) </w:t>
      </w:r>
      <w:r w:rsidR="002C0526">
        <w:t xml:space="preserve">and </w:t>
      </w:r>
      <w:r w:rsidR="006E1376">
        <w:t>water clarity (</w:t>
      </w:r>
      <w:proofErr w:type="spellStart"/>
      <w:proofErr w:type="gramStart"/>
      <w:r w:rsidR="006E1376">
        <w:t>K</w:t>
      </w:r>
      <w:r w:rsidR="006E1376" w:rsidRPr="006E1376">
        <w:rPr>
          <w:vertAlign w:val="subscript"/>
        </w:rPr>
        <w:t>d</w:t>
      </w:r>
      <w:proofErr w:type="spellEnd"/>
      <w:proofErr w:type="gramEnd"/>
      <w:r w:rsidR="006E1376">
        <w:t>)</w:t>
      </w:r>
      <w:r>
        <w:t>, chlorophyll</w:t>
      </w:r>
      <w:r w:rsidR="00C9437D">
        <w:t>, suspended solids</w:t>
      </w:r>
      <w:r>
        <w:t xml:space="preserve"> and coloured dissolved organic matter are estimated from MODIS images (CSIRO) as part of a GBR-wide program.</w:t>
      </w:r>
    </w:p>
    <w:p w:rsidR="00AF4F32" w:rsidRDefault="00AF4F32" w:rsidP="00AF4F32">
      <w:r>
        <w:t>Two other programs that monitor management performance</w:t>
      </w:r>
      <w:r w:rsidR="007E73E7">
        <w:t xml:space="preserve"> </w:t>
      </w:r>
      <w:r w:rsidR="00C9437D">
        <w:t xml:space="preserve">have </w:t>
      </w:r>
      <w:r w:rsidR="007E73E7">
        <w:t>survey sites in the study area. T</w:t>
      </w:r>
      <w:r>
        <w:t xml:space="preserve">he program </w:t>
      </w:r>
      <w:r w:rsidR="00C02B4C">
        <w:t>‘</w:t>
      </w:r>
      <w:r w:rsidR="00BB0E9D" w:rsidRPr="00BB0E9D">
        <w:t xml:space="preserve">effects of management zoning on inshore reefs of the </w:t>
      </w:r>
      <w:proofErr w:type="spellStart"/>
      <w:r w:rsidR="00C02B4C">
        <w:t>GBRMP’</w:t>
      </w:r>
      <w:r>
        <w:t>of</w:t>
      </w:r>
      <w:proofErr w:type="spellEnd"/>
      <w:r>
        <w:t xml:space="preserve"> James Cook University that monitors reef fishes and benthic organisms at </w:t>
      </w:r>
      <w:r w:rsidR="00BB0E9D">
        <w:t xml:space="preserve">12 </w:t>
      </w:r>
      <w:r>
        <w:t xml:space="preserve">sites inside and </w:t>
      </w:r>
      <w:r w:rsidR="00BB0E9D">
        <w:t xml:space="preserve">12 sites </w:t>
      </w:r>
      <w:r>
        <w:t>outside areas that are closed to fishing on inshor</w:t>
      </w:r>
      <w:r w:rsidR="006E1376">
        <w:t>e reefs in the Whitsundays area.  A complementary AIMS program</w:t>
      </w:r>
      <w:r>
        <w:t xml:space="preserve"> monitor</w:t>
      </w:r>
      <w:r w:rsidR="006E1376">
        <w:t>s</w:t>
      </w:r>
      <w:r>
        <w:t xml:space="preserve"> the effects of rezoning the GBRMP in 2004 on reef fishes and benthic organisms on </w:t>
      </w:r>
      <w:r w:rsidR="00BB0E9D">
        <w:t xml:space="preserve">six </w:t>
      </w:r>
      <w:r>
        <w:t>mid-shelf and offshore reefs</w:t>
      </w:r>
      <w:r w:rsidR="00BB0E9D">
        <w:t xml:space="preserve"> in the study area</w:t>
      </w:r>
      <w:r>
        <w:t>.</w:t>
      </w:r>
    </w:p>
    <w:p w:rsidR="00AF4F32" w:rsidRDefault="00AF4F32" w:rsidP="00AF4F32">
      <w:r>
        <w:t>The GBRMPA Eye on the Reef (</w:t>
      </w:r>
      <w:proofErr w:type="spellStart"/>
      <w:r>
        <w:t>EotR</w:t>
      </w:r>
      <w:proofErr w:type="spellEnd"/>
      <w:r>
        <w:t xml:space="preserve">) program is active in the study area.  This </w:t>
      </w:r>
      <w:r w:rsidR="009E5B0E">
        <w:t>overarching program</w:t>
      </w:r>
      <w:r>
        <w:t xml:space="preserve"> covers a hierarchy of five sub-programs with multiple functions, including visitor engagement, early warnings of changes, compliance with park regulations and rapid assessments of reef condition.  The simplest is the Sightings network in which participants submit records and photos of interesting organisms, providing records of distributions to the Authority and promoting vis</w:t>
      </w:r>
      <w:r w:rsidR="002C0526">
        <w:t>i</w:t>
      </w:r>
      <w:r>
        <w:t>tors’ interest in t</w:t>
      </w:r>
      <w:r w:rsidR="009E5B0E">
        <w:t xml:space="preserve">he reef environment.  The </w:t>
      </w:r>
      <w:proofErr w:type="spellStart"/>
      <w:r w:rsidR="009E5B0E">
        <w:t>EotR</w:t>
      </w:r>
      <w:proofErr w:type="spellEnd"/>
      <w:r w:rsidR="009E5B0E">
        <w:t xml:space="preserve"> ‘Rapid Surveys’</w:t>
      </w:r>
      <w:r>
        <w:t xml:space="preserve"> require minimal training and allow school groups and more engaged reef visitors to collect useful information by having different groups survey in the same site to produce a time series.  This also promotes community interest in t</w:t>
      </w:r>
      <w:r w:rsidR="009E5B0E">
        <w:t>he GBR and its condition.  The ‘</w:t>
      </w:r>
      <w:r>
        <w:t>T</w:t>
      </w:r>
      <w:r w:rsidR="009E5B0E">
        <w:t>ourism Weekly Monitoring Survey’</w:t>
      </w:r>
      <w:r>
        <w:t xml:space="preserve"> program involves trained staff of tourism operations in surveying nearby locations repeatedly to record changes.  The Reef Health and Impact Survey program requires more training and is used principally by GBRMPA-QPWS Field Management staff to assess the condition of sites, particularly after events such as cyclones and flood</w:t>
      </w:r>
      <w:r w:rsidR="009E5B0E">
        <w:t xml:space="preserve">s.  The final component is the </w:t>
      </w:r>
      <w:r w:rsidR="009E5B0E">
        <w:lastRenderedPageBreak/>
        <w:t>‘Eyes and Ears’</w:t>
      </w:r>
      <w:r>
        <w:t xml:space="preserve"> incident reporting program to record infringements of GBRMP regulations (though the results are confidential).</w:t>
      </w:r>
    </w:p>
    <w:p w:rsidR="00AF4F32" w:rsidRDefault="00AF4F32" w:rsidP="00AF4F32">
      <w:r>
        <w:t>Extensive physical and biological data ha</w:t>
      </w:r>
      <w:r w:rsidR="00BB0E9D">
        <w:t>ve</w:t>
      </w:r>
      <w:r>
        <w:t xml:space="preserve"> been </w:t>
      </w:r>
      <w:r w:rsidR="002C0526">
        <w:t>gathered by</w:t>
      </w:r>
      <w:r>
        <w:t xml:space="preserve"> North Queensland Bulk Ports (NQBP) Corporation in compliance with environmental legislation associated with maintenance dredging at the Port</w:t>
      </w:r>
      <w:r w:rsidR="00BC0D03">
        <w:t>s</w:t>
      </w:r>
      <w:r>
        <w:t xml:space="preserve"> of </w:t>
      </w:r>
      <w:r w:rsidR="00BC0D03">
        <w:t xml:space="preserve">Abbott Point, </w:t>
      </w:r>
      <w:r>
        <w:t xml:space="preserve">Hay Point and Mackay, including extensive water quality measurements and assessment of fringing reef communities and benthic </w:t>
      </w:r>
      <w:proofErr w:type="spellStart"/>
      <w:r>
        <w:t>infauna</w:t>
      </w:r>
      <w:proofErr w:type="spellEnd"/>
      <w:r>
        <w:t xml:space="preserve"> and seagrass.  NQBP has initiated an ambient water quality monitoring program for the region of these </w:t>
      </w:r>
      <w:r w:rsidR="00BC0D03">
        <w:t xml:space="preserve">three </w:t>
      </w:r>
      <w:r>
        <w:t>ports to provide a longer term context for monitoring associated with short term dredging campaigns, based on continuous loggers and quarterly manual sampling.</w:t>
      </w:r>
    </w:p>
    <w:p w:rsidR="00AF4F32" w:rsidRDefault="00AF4F32" w:rsidP="00AF4F32">
      <w:r>
        <w:t>Beside some of the Eye on the Reef subprograms, two other citizen science programs collect data in the study area.  The</w:t>
      </w:r>
      <w:r w:rsidR="007324C0">
        <w:t xml:space="preserve"> </w:t>
      </w:r>
      <w:proofErr w:type="spellStart"/>
      <w:r w:rsidR="007324C0">
        <w:t>Seagrasswatch</w:t>
      </w:r>
      <w:proofErr w:type="spellEnd"/>
      <w:r w:rsidR="007324C0">
        <w:t xml:space="preserve"> program has long-</w:t>
      </w:r>
      <w:r>
        <w:t xml:space="preserve">term intertidal sites at St Helen’s Beach, Seaforth and Sarina Inlet.  </w:t>
      </w:r>
      <w:proofErr w:type="spellStart"/>
      <w:r>
        <w:t>Reefcheck</w:t>
      </w:r>
      <w:proofErr w:type="spellEnd"/>
      <w:r>
        <w:t xml:space="preserve"> Australia organises for volunteer divers to gather information on reef condition using standard protocols, and depend on tourism operations to get to their survey sites.  Six reef sites at four locations in the Whitsundays were surveyed in 2011-13.  These programs have dual functions of gathering data and promoting environmental stewardship through involving members of the local community. </w:t>
      </w:r>
    </w:p>
    <w:p w:rsidR="00AF4F32" w:rsidRDefault="00AF4F32" w:rsidP="00AF4F32">
      <w:r>
        <w:t xml:space="preserve">Other </w:t>
      </w:r>
      <w:proofErr w:type="spellStart"/>
      <w:r>
        <w:t>broadscale</w:t>
      </w:r>
      <w:proofErr w:type="spellEnd"/>
      <w:r>
        <w:t xml:space="preserve"> programs that gather biological data in the study region include regular 5-yearly aerial surveys of dugong along the GBR (JCU),</w:t>
      </w:r>
      <w:r w:rsidR="00BC0D03">
        <w:t xml:space="preserve">monitoring of turtle populations in </w:t>
      </w:r>
      <w:proofErr w:type="spellStart"/>
      <w:r w:rsidR="00BC0D03">
        <w:t>Edgecumbe</w:t>
      </w:r>
      <w:proofErr w:type="spellEnd"/>
      <w:r w:rsidR="00BC0D03">
        <w:t xml:space="preserve"> Bay (QDEHP), monitoring of seabirds (GBRMPA-QPWS) </w:t>
      </w:r>
      <w:r>
        <w:t xml:space="preserve"> </w:t>
      </w:r>
      <w:r w:rsidR="009E5B0E">
        <w:t xml:space="preserve">and </w:t>
      </w:r>
      <w:r>
        <w:t xml:space="preserve">the Queensland Shark Control Program </w:t>
      </w:r>
      <w:r w:rsidR="00CF0485">
        <w:t xml:space="preserve">(QDAFF) </w:t>
      </w:r>
      <w:r>
        <w:t xml:space="preserve">has drum-lines near Mackay.  The </w:t>
      </w:r>
      <w:proofErr w:type="spellStart"/>
      <w:r>
        <w:t>statewide</w:t>
      </w:r>
      <w:proofErr w:type="spellEnd"/>
      <w:r>
        <w:t xml:space="preserve"> </w:t>
      </w:r>
      <w:proofErr w:type="spellStart"/>
      <w:r>
        <w:t>Strandings</w:t>
      </w:r>
      <w:proofErr w:type="spellEnd"/>
      <w:r>
        <w:t xml:space="preserve"> Network records large animals that wash up on beaches (relevant for turtle and dugong when broad areas of seagrass beds are destroyed by cyclones).</w:t>
      </w:r>
    </w:p>
    <w:p w:rsidR="00AF4F32" w:rsidRPr="009E5B0E" w:rsidRDefault="00AF4F32" w:rsidP="009E5B0E">
      <w:r>
        <w:t xml:space="preserve">As well as the monitoring of water quality that forms part of the Reef Rescue MMP, </w:t>
      </w:r>
      <w:proofErr w:type="spellStart"/>
      <w:r>
        <w:t>TropWater</w:t>
      </w:r>
      <w:proofErr w:type="spellEnd"/>
      <w:r>
        <w:t xml:space="preserve"> has monitored floods in the region opportunistically for more than a decade.  The region is covered by several </w:t>
      </w:r>
      <w:proofErr w:type="spellStart"/>
      <w:r>
        <w:t>broadscale</w:t>
      </w:r>
      <w:proofErr w:type="spellEnd"/>
      <w:r>
        <w:t xml:space="preserve"> programs that monitor physical conditions that may influence the structure and condition of ecological communities.  These include NOAA’s coral reef watch program (SST by remote sensing), and the finer-scale </w:t>
      </w:r>
      <w:proofErr w:type="spellStart"/>
      <w:r>
        <w:t>ReefTemp</w:t>
      </w:r>
      <w:proofErr w:type="spellEnd"/>
      <w:r>
        <w:t xml:space="preserve"> program (GBRMPA, CSIRO &amp; BoM) that aim to predict coral bleaching.  The AIMS- GBRMPA sea temperature monitoring program has loggers at 19 sites in the study area and AIMS has an automatic weather station at Hardy Reef.  Queensland Government programs monitor wave height at Mackay and Hay Point and heights of storm tides at Laguna Quays, Shute Harb</w:t>
      </w:r>
      <w:r w:rsidR="009E5B0E">
        <w:t>our, Mackay, and Dalrymple Bay.</w:t>
      </w:r>
    </w:p>
    <w:p w:rsidR="00335F2C" w:rsidRDefault="006E1376" w:rsidP="00FC7E87">
      <w:pPr>
        <w:spacing w:after="0"/>
      </w:pPr>
      <w:r>
        <w:t>The totality of monitoring e</w:t>
      </w:r>
      <w:r w:rsidR="006C160A">
        <w:t>ffort in the Mackay-Whitsunday R</w:t>
      </w:r>
      <w:r>
        <w:t xml:space="preserve">egion is summarised in the accompanying Appendix. </w:t>
      </w:r>
      <w:r w:rsidR="009E5B0E">
        <w:t xml:space="preserve">The extent to which these data are useful in an IMP depends on targets specified under the LTSP2050 and the </w:t>
      </w:r>
      <w:r w:rsidR="002C0526">
        <w:t>models</w:t>
      </w:r>
      <w:r w:rsidR="009E5B0E">
        <w:t xml:space="preserve"> used to capture cause-and-effect understanding </w:t>
      </w:r>
      <w:r w:rsidR="002C0526">
        <w:t>linking</w:t>
      </w:r>
      <w:r w:rsidR="009E5B0E">
        <w:t xml:space="preserve"> actions and target outcomes. </w:t>
      </w:r>
    </w:p>
    <w:p w:rsidR="00335F2C" w:rsidRDefault="00335F2C">
      <w:r>
        <w:br w:type="page"/>
      </w:r>
    </w:p>
    <w:p w:rsidR="00FE45F3" w:rsidRPr="00993E4E" w:rsidRDefault="002C0526" w:rsidP="00993E4E">
      <w:pPr>
        <w:pStyle w:val="Heading1"/>
      </w:pPr>
      <w:bookmarkStart w:id="12" w:name="_Toc406768043"/>
      <w:r>
        <w:lastRenderedPageBreak/>
        <w:t>3.0 Analysis</w:t>
      </w:r>
      <w:r w:rsidR="00FE45F3">
        <w:t xml:space="preserve"> and integration of monitoring</w:t>
      </w:r>
      <w:r w:rsidR="00134175" w:rsidRPr="00134175">
        <w:t xml:space="preserve"> data</w:t>
      </w:r>
      <w:bookmarkEnd w:id="12"/>
    </w:p>
    <w:p w:rsidR="00EB0642" w:rsidRDefault="00EB0642" w:rsidP="00EB0642">
      <w:pPr>
        <w:pStyle w:val="Heading3"/>
      </w:pPr>
      <w:bookmarkStart w:id="13" w:name="_Toc406768044"/>
      <w:r>
        <w:t>3.1 Analysis</w:t>
      </w:r>
      <w:r w:rsidR="00D03E6B">
        <w:t xml:space="preserve"> of monitoring data</w:t>
      </w:r>
      <w:bookmarkEnd w:id="13"/>
    </w:p>
    <w:p w:rsidR="00FE45F3" w:rsidRDefault="00FE45F3" w:rsidP="006D7FD4">
      <w:pPr>
        <w:ind w:right="-164"/>
        <w:rPr>
          <w:lang w:val="en-US"/>
        </w:rPr>
      </w:pPr>
      <w:r w:rsidRPr="0060678B">
        <w:rPr>
          <w:lang w:val="en-US"/>
        </w:rPr>
        <w:t xml:space="preserve">The technical task of gathering and interpreting monitoring data within </w:t>
      </w:r>
      <w:r w:rsidR="00BA0AAA">
        <w:rPr>
          <w:lang w:val="en-US"/>
        </w:rPr>
        <w:t>the LTSP2050’s</w:t>
      </w:r>
      <w:r w:rsidRPr="0060678B">
        <w:rPr>
          <w:lang w:val="en-US"/>
        </w:rPr>
        <w:t xml:space="preserve"> </w:t>
      </w:r>
      <w:r w:rsidR="00C9437D">
        <w:rPr>
          <w:lang w:val="en-US"/>
        </w:rPr>
        <w:t xml:space="preserve">underpinning philosophy of </w:t>
      </w:r>
      <w:r w:rsidRPr="0060678B">
        <w:rPr>
          <w:lang w:val="en-US"/>
        </w:rPr>
        <w:t>continuous improvement takes place against a complex social and political background</w:t>
      </w:r>
      <w:r w:rsidR="00BA0AAA">
        <w:rPr>
          <w:lang w:val="en-US"/>
        </w:rPr>
        <w:t>.</w:t>
      </w:r>
      <w:r w:rsidRPr="0060678B">
        <w:rPr>
          <w:lang w:val="en-US"/>
        </w:rPr>
        <w:t xml:space="preserve"> </w:t>
      </w:r>
      <w:r w:rsidR="00BA0AAA">
        <w:rPr>
          <w:lang w:val="en-US"/>
        </w:rPr>
        <w:t>C</w:t>
      </w:r>
      <w:r w:rsidRPr="0060678B">
        <w:rPr>
          <w:lang w:val="en-US"/>
        </w:rPr>
        <w:t>onflicting values and multiple narratives regarding the magnitude and seriousness of various impacts</w:t>
      </w:r>
      <w:r w:rsidR="00BA0AAA">
        <w:rPr>
          <w:lang w:val="en-US"/>
        </w:rPr>
        <w:t xml:space="preserve"> are pervasive </w:t>
      </w:r>
      <w:r w:rsidR="002C0526">
        <w:rPr>
          <w:lang w:val="en-US"/>
        </w:rPr>
        <w:t>elements</w:t>
      </w:r>
      <w:r w:rsidR="00BA0AAA">
        <w:rPr>
          <w:lang w:val="en-US"/>
        </w:rPr>
        <w:t xml:space="preserve"> of this </w:t>
      </w:r>
      <w:r w:rsidR="002C0526">
        <w:rPr>
          <w:lang w:val="en-US"/>
        </w:rPr>
        <w:t>complexity.</w:t>
      </w:r>
      <w:r w:rsidRPr="0060678B">
        <w:rPr>
          <w:lang w:val="en-US"/>
        </w:rPr>
        <w:t xml:space="preserve">  Managers and industry may be over-confident in the effectiveness of their actions (Ludwig et al. 1993, Morgan and </w:t>
      </w:r>
      <w:proofErr w:type="spellStart"/>
      <w:r w:rsidRPr="0060678B">
        <w:rPr>
          <w:lang w:val="en-US"/>
        </w:rPr>
        <w:t>Henrion</w:t>
      </w:r>
      <w:proofErr w:type="spellEnd"/>
      <w:r w:rsidRPr="0060678B">
        <w:rPr>
          <w:lang w:val="en-US"/>
        </w:rPr>
        <w:t xml:space="preserve"> 1990) and tend to regard the claims of environmentalists and others as alarmist.  The attitude of community stakeholders toward managers and industry is often characterized by skepticism rather than trust (</w:t>
      </w:r>
      <w:proofErr w:type="spellStart"/>
      <w:r w:rsidRPr="0060678B">
        <w:rPr>
          <w:lang w:val="en-US"/>
        </w:rPr>
        <w:t>Bocking</w:t>
      </w:r>
      <w:proofErr w:type="spellEnd"/>
      <w:r w:rsidRPr="0060678B">
        <w:rPr>
          <w:lang w:val="en-US"/>
        </w:rPr>
        <w:t xml:space="preserve"> 2004).  They may be inclined to view the claims of managers and industry as imbuing a false sense of security.    </w:t>
      </w:r>
    </w:p>
    <w:p w:rsidR="00CF7ABA" w:rsidRDefault="00FC7E87" w:rsidP="006D7FD4">
      <w:pPr>
        <w:ind w:right="-164"/>
        <w:rPr>
          <w:lang w:val="en-US"/>
        </w:rPr>
      </w:pPr>
      <w:r w:rsidRPr="0060678B">
        <w:rPr>
          <w:lang w:val="en-US"/>
        </w:rPr>
        <w:t>Hard data and scientific rigor are often invoked as the ultimate arbiters of contested claims.  However, there is a distinct tendency for people to draw firm conclusions from meager data that are inconsistent with what they themselves might regard as a reasonable burden of proof (</w:t>
      </w:r>
      <w:proofErr w:type="spellStart"/>
      <w:r w:rsidRPr="0060678B">
        <w:rPr>
          <w:lang w:val="en-US"/>
        </w:rPr>
        <w:t>Tversky</w:t>
      </w:r>
      <w:proofErr w:type="spellEnd"/>
      <w:r w:rsidRPr="0060678B">
        <w:rPr>
          <w:lang w:val="en-US"/>
        </w:rPr>
        <w:t xml:space="preserve"> and </w:t>
      </w:r>
      <w:proofErr w:type="spellStart"/>
      <w:r w:rsidRPr="0060678B">
        <w:rPr>
          <w:lang w:val="en-US"/>
        </w:rPr>
        <w:t>Kahneman</w:t>
      </w:r>
      <w:proofErr w:type="spellEnd"/>
      <w:r w:rsidRPr="0060678B">
        <w:rPr>
          <w:lang w:val="en-US"/>
        </w:rPr>
        <w:t xml:space="preserve"> 1971).  People are predisposed to this psychological frailty irrespective of their stake in the outcomes of decision-making, and training in science offers only limited immunity</w:t>
      </w:r>
      <w:r w:rsidRPr="00F43C4A">
        <w:rPr>
          <w:lang w:val="en-US"/>
        </w:rPr>
        <w:t>.</w:t>
      </w:r>
    </w:p>
    <w:p w:rsidR="00FC7E87" w:rsidRDefault="00FC7E87" w:rsidP="006D7FD4">
      <w:pPr>
        <w:ind w:right="-164"/>
        <w:rPr>
          <w:lang w:val="en-US"/>
        </w:rPr>
      </w:pPr>
    </w:p>
    <w:p w:rsidR="00324CA4" w:rsidRDefault="00324CA4" w:rsidP="00324CA4">
      <w:pPr>
        <w:rPr>
          <w:lang w:val="en-US"/>
        </w:rPr>
      </w:pPr>
      <w:r>
        <w:rPr>
          <w:noProof/>
          <w:lang w:eastAsia="en-AU"/>
        </w:rPr>
        <w:drawing>
          <wp:inline distT="0" distB="0" distL="0" distR="0">
            <wp:extent cx="4543200" cy="275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3200" cy="2750400"/>
                    </a:xfrm>
                    <a:prstGeom prst="rect">
                      <a:avLst/>
                    </a:prstGeom>
                    <a:noFill/>
                  </pic:spPr>
                </pic:pic>
              </a:graphicData>
            </a:graphic>
          </wp:inline>
        </w:drawing>
      </w:r>
    </w:p>
    <w:p w:rsidR="00324CA4" w:rsidRDefault="00F43C4A" w:rsidP="00324CA4">
      <w:pPr>
        <w:rPr>
          <w:sz w:val="20"/>
          <w:szCs w:val="20"/>
          <w:lang w:val="en-US"/>
        </w:rPr>
      </w:pPr>
      <w:proofErr w:type="gramStart"/>
      <w:r w:rsidRPr="00F43C4A">
        <w:rPr>
          <w:b/>
          <w:sz w:val="20"/>
          <w:szCs w:val="20"/>
          <w:lang w:val="en-US"/>
        </w:rPr>
        <w:t xml:space="preserve">Figure </w:t>
      </w:r>
      <w:r w:rsidR="00BA0AAA">
        <w:rPr>
          <w:b/>
          <w:sz w:val="20"/>
          <w:szCs w:val="20"/>
          <w:lang w:val="en-US"/>
        </w:rPr>
        <w:t>8</w:t>
      </w:r>
      <w:r w:rsidRPr="00F43C4A">
        <w:rPr>
          <w:b/>
          <w:sz w:val="20"/>
          <w:szCs w:val="20"/>
          <w:lang w:val="en-US"/>
        </w:rPr>
        <w:t>.</w:t>
      </w:r>
      <w:proofErr w:type="gramEnd"/>
      <w:r w:rsidRPr="00F43C4A">
        <w:rPr>
          <w:sz w:val="20"/>
          <w:szCs w:val="20"/>
          <w:lang w:val="en-US"/>
        </w:rPr>
        <w:t xml:space="preserve"> Three hypothetical trajectories of status and trend (open circles) sampled from a true trend (closed circles) using sample size</w:t>
      </w:r>
      <w:r w:rsidRPr="00BA0AAA">
        <w:rPr>
          <w:i/>
          <w:sz w:val="20"/>
          <w:szCs w:val="20"/>
          <w:lang w:val="en-US"/>
        </w:rPr>
        <w:t xml:space="preserve"> n</w:t>
      </w:r>
      <w:r w:rsidR="00BA0AAA">
        <w:rPr>
          <w:sz w:val="20"/>
          <w:szCs w:val="20"/>
          <w:lang w:val="en-US"/>
        </w:rPr>
        <w:t xml:space="preserve"> </w:t>
      </w:r>
      <w:r w:rsidRPr="00F43C4A">
        <w:rPr>
          <w:sz w:val="20"/>
          <w:szCs w:val="20"/>
          <w:lang w:val="en-US"/>
        </w:rPr>
        <w:t>= 5.  Variability of the system is equivalent to a coefficient of variation (CV) of 50%.</w:t>
      </w:r>
    </w:p>
    <w:p w:rsidR="00335F2C" w:rsidRDefault="00335F2C" w:rsidP="00335F2C">
      <w:pPr>
        <w:ind w:right="-164"/>
        <w:rPr>
          <w:lang w:val="en-US"/>
        </w:rPr>
      </w:pPr>
    </w:p>
    <w:p w:rsidR="00335F2C" w:rsidRDefault="00335F2C" w:rsidP="00335F2C">
      <w:pPr>
        <w:ind w:right="-164"/>
        <w:rPr>
          <w:lang w:val="en-US"/>
        </w:rPr>
      </w:pPr>
      <w:r w:rsidRPr="00F43C4A">
        <w:rPr>
          <w:lang w:val="en-US"/>
        </w:rPr>
        <w:t>For example, Figure</w:t>
      </w:r>
      <w:r>
        <w:rPr>
          <w:lang w:val="en-US"/>
        </w:rPr>
        <w:t xml:space="preserve"> 8 shows three hypothetical trajectories of status and trend monitoring for an arbitrary index of </w:t>
      </w:r>
      <w:proofErr w:type="spellStart"/>
      <w:r>
        <w:rPr>
          <w:lang w:val="en-US"/>
        </w:rPr>
        <w:t>seagrass</w:t>
      </w:r>
      <w:proofErr w:type="spellEnd"/>
      <w:r>
        <w:rPr>
          <w:lang w:val="en-US"/>
        </w:rPr>
        <w:t xml:space="preserve"> cover and condition, involving only a modest sample size.  By chance alone, one of the trajectories is very close to the true underlying trend.  Again by chance alone, the other two trajectories invite different inferences, some of them erroneous, particularly for the period 2015 – 2017.  We can insure against erroneous inference and interpretation by increasing the sampling effort (Figure 9).  But data do not come for free.  We need to balance the costs of alarmism and false security against </w:t>
      </w:r>
      <w:r>
        <w:rPr>
          <w:lang w:val="en-US"/>
        </w:rPr>
        <w:lastRenderedPageBreak/>
        <w:t>the costs of data acquisition.  A coarse approximation of these trade-offs can be approached by considering the gains in precision that come with increased monitoring effort (i.e. increased costs of data acquisition); see Box 1.  These trade-offs have immediate implications for the practicalities of ‘nested’ regional monitoring within ‘whole-of-reef’ monitoring.</w:t>
      </w:r>
    </w:p>
    <w:p w:rsidR="00335F2C" w:rsidRPr="00335F2C" w:rsidRDefault="00335F2C" w:rsidP="00335F2C">
      <w:pPr>
        <w:ind w:right="-164"/>
        <w:rPr>
          <w:lang w:val="en-US"/>
        </w:rPr>
      </w:pPr>
    </w:p>
    <w:p w:rsidR="00324CA4" w:rsidRDefault="00324CA4" w:rsidP="00324CA4">
      <w:pPr>
        <w:rPr>
          <w:lang w:val="en-US"/>
        </w:rPr>
      </w:pPr>
      <w:r>
        <w:rPr>
          <w:noProof/>
          <w:lang w:eastAsia="en-AU"/>
        </w:rPr>
        <w:drawing>
          <wp:inline distT="0" distB="0" distL="0" distR="0">
            <wp:extent cx="4532400" cy="275040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2400" cy="2750400"/>
                    </a:xfrm>
                    <a:prstGeom prst="rect">
                      <a:avLst/>
                    </a:prstGeom>
                    <a:noFill/>
                  </pic:spPr>
                </pic:pic>
              </a:graphicData>
            </a:graphic>
          </wp:inline>
        </w:drawing>
      </w:r>
    </w:p>
    <w:p w:rsidR="00324CA4" w:rsidRPr="00335F2C" w:rsidRDefault="00F43C4A" w:rsidP="00335F2C">
      <w:pPr>
        <w:rPr>
          <w:sz w:val="20"/>
          <w:szCs w:val="20"/>
          <w:lang w:val="en-US"/>
        </w:rPr>
      </w:pPr>
      <w:proofErr w:type="gramStart"/>
      <w:r w:rsidRPr="00F43C4A">
        <w:rPr>
          <w:b/>
          <w:sz w:val="20"/>
          <w:szCs w:val="20"/>
          <w:lang w:val="en-US"/>
        </w:rPr>
        <w:t xml:space="preserve">Figure </w:t>
      </w:r>
      <w:r w:rsidR="00BA0AAA">
        <w:rPr>
          <w:b/>
          <w:sz w:val="20"/>
          <w:szCs w:val="20"/>
          <w:lang w:val="en-US"/>
        </w:rPr>
        <w:t>9</w:t>
      </w:r>
      <w:r w:rsidRPr="00F43C4A">
        <w:rPr>
          <w:b/>
          <w:sz w:val="20"/>
          <w:szCs w:val="20"/>
          <w:lang w:val="en-US"/>
        </w:rPr>
        <w:t>.</w:t>
      </w:r>
      <w:proofErr w:type="gramEnd"/>
      <w:r w:rsidRPr="00F43C4A">
        <w:rPr>
          <w:sz w:val="20"/>
          <w:szCs w:val="20"/>
          <w:lang w:val="en-US"/>
        </w:rPr>
        <w:t xml:space="preserve"> Three hypothetical trajectories of status and trend (open circles) sampled from a true trend (closed circles) using sample size </w:t>
      </w:r>
      <w:r w:rsidRPr="00BA0AAA">
        <w:rPr>
          <w:i/>
          <w:sz w:val="20"/>
          <w:szCs w:val="20"/>
          <w:lang w:val="en-US"/>
        </w:rPr>
        <w:t>n</w:t>
      </w:r>
      <w:r w:rsidR="00BA0AAA">
        <w:rPr>
          <w:sz w:val="20"/>
          <w:szCs w:val="20"/>
          <w:lang w:val="en-US"/>
        </w:rPr>
        <w:t xml:space="preserve"> </w:t>
      </w:r>
      <w:r w:rsidRPr="00F43C4A">
        <w:rPr>
          <w:sz w:val="20"/>
          <w:szCs w:val="20"/>
          <w:lang w:val="en-US"/>
        </w:rPr>
        <w:t xml:space="preserve">= </w:t>
      </w:r>
      <w:r>
        <w:rPr>
          <w:sz w:val="20"/>
          <w:szCs w:val="20"/>
          <w:lang w:val="en-US"/>
        </w:rPr>
        <w:t>100</w:t>
      </w:r>
      <w:r w:rsidRPr="00F43C4A">
        <w:rPr>
          <w:sz w:val="20"/>
          <w:szCs w:val="20"/>
          <w:lang w:val="en-US"/>
        </w:rPr>
        <w:t>.  Variability of the system is equivalent to a coeffi</w:t>
      </w:r>
      <w:r w:rsidR="00335F2C">
        <w:rPr>
          <w:sz w:val="20"/>
          <w:szCs w:val="20"/>
          <w:lang w:val="en-US"/>
        </w:rPr>
        <w:t>cient of variation (CV) of 50%.</w:t>
      </w:r>
    </w:p>
    <w:p w:rsidR="00581580" w:rsidRDefault="00581580" w:rsidP="00581580">
      <w:pPr>
        <w:spacing w:after="0" w:line="240" w:lineRule="auto"/>
      </w:pPr>
    </w:p>
    <w:p w:rsidR="00DC22EF" w:rsidRPr="00BA0AAA" w:rsidRDefault="00581580" w:rsidP="00DC22EF">
      <w:pPr>
        <w:pBdr>
          <w:top w:val="single" w:sz="4" w:space="1" w:color="auto"/>
          <w:left w:val="single" w:sz="4" w:space="4" w:color="auto"/>
          <w:bottom w:val="single" w:sz="4" w:space="1" w:color="auto"/>
          <w:right w:val="single" w:sz="4" w:space="4" w:color="auto"/>
        </w:pBdr>
        <w:spacing w:after="120" w:line="240" w:lineRule="auto"/>
        <w:rPr>
          <w:b/>
          <w:i/>
        </w:rPr>
      </w:pPr>
      <w:r>
        <w:rPr>
          <w:b/>
          <w:i/>
          <w:lang w:val="en-US"/>
        </w:rPr>
        <w:t>Box 1</w:t>
      </w:r>
      <w:r w:rsidR="00380E36">
        <w:rPr>
          <w:b/>
          <w:i/>
          <w:lang w:val="en-US"/>
        </w:rPr>
        <w:t>.</w:t>
      </w:r>
      <w:r>
        <w:rPr>
          <w:b/>
          <w:i/>
          <w:lang w:val="en-US"/>
        </w:rPr>
        <w:t xml:space="preserve"> </w:t>
      </w:r>
      <w:r w:rsidR="00DC22EF" w:rsidRPr="00BA0AAA">
        <w:rPr>
          <w:b/>
          <w:i/>
        </w:rPr>
        <w:t>Can we ‘nest’ regional monitoring within whole-of-reef monitoring?</w:t>
      </w:r>
    </w:p>
    <w:p w:rsidR="00DC22EF" w:rsidRDefault="00DC22EF" w:rsidP="00DC22EF">
      <w:pPr>
        <w:pBdr>
          <w:top w:val="single" w:sz="4" w:space="1" w:color="auto"/>
          <w:left w:val="single" w:sz="4" w:space="4" w:color="auto"/>
          <w:bottom w:val="single" w:sz="4" w:space="1" w:color="auto"/>
          <w:right w:val="single" w:sz="4" w:space="4" w:color="auto"/>
        </w:pBdr>
        <w:spacing w:after="0" w:line="240" w:lineRule="auto"/>
      </w:pPr>
      <w:r>
        <w:t xml:space="preserve">Water quality action #15 of the LTSP2050 is to </w:t>
      </w:r>
      <w:r w:rsidR="00C9437D">
        <w:rPr>
          <w:i/>
        </w:rPr>
        <w:t xml:space="preserve">‘expand nested </w:t>
      </w:r>
      <w:r w:rsidRPr="003B571F">
        <w:rPr>
          <w:i/>
        </w:rPr>
        <w:t>integrated water quality monitoring and report card programs at major ports and activity centres (e.g. Gladstone), in priority catchments (e.g. Mackay Whitsundays) and Reef-wide (i.e. Reef Report Card), to guide local adaptive management frameworks and actions.</w:t>
      </w:r>
      <w:r>
        <w:rPr>
          <w:i/>
        </w:rPr>
        <w:t>’</w:t>
      </w:r>
    </w:p>
    <w:p w:rsidR="00DC22EF" w:rsidRDefault="00DC22EF" w:rsidP="00DC22EF">
      <w:pPr>
        <w:pBdr>
          <w:top w:val="single" w:sz="4" w:space="1" w:color="auto"/>
          <w:left w:val="single" w:sz="4" w:space="4" w:color="auto"/>
          <w:bottom w:val="single" w:sz="4" w:space="1" w:color="auto"/>
          <w:right w:val="single" w:sz="4" w:space="4" w:color="auto"/>
        </w:pBdr>
        <w:spacing w:after="0" w:line="240" w:lineRule="auto"/>
      </w:pPr>
    </w:p>
    <w:p w:rsidR="00581580" w:rsidRDefault="00DC22EF" w:rsidP="00DC22EF">
      <w:pPr>
        <w:pBdr>
          <w:top w:val="single" w:sz="4" w:space="1" w:color="auto"/>
          <w:left w:val="single" w:sz="4" w:space="4" w:color="auto"/>
          <w:bottom w:val="single" w:sz="4" w:space="1" w:color="auto"/>
          <w:right w:val="single" w:sz="4" w:space="4" w:color="auto"/>
        </w:pBdr>
        <w:spacing w:after="0" w:line="240" w:lineRule="auto"/>
      </w:pPr>
      <w:r>
        <w:t xml:space="preserve">If regional monitoring is to guide local action it needs to be reasonably precise.  Insufficient monitoring may mislead, encouraging misplaced community concern (or community apathy).  To make informed decisions about the merit of concentrated or ‘nested’ monitoring in any one region, an </w:t>
      </w:r>
      <w:r w:rsidR="002C0526">
        <w:t>appreciation</w:t>
      </w:r>
      <w:r>
        <w:t xml:space="preserve"> of the trade-off between cost and precision is required.</w:t>
      </w:r>
    </w:p>
    <w:p w:rsidR="00DC22EF" w:rsidRPr="00DC22EF" w:rsidRDefault="00DC22EF" w:rsidP="00DC22EF">
      <w:pPr>
        <w:pBdr>
          <w:top w:val="single" w:sz="4" w:space="1" w:color="auto"/>
          <w:left w:val="single" w:sz="4" w:space="4" w:color="auto"/>
          <w:bottom w:val="single" w:sz="4" w:space="1" w:color="auto"/>
          <w:right w:val="single" w:sz="4" w:space="4" w:color="auto"/>
        </w:pBdr>
        <w:spacing w:after="0" w:line="240" w:lineRule="auto"/>
      </w:pPr>
    </w:p>
    <w:p w:rsidR="00581580" w:rsidRPr="001E5A2B" w:rsidRDefault="00581580" w:rsidP="00581580">
      <w:pPr>
        <w:pBdr>
          <w:top w:val="single" w:sz="4" w:space="1" w:color="auto"/>
          <w:left w:val="single" w:sz="4" w:space="4" w:color="auto"/>
          <w:bottom w:val="single" w:sz="4" w:space="1" w:color="auto"/>
          <w:right w:val="single" w:sz="4" w:space="4" w:color="auto"/>
        </w:pBdr>
        <w:rPr>
          <w:lang w:val="en-US"/>
        </w:rPr>
      </w:pPr>
      <w:r w:rsidRPr="001E5A2B">
        <w:rPr>
          <w:lang w:val="en-US"/>
        </w:rPr>
        <w:t xml:space="preserve">If the variability of a quantity of interest can be estimated, and we can specify the precision and significance level required, then the number of samples </w:t>
      </w:r>
      <w:r w:rsidR="002C0526" w:rsidRPr="001E5A2B">
        <w:rPr>
          <w:lang w:val="en-US"/>
        </w:rPr>
        <w:t>required,</w:t>
      </w:r>
      <w:r w:rsidRPr="001E5A2B">
        <w:rPr>
          <w:lang w:val="en-US"/>
        </w:rPr>
        <w:t xml:space="preserve"> </w:t>
      </w:r>
      <w:r w:rsidRPr="001E5A2B">
        <w:rPr>
          <w:i/>
          <w:lang w:val="en-US"/>
        </w:rPr>
        <w:t>n</w:t>
      </w:r>
      <w:r w:rsidRPr="001E5A2B">
        <w:rPr>
          <w:lang w:val="en-US"/>
        </w:rPr>
        <w:t>, can b</w:t>
      </w:r>
      <w:r>
        <w:rPr>
          <w:lang w:val="en-US"/>
        </w:rPr>
        <w:t xml:space="preserve">e calculated using the formula </w:t>
      </w:r>
    </w:p>
    <w:p w:rsidR="00581580" w:rsidRPr="001E5A2B" w:rsidRDefault="00581580" w:rsidP="00581580">
      <w:pPr>
        <w:pBdr>
          <w:top w:val="single" w:sz="4" w:space="1" w:color="auto"/>
          <w:left w:val="single" w:sz="4" w:space="4" w:color="auto"/>
          <w:bottom w:val="single" w:sz="4" w:space="1" w:color="auto"/>
          <w:right w:val="single" w:sz="4" w:space="4" w:color="auto"/>
        </w:pBdr>
        <w:ind w:firstLine="720"/>
        <w:rPr>
          <w:lang w:val="en-US"/>
        </w:rPr>
      </w:pPr>
      <w:r w:rsidRPr="001E5A2B">
        <w:rPr>
          <w:position w:val="-24"/>
          <w:lang w:val="en-US"/>
        </w:rPr>
        <w:object w:dxaOrig="11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3.75pt" o:ole="">
            <v:imagedata r:id="rId27" o:title=""/>
          </v:shape>
          <o:OLEObject Type="Embed" ProgID="Equation.3" ShapeID="_x0000_i1025" DrawAspect="Content" ObjectID="_1490180775" r:id="rId28"/>
        </w:object>
      </w:r>
      <w:r w:rsidRPr="001E5A2B">
        <w:rPr>
          <w:lang w:val="en-US"/>
        </w:rPr>
        <w:t>, where</w:t>
      </w:r>
    </w:p>
    <w:p w:rsidR="00581580" w:rsidRPr="001E5A2B" w:rsidRDefault="00581580" w:rsidP="00581580">
      <w:pPr>
        <w:pBdr>
          <w:top w:val="single" w:sz="4" w:space="1" w:color="auto"/>
          <w:left w:val="single" w:sz="4" w:space="4" w:color="auto"/>
          <w:bottom w:val="single" w:sz="4" w:space="1" w:color="auto"/>
          <w:right w:val="single" w:sz="4" w:space="4" w:color="auto"/>
        </w:pBdr>
      </w:pPr>
      <w:r w:rsidRPr="001E5A2B">
        <w:rPr>
          <w:i/>
          <w:lang w:val="en-US"/>
        </w:rPr>
        <w:t>CV</w:t>
      </w:r>
      <w:r w:rsidRPr="001E5A2B">
        <w:rPr>
          <w:lang w:val="en-US"/>
        </w:rPr>
        <w:t xml:space="preserve"> is the estimated coefficient of variation (equal to </w:t>
      </w:r>
      <w:r w:rsidRPr="001E5A2B">
        <w:t xml:space="preserve">100 </w:t>
      </w:r>
      <w:r w:rsidRPr="001E5A2B">
        <w:rPr>
          <w:i/>
        </w:rPr>
        <w:t>s</w:t>
      </w:r>
      <w:r w:rsidRPr="001E5A2B">
        <w:t>/</w:t>
      </w:r>
      <w:r w:rsidRPr="001E5A2B">
        <w:rPr>
          <w:position w:val="-6"/>
        </w:rPr>
        <w:object w:dxaOrig="220" w:dyaOrig="260">
          <v:shape id="_x0000_i1026" type="#_x0000_t75" style="width:11.25pt;height:13.5pt" o:ole="">
            <v:imagedata r:id="rId29" o:title=""/>
          </v:shape>
          <o:OLEObject Type="Embed" ProgID="Equation.3" ShapeID="_x0000_i1026" DrawAspect="Content" ObjectID="_1490180776" r:id="rId30"/>
        </w:object>
      </w:r>
      <w:r w:rsidRPr="001E5A2B">
        <w:t>).</w:t>
      </w:r>
    </w:p>
    <w:p w:rsidR="00581580" w:rsidRPr="001E5A2B" w:rsidRDefault="00581580" w:rsidP="00581580">
      <w:pPr>
        <w:pBdr>
          <w:top w:val="single" w:sz="4" w:space="1" w:color="auto"/>
          <w:left w:val="single" w:sz="4" w:space="4" w:color="auto"/>
          <w:bottom w:val="single" w:sz="4" w:space="1" w:color="auto"/>
          <w:right w:val="single" w:sz="4" w:space="4" w:color="auto"/>
        </w:pBdr>
        <w:tabs>
          <w:tab w:val="num" w:pos="284"/>
        </w:tabs>
        <w:ind w:left="284" w:hanging="284"/>
      </w:pPr>
      <w:r w:rsidRPr="001E5A2B">
        <w:rPr>
          <w:position w:val="-14"/>
        </w:rPr>
        <w:object w:dxaOrig="400" w:dyaOrig="380">
          <v:shape id="_x0000_i1027" type="#_x0000_t75" style="width:20.25pt;height:18pt" o:ole="">
            <v:imagedata r:id="rId31" o:title=""/>
          </v:shape>
          <o:OLEObject Type="Embed" ProgID="Equation.3" ShapeID="_x0000_i1027" DrawAspect="Content" ObjectID="_1490180777" r:id="rId32"/>
        </w:object>
      </w:r>
      <w:r w:rsidRPr="001E5A2B">
        <w:t xml:space="preserve"> </w:t>
      </w:r>
      <w:proofErr w:type="gramStart"/>
      <w:r w:rsidRPr="001E5A2B">
        <w:t>is</w:t>
      </w:r>
      <w:proofErr w:type="gramEnd"/>
      <w:r w:rsidRPr="001E5A2B">
        <w:t xml:space="preserve"> from a 2-tailed </w:t>
      </w:r>
      <w:r w:rsidRPr="001E5A2B">
        <w:rPr>
          <w:i/>
        </w:rPr>
        <w:t>t</w:t>
      </w:r>
      <w:r w:rsidRPr="001E5A2B">
        <w:t xml:space="preserve">-table with </w:t>
      </w:r>
      <w:r w:rsidRPr="001E5A2B">
        <w:rPr>
          <w:i/>
        </w:rPr>
        <w:t>v</w:t>
      </w:r>
      <w:r w:rsidRPr="001E5A2B">
        <w:t xml:space="preserve"> degrees of freedom corresponding to a Type I error rate = </w:t>
      </w:r>
      <w:r w:rsidRPr="001E5A2B">
        <w:sym w:font="Symbol" w:char="F061"/>
      </w:r>
      <w:r w:rsidRPr="001E5A2B">
        <w:t>.</w:t>
      </w:r>
    </w:p>
    <w:p w:rsidR="00581580" w:rsidRPr="001E5A2B" w:rsidRDefault="00581580" w:rsidP="00581580">
      <w:pPr>
        <w:pBdr>
          <w:top w:val="single" w:sz="4" w:space="1" w:color="auto"/>
          <w:left w:val="single" w:sz="4" w:space="4" w:color="auto"/>
          <w:bottom w:val="single" w:sz="4" w:space="1" w:color="auto"/>
          <w:right w:val="single" w:sz="4" w:space="4" w:color="auto"/>
        </w:pBdr>
        <w:rPr>
          <w:lang w:val="en-US"/>
        </w:rPr>
      </w:pPr>
      <w:r w:rsidRPr="001E5A2B">
        <w:rPr>
          <w:i/>
        </w:rPr>
        <w:lastRenderedPageBreak/>
        <w:t>E</w:t>
      </w:r>
      <w:r w:rsidRPr="001E5A2B">
        <w:t xml:space="preserve"> is the level of precision required expressed as a percentage of the mean.</w:t>
      </w:r>
    </w:p>
    <w:p w:rsidR="00581580" w:rsidRPr="001E5A2B" w:rsidRDefault="00581580" w:rsidP="00581580">
      <w:pPr>
        <w:pBdr>
          <w:top w:val="single" w:sz="4" w:space="1" w:color="auto"/>
          <w:left w:val="single" w:sz="4" w:space="4" w:color="auto"/>
          <w:bottom w:val="single" w:sz="4" w:space="1" w:color="auto"/>
          <w:right w:val="single" w:sz="4" w:space="4" w:color="auto"/>
        </w:pBdr>
        <w:rPr>
          <w:lang w:val="en-US"/>
        </w:rPr>
      </w:pPr>
      <w:r w:rsidRPr="001E5A2B">
        <w:rPr>
          <w:lang w:val="en-US"/>
        </w:rPr>
        <w:t xml:space="preserve">For example, let’s say an estimate of </w:t>
      </w:r>
      <w:r w:rsidRPr="001E5A2B">
        <w:rPr>
          <w:i/>
          <w:lang w:val="en-US"/>
        </w:rPr>
        <w:t>CV</w:t>
      </w:r>
      <w:r w:rsidRPr="001E5A2B">
        <w:rPr>
          <w:lang w:val="en-US"/>
        </w:rPr>
        <w:t xml:space="preserve"> = 25% for </w:t>
      </w:r>
      <w:proofErr w:type="spellStart"/>
      <w:r w:rsidRPr="001E5A2B">
        <w:rPr>
          <w:lang w:val="en-US"/>
        </w:rPr>
        <w:t>seagrass</w:t>
      </w:r>
      <w:proofErr w:type="spellEnd"/>
      <w:r w:rsidRPr="001E5A2B">
        <w:rPr>
          <w:lang w:val="en-US"/>
        </w:rPr>
        <w:t xml:space="preserve"> cover in some section of the GBRWHA is obtained from past sampling.  If we wish to be 95% sure a sample mean is wit</w:t>
      </w:r>
      <w:r>
        <w:rPr>
          <w:lang w:val="en-US"/>
        </w:rPr>
        <w:t xml:space="preserve">hin 5% of the true cover, then </w:t>
      </w:r>
    </w:p>
    <w:p w:rsidR="00581580" w:rsidRPr="001E5A2B" w:rsidRDefault="00581580" w:rsidP="00581580">
      <w:pPr>
        <w:pBdr>
          <w:top w:val="single" w:sz="4" w:space="1" w:color="auto"/>
          <w:left w:val="single" w:sz="4" w:space="4" w:color="auto"/>
          <w:bottom w:val="single" w:sz="4" w:space="1" w:color="auto"/>
          <w:right w:val="single" w:sz="4" w:space="4" w:color="auto"/>
        </w:pBdr>
        <w:rPr>
          <w:lang w:val="en-US"/>
        </w:rPr>
      </w:pPr>
      <w:r w:rsidRPr="001E5A2B">
        <w:rPr>
          <w:lang w:val="en-US"/>
        </w:rPr>
        <w:tab/>
      </w:r>
      <w:r w:rsidRPr="001E5A2B">
        <w:rPr>
          <w:position w:val="-24"/>
          <w:lang w:val="en-US"/>
        </w:rPr>
        <w:object w:dxaOrig="1620" w:dyaOrig="660">
          <v:shape id="_x0000_i1028" type="#_x0000_t75" style="width:81pt;height:33.75pt" o:ole="">
            <v:imagedata r:id="rId33" o:title=""/>
          </v:shape>
          <o:OLEObject Type="Embed" ProgID="Equation.3" ShapeID="_x0000_i1028" DrawAspect="Content" ObjectID="_1490180778" r:id="rId34"/>
        </w:object>
      </w:r>
    </w:p>
    <w:p w:rsidR="00581580" w:rsidRPr="001E5A2B" w:rsidRDefault="00581580" w:rsidP="00581580">
      <w:pPr>
        <w:pBdr>
          <w:top w:val="single" w:sz="4" w:space="1" w:color="auto"/>
          <w:left w:val="single" w:sz="4" w:space="4" w:color="auto"/>
          <w:bottom w:val="single" w:sz="4" w:space="1" w:color="auto"/>
          <w:right w:val="single" w:sz="4" w:space="4" w:color="auto"/>
        </w:pBdr>
        <w:rPr>
          <w:lang w:val="en-US"/>
        </w:rPr>
      </w:pPr>
      <w:r w:rsidRPr="001E5A2B">
        <w:rPr>
          <w:lang w:val="en-US"/>
        </w:rPr>
        <w:t>It can be seen that the formula is a rearrangement of the terms used in calculating confidence intervals for means.  Although the formula has been commonly applied in sampling design for forest inventory (Philip 1994), its use can be extended to any aspect of environmental management where data are normally distributed.</w:t>
      </w:r>
    </w:p>
    <w:p w:rsidR="00581580" w:rsidRDefault="00581580" w:rsidP="00581580">
      <w:pPr>
        <w:pBdr>
          <w:top w:val="single" w:sz="4" w:space="1" w:color="auto"/>
          <w:left w:val="single" w:sz="4" w:space="4" w:color="auto"/>
          <w:bottom w:val="single" w:sz="4" w:space="1" w:color="auto"/>
          <w:right w:val="single" w:sz="4" w:space="4" w:color="auto"/>
        </w:pBdr>
        <w:spacing w:after="0" w:line="240" w:lineRule="auto"/>
      </w:pPr>
    </w:p>
    <w:p w:rsidR="00581580" w:rsidRDefault="00581580" w:rsidP="00581580">
      <w:pPr>
        <w:pBdr>
          <w:top w:val="single" w:sz="4" w:space="1" w:color="auto"/>
          <w:left w:val="single" w:sz="4" w:space="4" w:color="auto"/>
          <w:bottom w:val="single" w:sz="4" w:space="1" w:color="auto"/>
          <w:right w:val="single" w:sz="4" w:space="4" w:color="auto"/>
        </w:pBdr>
      </w:pPr>
      <w:r>
        <w:rPr>
          <w:noProof/>
          <w:lang w:eastAsia="en-AU"/>
        </w:rPr>
        <w:drawing>
          <wp:inline distT="0" distB="0" distL="0" distR="0">
            <wp:extent cx="4572000" cy="2962800"/>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962800"/>
                    </a:xfrm>
                    <a:prstGeom prst="rect">
                      <a:avLst/>
                    </a:prstGeom>
                    <a:noFill/>
                  </pic:spPr>
                </pic:pic>
              </a:graphicData>
            </a:graphic>
          </wp:inline>
        </w:drawing>
      </w:r>
    </w:p>
    <w:p w:rsidR="00BA0AAA" w:rsidRDefault="00C9437D" w:rsidP="00BA0AAA">
      <w:pPr>
        <w:pBdr>
          <w:top w:val="single" w:sz="4" w:space="1" w:color="auto"/>
          <w:left w:val="single" w:sz="4" w:space="4" w:color="auto"/>
          <w:bottom w:val="single" w:sz="4" w:space="1" w:color="auto"/>
          <w:right w:val="single" w:sz="4" w:space="4" w:color="auto"/>
        </w:pBdr>
        <w:spacing w:after="0" w:line="240" w:lineRule="auto"/>
      </w:pPr>
      <w:r>
        <w:t>There are no serious technical barriers to nesting regional near-shore monitoring within whole-of reef monitoring.  But such an approach may unwittingly encourage over-allocation of scarce resources to data acquisition in near-shore environments. Ultimately, managers need to trade-off investment in management and monitoring resources in inner, mid-shelf and outer reef ecosystems.  Section 4 of this report describes an approach to informed resource allocation.</w:t>
      </w:r>
    </w:p>
    <w:p w:rsidR="00581580" w:rsidRPr="001F2162" w:rsidRDefault="00581580" w:rsidP="00581580"/>
    <w:p w:rsidR="00FE45F3" w:rsidRPr="001E5A2B" w:rsidRDefault="00FE45F3" w:rsidP="006D7FD4">
      <w:pPr>
        <w:ind w:right="-164"/>
        <w:rPr>
          <w:lang w:val="en-US"/>
        </w:rPr>
      </w:pPr>
      <w:r w:rsidRPr="00CF7ABA">
        <w:rPr>
          <w:lang w:val="en-US"/>
        </w:rPr>
        <w:t xml:space="preserve">The standard scientific approach to the evidence provided by data is poorly placed to deal with typical </w:t>
      </w:r>
      <w:r w:rsidR="00CF7ABA" w:rsidRPr="00CF7ABA">
        <w:rPr>
          <w:lang w:val="en-US"/>
        </w:rPr>
        <w:t>environmental</w:t>
      </w:r>
      <w:r w:rsidRPr="00CF7ABA">
        <w:rPr>
          <w:lang w:val="en-US"/>
        </w:rPr>
        <w:t xml:space="preserve"> management issues (</w:t>
      </w:r>
      <w:proofErr w:type="spellStart"/>
      <w:r w:rsidRPr="00CF7ABA">
        <w:rPr>
          <w:lang w:val="en-US"/>
        </w:rPr>
        <w:t>Burgman</w:t>
      </w:r>
      <w:proofErr w:type="spellEnd"/>
      <w:r w:rsidRPr="00CF7ABA">
        <w:rPr>
          <w:lang w:val="en-US"/>
        </w:rPr>
        <w:t xml:space="preserve"> 2005).  Science has an asymmetric view of evidence as a consequence of its focus on the accumulation of knowledge.  It is strongly averse to the possibility of concluding from a study that an effect exists when in fact it does not.  The philosophical underpinnings and mathematical machinery of null hypothesis test</w:t>
      </w:r>
      <w:r w:rsidR="007F3D48">
        <w:rPr>
          <w:lang w:val="en-US"/>
        </w:rPr>
        <w:t>ing and statistical inference are</w:t>
      </w:r>
      <w:r w:rsidRPr="00CF7ABA">
        <w:rPr>
          <w:lang w:val="en-US"/>
        </w:rPr>
        <w:t xml:space="preserve"> designed to limit incidents where researchers claim effects when none exist.  Science is less concerned with the possibility of concluding no effect when one in fact exists. In contrast, reef managers and stakeholders need to be alive to the possibility of both kinds of errors.</w:t>
      </w:r>
    </w:p>
    <w:p w:rsidR="00FE45F3" w:rsidRPr="001E5A2B" w:rsidRDefault="00DC22EF" w:rsidP="006D7FD4">
      <w:pPr>
        <w:ind w:right="-164"/>
      </w:pPr>
      <w:r>
        <w:lastRenderedPageBreak/>
        <w:t>More specifically, i</w:t>
      </w:r>
      <w:r w:rsidR="00FE45F3" w:rsidRPr="001E5A2B">
        <w:t xml:space="preserve">nferences drawn from monitoring data can make two kinds of mistakes in the context of targets identified in </w:t>
      </w:r>
      <w:r w:rsidR="00FE45F3" w:rsidRPr="00CF7ABA">
        <w:t xml:space="preserve">LTSP2050 (Table </w:t>
      </w:r>
      <w:r>
        <w:t>3</w:t>
      </w:r>
      <w:r w:rsidR="00FE45F3" w:rsidRPr="00CF7ABA">
        <w:t>)</w:t>
      </w:r>
      <w:r w:rsidR="00FE45F3" w:rsidRPr="001E5A2B">
        <w:t xml:space="preserve"> </w:t>
      </w:r>
      <w:r w:rsidR="002C0526" w:rsidRPr="001E5A2B">
        <w:t>- inferring</w:t>
      </w:r>
      <w:r w:rsidR="00FE45F3" w:rsidRPr="001E5A2B">
        <w:t xml:space="preserve"> failure when in fact management is on-target (Type I error) or inferring success when in fact </w:t>
      </w:r>
      <w:r w:rsidR="002C0526" w:rsidRPr="001E5A2B">
        <w:t>mana</w:t>
      </w:r>
      <w:r w:rsidR="002C0526">
        <w:t>g</w:t>
      </w:r>
      <w:r w:rsidR="002C0526" w:rsidRPr="001E5A2B">
        <w:t>ement</w:t>
      </w:r>
      <w:r w:rsidR="00FE45F3" w:rsidRPr="001E5A2B">
        <w:t xml:space="preserve"> is falling short of its target (Type II error).  Where the issue involv</w:t>
      </w:r>
      <w:r w:rsidR="00CF7ABA">
        <w:t xml:space="preserve">es impacts on the environment </w:t>
      </w:r>
      <w:r w:rsidR="00FE45F3" w:rsidRPr="001E5A2B">
        <w:t xml:space="preserve">or social dimensions of sustainability, a Type I error translates to </w:t>
      </w:r>
      <w:r w:rsidR="00FE45F3" w:rsidRPr="001E5A2B">
        <w:rPr>
          <w:lang w:val="en-US"/>
        </w:rPr>
        <w:t xml:space="preserve">false alarmism and a Type II error promotes a false sense of security.  The costs of Type I errors may be borne largely by industry through (unreasonable) loss of community and/or commercial reputation. They may also involve the </w:t>
      </w:r>
      <w:proofErr w:type="spellStart"/>
      <w:r w:rsidR="00FE45F3" w:rsidRPr="001E5A2B">
        <w:rPr>
          <w:lang w:val="en-US"/>
        </w:rPr>
        <w:t>mobilisation</w:t>
      </w:r>
      <w:proofErr w:type="spellEnd"/>
      <w:r w:rsidR="00FE45F3" w:rsidRPr="001E5A2B">
        <w:rPr>
          <w:lang w:val="en-US"/>
        </w:rPr>
        <w:t xml:space="preserve"> of public resources for ‘problems’ that </w:t>
      </w:r>
      <w:r w:rsidR="00CF7ABA">
        <w:rPr>
          <w:lang w:val="en-US"/>
        </w:rPr>
        <w:t>are in fact</w:t>
      </w:r>
      <w:r w:rsidR="00FE45F3" w:rsidRPr="001E5A2B">
        <w:rPr>
          <w:lang w:val="en-US"/>
        </w:rPr>
        <w:t xml:space="preserve"> </w:t>
      </w:r>
      <w:r>
        <w:rPr>
          <w:lang w:val="en-US"/>
        </w:rPr>
        <w:t xml:space="preserve">more or less </w:t>
      </w:r>
      <w:r w:rsidR="00FE45F3" w:rsidRPr="001E5A2B">
        <w:rPr>
          <w:lang w:val="en-US"/>
        </w:rPr>
        <w:t>absent. The costs of Type II errors are borne by the broader community through (unacknowledged) attrition of public good values or resources.</w:t>
      </w:r>
    </w:p>
    <w:p w:rsidR="00FE45F3" w:rsidRDefault="000A09A4" w:rsidP="006D7FD4">
      <w:pPr>
        <w:ind w:right="-164"/>
        <w:rPr>
          <w:lang w:val="en-US"/>
        </w:rPr>
      </w:pPr>
      <w:r w:rsidRPr="001E5A2B">
        <w:t>Standard statistical conventions used in scientific research specify tolerable Type I error rates (commonly 0.05) but are blind to Type II errors</w:t>
      </w:r>
      <w:r w:rsidR="006C4AA7">
        <w:t xml:space="preserve"> </w:t>
      </w:r>
      <w:r w:rsidR="006C4AA7" w:rsidRPr="00EB2950">
        <w:rPr>
          <w:lang w:val="en-US"/>
        </w:rPr>
        <w:t>(</w:t>
      </w:r>
      <w:r w:rsidR="00AB12FB">
        <w:rPr>
          <w:lang w:val="en-US"/>
        </w:rPr>
        <w:t xml:space="preserve">Gerber et al. 2005; </w:t>
      </w:r>
      <w:proofErr w:type="spellStart"/>
      <w:r w:rsidR="006C4AA7" w:rsidRPr="00EB2950">
        <w:rPr>
          <w:lang w:val="en-US"/>
        </w:rPr>
        <w:t>Mapstone</w:t>
      </w:r>
      <w:proofErr w:type="spellEnd"/>
      <w:r w:rsidR="006C4AA7" w:rsidRPr="00EB2950">
        <w:rPr>
          <w:lang w:val="en-US"/>
        </w:rPr>
        <w:t xml:space="preserve"> 1995; </w:t>
      </w:r>
      <w:proofErr w:type="spellStart"/>
      <w:r w:rsidR="006C4AA7" w:rsidRPr="00EB2950">
        <w:rPr>
          <w:lang w:val="en-US"/>
        </w:rPr>
        <w:t>Fairweather</w:t>
      </w:r>
      <w:proofErr w:type="spellEnd"/>
      <w:r w:rsidR="006C4AA7" w:rsidRPr="00EB2950">
        <w:rPr>
          <w:lang w:val="en-US"/>
        </w:rPr>
        <w:t xml:space="preserve"> 1991)</w:t>
      </w:r>
      <w:r w:rsidRPr="001E5A2B">
        <w:t xml:space="preserve">.   Explicit consideration of statistical power is required when decisions are sensitive to Type II errors as well as Type I errors.  </w:t>
      </w:r>
      <w:r w:rsidRPr="001E5A2B">
        <w:rPr>
          <w:lang w:val="en-US"/>
        </w:rPr>
        <w:t>Generally, to reduce the incidence of both kinds of mistakes better evidence is needed through gre</w:t>
      </w:r>
      <w:r>
        <w:rPr>
          <w:lang w:val="en-US"/>
        </w:rPr>
        <w:t>ater expenditure on monitoring.</w:t>
      </w:r>
    </w:p>
    <w:p w:rsidR="000A09A4" w:rsidRDefault="000A09A4" w:rsidP="006D7FD4">
      <w:pPr>
        <w:ind w:right="-164"/>
      </w:pPr>
    </w:p>
    <w:p w:rsidR="00BF3798" w:rsidRPr="00CF7ABA" w:rsidRDefault="00BF3798" w:rsidP="00BF3798">
      <w:pPr>
        <w:ind w:right="-164"/>
        <w:rPr>
          <w:sz w:val="20"/>
          <w:szCs w:val="20"/>
        </w:rPr>
      </w:pPr>
      <w:proofErr w:type="gramStart"/>
      <w:r w:rsidRPr="00CF7ABA">
        <w:rPr>
          <w:b/>
          <w:sz w:val="20"/>
          <w:szCs w:val="20"/>
          <w:lang w:val="en-US"/>
        </w:rPr>
        <w:t xml:space="preserve">Table </w:t>
      </w:r>
      <w:r w:rsidR="00DC22EF">
        <w:rPr>
          <w:b/>
          <w:sz w:val="20"/>
          <w:szCs w:val="20"/>
          <w:lang w:val="en-US"/>
        </w:rPr>
        <w:t>3</w:t>
      </w:r>
      <w:r w:rsidRPr="00CF7ABA">
        <w:rPr>
          <w:b/>
          <w:sz w:val="20"/>
          <w:szCs w:val="20"/>
          <w:lang w:val="en-US"/>
        </w:rPr>
        <w:t>.</w:t>
      </w:r>
      <w:proofErr w:type="gramEnd"/>
      <w:r w:rsidRPr="0052094C">
        <w:rPr>
          <w:sz w:val="20"/>
          <w:szCs w:val="20"/>
          <w:lang w:val="en-US"/>
        </w:rPr>
        <w:t xml:space="preserve">  </w:t>
      </w:r>
      <w:proofErr w:type="gramStart"/>
      <w:r w:rsidRPr="0052094C">
        <w:rPr>
          <w:sz w:val="20"/>
          <w:szCs w:val="20"/>
          <w:lang w:val="en-US"/>
        </w:rPr>
        <w:t>Correct and incorrect inferences from monitoring.</w:t>
      </w:r>
      <w:proofErr w:type="gramEnd"/>
      <w:r w:rsidRPr="0052094C">
        <w:rPr>
          <w:sz w:val="20"/>
          <w:szCs w:val="20"/>
          <w:lang w:val="en-US"/>
        </w:rPr>
        <w:t xml:space="preserve">  </w:t>
      </w:r>
      <w:r w:rsidRPr="0052094C">
        <w:rPr>
          <w:sz w:val="20"/>
          <w:szCs w:val="20"/>
        </w:rPr>
        <w:t xml:space="preserve">The likelihood of Type I and Type II errors (denoted </w:t>
      </w:r>
      <w:r w:rsidRPr="0052094C">
        <w:rPr>
          <w:i/>
          <w:sz w:val="20"/>
          <w:szCs w:val="20"/>
        </w:rPr>
        <w:sym w:font="Symbol" w:char="F061"/>
      </w:r>
      <w:r w:rsidRPr="0052094C">
        <w:rPr>
          <w:sz w:val="20"/>
          <w:szCs w:val="20"/>
        </w:rPr>
        <w:t xml:space="preserve"> and</w:t>
      </w:r>
      <w:r w:rsidRPr="0052094C">
        <w:rPr>
          <w:i/>
          <w:sz w:val="20"/>
          <w:szCs w:val="20"/>
        </w:rPr>
        <w:sym w:font="Symbol" w:char="F062"/>
      </w:r>
      <w:r w:rsidRPr="0052094C">
        <w:rPr>
          <w:sz w:val="20"/>
          <w:szCs w:val="20"/>
        </w:rPr>
        <w:t>, respectively) in any study or monitoring program will decrease as the reliability of ev</w:t>
      </w:r>
      <w:r>
        <w:rPr>
          <w:sz w:val="20"/>
          <w:szCs w:val="20"/>
        </w:rPr>
        <w:t>idence improves with more data.</w:t>
      </w:r>
    </w:p>
    <w:tbl>
      <w:tblPr>
        <w:tblStyle w:val="TableGrid"/>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53"/>
        <w:gridCol w:w="2232"/>
        <w:gridCol w:w="2552"/>
        <w:gridCol w:w="2551"/>
      </w:tblGrid>
      <w:tr w:rsidR="00BF3798" w:rsidRPr="001E5A2B" w:rsidTr="00821005">
        <w:tc>
          <w:tcPr>
            <w:tcW w:w="853" w:type="dxa"/>
            <w:vAlign w:val="center"/>
          </w:tcPr>
          <w:p w:rsidR="00BF3798" w:rsidRPr="001E5A2B" w:rsidRDefault="00BF3798" w:rsidP="00821005">
            <w:pPr>
              <w:spacing w:before="120" w:after="120" w:line="276" w:lineRule="auto"/>
              <w:ind w:right="-164"/>
              <w:jc w:val="center"/>
              <w:rPr>
                <w:sz w:val="22"/>
                <w:szCs w:val="22"/>
              </w:rPr>
            </w:pPr>
          </w:p>
        </w:tc>
        <w:tc>
          <w:tcPr>
            <w:tcW w:w="2232" w:type="dxa"/>
            <w:tcBorders>
              <w:right w:val="single" w:sz="4" w:space="0" w:color="auto"/>
            </w:tcBorders>
            <w:vAlign w:val="center"/>
          </w:tcPr>
          <w:p w:rsidR="00BF3798" w:rsidRPr="001E5A2B" w:rsidRDefault="00BF3798" w:rsidP="00821005">
            <w:pPr>
              <w:spacing w:before="120" w:after="120" w:line="276" w:lineRule="auto"/>
              <w:ind w:right="-164"/>
              <w:jc w:val="center"/>
              <w:rPr>
                <w:sz w:val="22"/>
                <w:szCs w:val="22"/>
              </w:rPr>
            </w:pP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BF3798" w:rsidRPr="001E5A2B" w:rsidRDefault="00BF3798" w:rsidP="00821005">
            <w:pPr>
              <w:spacing w:before="120" w:after="120" w:line="276" w:lineRule="auto"/>
              <w:ind w:right="-164"/>
              <w:jc w:val="center"/>
              <w:rPr>
                <w:b/>
                <w:sz w:val="22"/>
                <w:szCs w:val="22"/>
              </w:rPr>
            </w:pPr>
            <w:r w:rsidRPr="001E5A2B">
              <w:rPr>
                <w:b/>
                <w:sz w:val="22"/>
                <w:szCs w:val="22"/>
              </w:rPr>
              <w:t>Inference</w:t>
            </w:r>
            <w:r w:rsidR="005706AE">
              <w:rPr>
                <w:b/>
                <w:sz w:val="22"/>
                <w:szCs w:val="22"/>
              </w:rPr>
              <w:t xml:space="preserve"> from monitoring</w:t>
            </w:r>
          </w:p>
        </w:tc>
      </w:tr>
      <w:tr w:rsidR="00BF3798" w:rsidRPr="001E5A2B" w:rsidTr="00821005">
        <w:tc>
          <w:tcPr>
            <w:tcW w:w="853" w:type="dxa"/>
            <w:tcBorders>
              <w:bottom w:val="single" w:sz="4" w:space="0" w:color="auto"/>
            </w:tcBorders>
            <w:vAlign w:val="center"/>
          </w:tcPr>
          <w:p w:rsidR="00BF3798" w:rsidRPr="001E5A2B" w:rsidRDefault="00BF3798" w:rsidP="00821005">
            <w:pPr>
              <w:spacing w:before="120" w:after="120" w:line="276" w:lineRule="auto"/>
              <w:ind w:right="-164"/>
              <w:jc w:val="center"/>
              <w:rPr>
                <w:sz w:val="22"/>
                <w:szCs w:val="22"/>
              </w:rPr>
            </w:pPr>
          </w:p>
        </w:tc>
        <w:tc>
          <w:tcPr>
            <w:tcW w:w="2232" w:type="dxa"/>
            <w:tcBorders>
              <w:bottom w:val="single" w:sz="4" w:space="0" w:color="auto"/>
              <w:right w:val="single" w:sz="4" w:space="0" w:color="auto"/>
            </w:tcBorders>
            <w:vAlign w:val="center"/>
          </w:tcPr>
          <w:p w:rsidR="00BF3798" w:rsidRPr="001E5A2B" w:rsidRDefault="00BF3798" w:rsidP="00821005">
            <w:pPr>
              <w:spacing w:before="120" w:after="120" w:line="276" w:lineRule="auto"/>
              <w:ind w:right="-164"/>
              <w:jc w:val="center"/>
              <w:rPr>
                <w:sz w:val="22"/>
                <w:szCs w:val="22"/>
              </w:rPr>
            </w:pPr>
          </w:p>
        </w:tc>
        <w:tc>
          <w:tcPr>
            <w:tcW w:w="2552" w:type="dxa"/>
            <w:tcBorders>
              <w:top w:val="single" w:sz="4" w:space="0" w:color="auto"/>
              <w:left w:val="single" w:sz="4" w:space="0" w:color="auto"/>
              <w:bottom w:val="single" w:sz="4" w:space="0" w:color="auto"/>
              <w:right w:val="single" w:sz="4" w:space="0" w:color="auto"/>
            </w:tcBorders>
            <w:vAlign w:val="center"/>
          </w:tcPr>
          <w:p w:rsidR="00BF3798" w:rsidRPr="001E5A2B" w:rsidRDefault="00BF3798" w:rsidP="005706AE">
            <w:pPr>
              <w:spacing w:before="120" w:after="120" w:line="276" w:lineRule="auto"/>
              <w:ind w:right="-164"/>
              <w:jc w:val="center"/>
              <w:rPr>
                <w:sz w:val="22"/>
                <w:szCs w:val="22"/>
              </w:rPr>
            </w:pPr>
            <w:r w:rsidRPr="001E5A2B">
              <w:rPr>
                <w:sz w:val="22"/>
                <w:szCs w:val="22"/>
              </w:rPr>
              <w:t xml:space="preserve">Target </w:t>
            </w:r>
            <w:r w:rsidR="005706AE">
              <w:rPr>
                <w:sz w:val="22"/>
                <w:szCs w:val="22"/>
              </w:rPr>
              <w:t>not on-track</w:t>
            </w:r>
          </w:p>
        </w:tc>
        <w:tc>
          <w:tcPr>
            <w:tcW w:w="2551" w:type="dxa"/>
            <w:tcBorders>
              <w:top w:val="single" w:sz="4" w:space="0" w:color="auto"/>
              <w:left w:val="single" w:sz="4" w:space="0" w:color="auto"/>
              <w:bottom w:val="single" w:sz="4" w:space="0" w:color="auto"/>
              <w:right w:val="single" w:sz="4" w:space="0" w:color="auto"/>
            </w:tcBorders>
            <w:vAlign w:val="center"/>
          </w:tcPr>
          <w:p w:rsidR="00BF3798" w:rsidRPr="001E5A2B" w:rsidRDefault="00BF3798" w:rsidP="005706AE">
            <w:pPr>
              <w:spacing w:before="120" w:after="120" w:line="276" w:lineRule="auto"/>
              <w:ind w:right="-164"/>
              <w:jc w:val="center"/>
              <w:rPr>
                <w:sz w:val="22"/>
                <w:szCs w:val="22"/>
              </w:rPr>
            </w:pPr>
            <w:r w:rsidRPr="001E5A2B">
              <w:rPr>
                <w:sz w:val="22"/>
                <w:szCs w:val="22"/>
              </w:rPr>
              <w:t xml:space="preserve">Target </w:t>
            </w:r>
            <w:r w:rsidR="005706AE">
              <w:rPr>
                <w:sz w:val="22"/>
                <w:szCs w:val="22"/>
              </w:rPr>
              <w:t>on-track</w:t>
            </w:r>
          </w:p>
        </w:tc>
      </w:tr>
      <w:tr w:rsidR="00BF3798" w:rsidRPr="001E5A2B" w:rsidTr="00821005">
        <w:tc>
          <w:tcPr>
            <w:tcW w:w="853" w:type="dxa"/>
            <w:vMerge w:val="restart"/>
            <w:tcBorders>
              <w:top w:val="single" w:sz="4" w:space="0" w:color="auto"/>
              <w:left w:val="single" w:sz="4" w:space="0" w:color="auto"/>
              <w:bottom w:val="single" w:sz="4" w:space="0" w:color="auto"/>
              <w:right w:val="single" w:sz="4" w:space="0" w:color="auto"/>
            </w:tcBorders>
            <w:vAlign w:val="center"/>
          </w:tcPr>
          <w:p w:rsidR="00BF3798" w:rsidRPr="001E5A2B" w:rsidRDefault="005706AE" w:rsidP="005706AE">
            <w:pPr>
              <w:spacing w:before="120" w:after="120" w:line="276" w:lineRule="auto"/>
              <w:ind w:right="-164"/>
              <w:rPr>
                <w:b/>
                <w:sz w:val="22"/>
                <w:szCs w:val="22"/>
              </w:rPr>
            </w:pPr>
            <w:r>
              <w:rPr>
                <w:b/>
                <w:sz w:val="22"/>
                <w:szCs w:val="22"/>
              </w:rPr>
              <w:t>Truth</w:t>
            </w:r>
          </w:p>
        </w:tc>
        <w:tc>
          <w:tcPr>
            <w:tcW w:w="2232" w:type="dxa"/>
            <w:tcBorders>
              <w:top w:val="single" w:sz="4" w:space="0" w:color="auto"/>
              <w:left w:val="single" w:sz="4" w:space="0" w:color="auto"/>
              <w:bottom w:val="single" w:sz="4" w:space="0" w:color="auto"/>
              <w:right w:val="single" w:sz="4" w:space="0" w:color="auto"/>
            </w:tcBorders>
            <w:vAlign w:val="center"/>
          </w:tcPr>
          <w:p w:rsidR="00BF3798" w:rsidRPr="001E5A2B" w:rsidRDefault="00BF3798" w:rsidP="00821005">
            <w:pPr>
              <w:spacing w:before="120" w:after="120" w:line="276" w:lineRule="auto"/>
              <w:ind w:right="-164"/>
              <w:jc w:val="center"/>
              <w:rPr>
                <w:sz w:val="22"/>
                <w:szCs w:val="22"/>
              </w:rPr>
            </w:pPr>
            <w:r w:rsidRPr="001E5A2B">
              <w:rPr>
                <w:sz w:val="22"/>
                <w:szCs w:val="22"/>
              </w:rPr>
              <w:t>Target not on-track</w:t>
            </w:r>
          </w:p>
        </w:tc>
        <w:tc>
          <w:tcPr>
            <w:tcW w:w="2552" w:type="dxa"/>
            <w:tcBorders>
              <w:top w:val="single" w:sz="4" w:space="0" w:color="auto"/>
              <w:left w:val="single" w:sz="4" w:space="0" w:color="auto"/>
              <w:bottom w:val="single" w:sz="4" w:space="0" w:color="auto"/>
              <w:right w:val="single" w:sz="4" w:space="0" w:color="auto"/>
            </w:tcBorders>
            <w:vAlign w:val="center"/>
          </w:tcPr>
          <w:p w:rsidR="00BF3798" w:rsidRPr="001E5A2B" w:rsidRDefault="00BF3798" w:rsidP="00821005">
            <w:pPr>
              <w:spacing w:before="120" w:after="120" w:line="276" w:lineRule="auto"/>
              <w:ind w:right="-164"/>
              <w:jc w:val="center"/>
              <w:rPr>
                <w:sz w:val="22"/>
                <w:szCs w:val="22"/>
              </w:rPr>
            </w:pPr>
            <w:r w:rsidRPr="001E5A2B">
              <w:rPr>
                <w:sz w:val="22"/>
                <w:szCs w:val="22"/>
              </w:rPr>
              <w:t>Correct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F3798" w:rsidRPr="001E5A2B" w:rsidRDefault="00BF3798" w:rsidP="00821005">
            <w:pPr>
              <w:spacing w:before="120" w:line="276" w:lineRule="auto"/>
              <w:ind w:right="-164"/>
              <w:jc w:val="center"/>
              <w:rPr>
                <w:sz w:val="22"/>
                <w:szCs w:val="22"/>
              </w:rPr>
            </w:pPr>
            <w:r w:rsidRPr="001E5A2B">
              <w:rPr>
                <w:sz w:val="22"/>
                <w:szCs w:val="22"/>
              </w:rPr>
              <w:t>False Success</w:t>
            </w:r>
          </w:p>
          <w:p w:rsidR="00BF3798" w:rsidRPr="001E5A2B" w:rsidRDefault="00BF3798" w:rsidP="00821005">
            <w:pPr>
              <w:spacing w:after="120" w:line="276" w:lineRule="auto"/>
              <w:ind w:right="-164"/>
              <w:jc w:val="center"/>
              <w:rPr>
                <w:sz w:val="22"/>
                <w:szCs w:val="22"/>
              </w:rPr>
            </w:pPr>
            <w:r w:rsidRPr="001E5A2B">
              <w:rPr>
                <w:sz w:val="22"/>
                <w:szCs w:val="22"/>
              </w:rPr>
              <w:t xml:space="preserve"> (Type II error, </w:t>
            </w:r>
            <w:r w:rsidRPr="001E5A2B">
              <w:rPr>
                <w:i/>
                <w:sz w:val="22"/>
                <w:szCs w:val="22"/>
              </w:rPr>
              <w:sym w:font="Symbol" w:char="F062"/>
            </w:r>
            <w:r w:rsidRPr="001E5A2B">
              <w:rPr>
                <w:sz w:val="22"/>
                <w:szCs w:val="22"/>
              </w:rPr>
              <w:t>)</w:t>
            </w:r>
          </w:p>
        </w:tc>
      </w:tr>
      <w:tr w:rsidR="00BF3798" w:rsidRPr="001E5A2B" w:rsidTr="00821005">
        <w:tc>
          <w:tcPr>
            <w:tcW w:w="853" w:type="dxa"/>
            <w:vMerge/>
            <w:tcBorders>
              <w:top w:val="single" w:sz="4" w:space="0" w:color="auto"/>
              <w:left w:val="single" w:sz="4" w:space="0" w:color="auto"/>
              <w:bottom w:val="single" w:sz="4" w:space="0" w:color="auto"/>
              <w:right w:val="single" w:sz="4" w:space="0" w:color="auto"/>
            </w:tcBorders>
            <w:vAlign w:val="center"/>
          </w:tcPr>
          <w:p w:rsidR="00BF3798" w:rsidRPr="001E5A2B" w:rsidRDefault="00BF3798" w:rsidP="00821005">
            <w:pPr>
              <w:spacing w:before="120" w:after="120" w:line="276" w:lineRule="auto"/>
              <w:ind w:right="-164"/>
              <w:jc w:val="center"/>
              <w:rPr>
                <w:sz w:val="22"/>
                <w:szCs w:val="22"/>
              </w:rPr>
            </w:pPr>
          </w:p>
        </w:tc>
        <w:tc>
          <w:tcPr>
            <w:tcW w:w="2232" w:type="dxa"/>
            <w:tcBorders>
              <w:top w:val="single" w:sz="4" w:space="0" w:color="auto"/>
              <w:left w:val="single" w:sz="4" w:space="0" w:color="auto"/>
              <w:bottom w:val="single" w:sz="4" w:space="0" w:color="auto"/>
              <w:right w:val="single" w:sz="4" w:space="0" w:color="auto"/>
            </w:tcBorders>
            <w:vAlign w:val="center"/>
          </w:tcPr>
          <w:p w:rsidR="00BF3798" w:rsidRPr="001E5A2B" w:rsidRDefault="00BF3798" w:rsidP="00821005">
            <w:pPr>
              <w:spacing w:before="120" w:after="120" w:line="276" w:lineRule="auto"/>
              <w:ind w:right="-164"/>
              <w:jc w:val="center"/>
              <w:rPr>
                <w:sz w:val="22"/>
                <w:szCs w:val="22"/>
              </w:rPr>
            </w:pPr>
            <w:r w:rsidRPr="001E5A2B">
              <w:rPr>
                <w:sz w:val="22"/>
                <w:szCs w:val="22"/>
              </w:rPr>
              <w:t>Target on-track</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F3798" w:rsidRPr="001E5A2B" w:rsidRDefault="00BF3798" w:rsidP="00821005">
            <w:pPr>
              <w:spacing w:before="120" w:line="276" w:lineRule="auto"/>
              <w:ind w:right="-164"/>
              <w:jc w:val="center"/>
              <w:rPr>
                <w:sz w:val="22"/>
                <w:szCs w:val="22"/>
              </w:rPr>
            </w:pPr>
            <w:r w:rsidRPr="001E5A2B">
              <w:rPr>
                <w:sz w:val="22"/>
                <w:szCs w:val="22"/>
              </w:rPr>
              <w:t xml:space="preserve"> False Failure</w:t>
            </w:r>
          </w:p>
          <w:p w:rsidR="00BF3798" w:rsidRPr="001E5A2B" w:rsidRDefault="00BF3798" w:rsidP="00821005">
            <w:pPr>
              <w:spacing w:after="120" w:line="276" w:lineRule="auto"/>
              <w:ind w:right="-164"/>
              <w:jc w:val="center"/>
              <w:rPr>
                <w:sz w:val="22"/>
                <w:szCs w:val="22"/>
              </w:rPr>
            </w:pPr>
            <w:r w:rsidRPr="001E5A2B">
              <w:rPr>
                <w:sz w:val="22"/>
                <w:szCs w:val="22"/>
              </w:rPr>
              <w:t xml:space="preserve">(Type I error, </w:t>
            </w:r>
            <w:r w:rsidRPr="001E5A2B">
              <w:rPr>
                <w:i/>
                <w:sz w:val="22"/>
                <w:szCs w:val="22"/>
              </w:rPr>
              <w:sym w:font="Symbol" w:char="F061"/>
            </w:r>
            <w:r w:rsidRPr="001E5A2B">
              <w:rPr>
                <w:sz w:val="22"/>
                <w:szCs w:val="22"/>
              </w:rPr>
              <w: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F3798" w:rsidRPr="001E5A2B" w:rsidRDefault="00BF3798" w:rsidP="00821005">
            <w:pPr>
              <w:spacing w:before="120" w:after="120" w:line="276" w:lineRule="auto"/>
              <w:ind w:right="-164"/>
              <w:jc w:val="center"/>
              <w:rPr>
                <w:sz w:val="22"/>
                <w:szCs w:val="22"/>
              </w:rPr>
            </w:pPr>
            <w:r w:rsidRPr="001E5A2B">
              <w:rPr>
                <w:sz w:val="22"/>
                <w:szCs w:val="22"/>
              </w:rPr>
              <w:t>Correct</w:t>
            </w:r>
          </w:p>
        </w:tc>
      </w:tr>
    </w:tbl>
    <w:p w:rsidR="00BF3798" w:rsidRDefault="00BF3798" w:rsidP="00BF3798">
      <w:pPr>
        <w:ind w:right="-164"/>
      </w:pPr>
    </w:p>
    <w:p w:rsidR="00BF3798" w:rsidRPr="00BF3798" w:rsidRDefault="00BF3798" w:rsidP="00BF3798">
      <w:pPr>
        <w:pStyle w:val="Heading4"/>
        <w:spacing w:after="240"/>
        <w:rPr>
          <w:lang w:val="en-US"/>
        </w:rPr>
      </w:pPr>
      <w:r w:rsidRPr="00BF3798">
        <w:t xml:space="preserve">The statistical power of </w:t>
      </w:r>
      <w:r w:rsidR="00473B42" w:rsidRPr="00BF3798">
        <w:t xml:space="preserve">a </w:t>
      </w:r>
      <w:r w:rsidR="00473B42" w:rsidRPr="00BF3798">
        <w:rPr>
          <w:lang w:val="en-US"/>
        </w:rPr>
        <w:t>hypothetical</w:t>
      </w:r>
      <w:r w:rsidRPr="00BF3798">
        <w:rPr>
          <w:lang w:val="en-US"/>
        </w:rPr>
        <w:t xml:space="preserve"> monitoring program for dredging</w:t>
      </w:r>
    </w:p>
    <w:p w:rsidR="00BF3798" w:rsidRPr="001E5A2B" w:rsidRDefault="00BF3798" w:rsidP="00BF3798">
      <w:pPr>
        <w:ind w:right="-164"/>
        <w:rPr>
          <w:lang w:val="en-US"/>
        </w:rPr>
      </w:pPr>
      <w:r>
        <w:rPr>
          <w:lang w:val="en-US"/>
        </w:rPr>
        <w:t>Uncertainty is inevitable</w:t>
      </w:r>
      <w:r w:rsidRPr="001E5A2B">
        <w:rPr>
          <w:lang w:val="en-US"/>
        </w:rPr>
        <w:t xml:space="preserve"> where sampling is undertaken in environments and contexts characterized by hig</w:t>
      </w:r>
      <w:r w:rsidR="00686184">
        <w:rPr>
          <w:lang w:val="en-US"/>
        </w:rPr>
        <w:t>h variability. Through use of a hypothetical</w:t>
      </w:r>
      <w:r w:rsidRPr="001E5A2B">
        <w:rPr>
          <w:lang w:val="en-US"/>
        </w:rPr>
        <w:t xml:space="preserve"> example, here we explore the central importance of uncertainty and statistical power in monitori</w:t>
      </w:r>
      <w:r>
        <w:rPr>
          <w:lang w:val="en-US"/>
        </w:rPr>
        <w:t>ng.</w:t>
      </w:r>
    </w:p>
    <w:p w:rsidR="00BF3798" w:rsidRPr="001E5A2B" w:rsidRDefault="00BF3798" w:rsidP="00BF3798">
      <w:pPr>
        <w:ind w:right="-164"/>
        <w:rPr>
          <w:lang w:val="en-US"/>
        </w:rPr>
      </w:pPr>
      <w:r w:rsidRPr="001E5A2B">
        <w:rPr>
          <w:lang w:val="en-US"/>
        </w:rPr>
        <w:t xml:space="preserve">Let’s say a port is required to demonstrate the environmental performance of its maintenance dredging operations, which are of a higher intensity than those of the past.  Past turbidity measurements within the zone of influence of the dredging varied </w:t>
      </w:r>
      <w:r>
        <w:rPr>
          <w:lang w:val="en-US"/>
        </w:rPr>
        <w:t>around 9.2 turbidity units</w:t>
      </w:r>
      <w:r w:rsidR="00C9437D">
        <w:rPr>
          <w:lang w:val="en-US"/>
        </w:rPr>
        <w:t xml:space="preserve"> over a specified temporal and spatial scale.</w:t>
      </w:r>
      <w:r>
        <w:rPr>
          <w:lang w:val="en-US"/>
        </w:rPr>
        <w:t xml:space="preserve"> </w:t>
      </w:r>
      <w:r w:rsidRPr="001E5A2B">
        <w:rPr>
          <w:lang w:val="en-US"/>
        </w:rPr>
        <w:t>Let’s say the port makes 25 observations of stream turbidity within the zone of influence in any one year, and the mean of these observations was found to be 10.4, with a standard deviation of 7.8.  That is, the observed mean was greater than past measurements.  What inference might be drawn from these results?  Stakeholders concerned about environmen</w:t>
      </w:r>
      <w:r w:rsidR="00DC22EF">
        <w:rPr>
          <w:lang w:val="en-US"/>
        </w:rPr>
        <w:t>tal outcomes may see the result</w:t>
      </w:r>
      <w:r w:rsidRPr="001E5A2B">
        <w:rPr>
          <w:lang w:val="en-US"/>
        </w:rPr>
        <w:t xml:space="preserve"> as a vindication of their view that dredging </w:t>
      </w:r>
      <w:r>
        <w:rPr>
          <w:lang w:val="en-US"/>
        </w:rPr>
        <w:t>poses</w:t>
      </w:r>
      <w:r w:rsidRPr="001E5A2B">
        <w:rPr>
          <w:lang w:val="en-US"/>
        </w:rPr>
        <w:t xml:space="preserve"> a serious threat to reef biota.</w:t>
      </w:r>
      <w:r>
        <w:rPr>
          <w:lang w:val="en-US"/>
        </w:rPr>
        <w:t xml:space="preserve">  </w:t>
      </w:r>
    </w:p>
    <w:p w:rsidR="00BF3798" w:rsidRPr="001E5A2B" w:rsidRDefault="00BF3798" w:rsidP="00BF3798">
      <w:pPr>
        <w:ind w:right="-164"/>
        <w:rPr>
          <w:lang w:val="en-US"/>
        </w:rPr>
      </w:pPr>
      <w:r w:rsidRPr="001E5A2B">
        <w:rPr>
          <w:lang w:val="en-US"/>
        </w:rPr>
        <w:lastRenderedPageBreak/>
        <w:t>Anyone trained in basic statistics would be uncomfortable with this inference.  The mean obtained from the sampling data may not be consistent with actual turbidity.  Intuitively, the likelihood that the sample means are consistent with reality is related to sampling intensity and the magni</w:t>
      </w:r>
      <w:r>
        <w:rPr>
          <w:lang w:val="en-US"/>
        </w:rPr>
        <w:t xml:space="preserve">tude of variation in turbidity. </w:t>
      </w:r>
      <w:r w:rsidRPr="001E5A2B">
        <w:rPr>
          <w:lang w:val="en-US"/>
        </w:rPr>
        <w:t>A standard approach to including consideration of sample sizes and variability in assessing data is to use a statistical test involving null (</w:t>
      </w:r>
      <w:r w:rsidRPr="001E5A2B">
        <w:rPr>
          <w:i/>
          <w:lang w:val="en-US"/>
        </w:rPr>
        <w:t>H</w:t>
      </w:r>
      <w:r w:rsidRPr="001E5A2B">
        <w:rPr>
          <w:lang w:val="en-US"/>
        </w:rPr>
        <w:t>0) and alternative (</w:t>
      </w:r>
      <w:r w:rsidRPr="001E5A2B">
        <w:rPr>
          <w:i/>
          <w:lang w:val="en-US"/>
        </w:rPr>
        <w:t>H</w:t>
      </w:r>
      <w:r>
        <w:rPr>
          <w:lang w:val="en-US"/>
        </w:rPr>
        <w:t xml:space="preserve">1) hypotheses.  </w:t>
      </w:r>
    </w:p>
    <w:p w:rsidR="00BF3798" w:rsidRPr="001E5A2B" w:rsidRDefault="00BF3798" w:rsidP="00BF3798">
      <w:pPr>
        <w:ind w:left="426" w:right="-164"/>
        <w:rPr>
          <w:lang w:val="en-US"/>
        </w:rPr>
      </w:pPr>
      <w:r w:rsidRPr="001E5A2B">
        <w:rPr>
          <w:i/>
          <w:lang w:val="en-US"/>
        </w:rPr>
        <w:t>H</w:t>
      </w:r>
      <w:r w:rsidRPr="001E5A2B">
        <w:rPr>
          <w:lang w:val="en-US"/>
        </w:rPr>
        <w:t>0: The sample mean was drawn from a population with mean = 9.2 turbidity units (i.e. the new dredging operations have no adverse effect relative to th</w:t>
      </w:r>
      <w:r w:rsidR="00C24B62">
        <w:rPr>
          <w:lang w:val="en-US"/>
        </w:rPr>
        <w:t>at</w:t>
      </w:r>
      <w:r w:rsidRPr="001E5A2B">
        <w:rPr>
          <w:lang w:val="en-US"/>
        </w:rPr>
        <w:t xml:space="preserve"> of the past).  </w:t>
      </w:r>
    </w:p>
    <w:p w:rsidR="00BF3798" w:rsidRPr="001E5A2B" w:rsidRDefault="00BF3798" w:rsidP="00BF3798">
      <w:pPr>
        <w:ind w:left="426" w:right="-164"/>
        <w:rPr>
          <w:lang w:val="en-US"/>
        </w:rPr>
      </w:pPr>
      <w:r w:rsidRPr="001E5A2B">
        <w:rPr>
          <w:i/>
          <w:lang w:val="en-US"/>
        </w:rPr>
        <w:t>H</w:t>
      </w:r>
      <w:r w:rsidRPr="001E5A2B">
        <w:rPr>
          <w:lang w:val="en-US"/>
        </w:rPr>
        <w:t>1: The sample mean was drawn from a population with mean &gt; 9.2 turbidity units. (</w:t>
      </w:r>
      <w:proofErr w:type="gramStart"/>
      <w:r w:rsidRPr="001E5A2B">
        <w:rPr>
          <w:lang w:val="en-US"/>
        </w:rPr>
        <w:t>i.e</w:t>
      </w:r>
      <w:proofErr w:type="gramEnd"/>
      <w:r w:rsidRPr="001E5A2B">
        <w:rPr>
          <w:lang w:val="en-US"/>
        </w:rPr>
        <w:t>. the new dredging regime causes increased turbidity).</w:t>
      </w:r>
    </w:p>
    <w:p w:rsidR="00BF3798" w:rsidRPr="001E5A2B" w:rsidRDefault="00BF3798" w:rsidP="00BF3798">
      <w:pPr>
        <w:ind w:right="-164"/>
        <w:rPr>
          <w:lang w:val="en-US"/>
        </w:rPr>
      </w:pPr>
      <w:r w:rsidRPr="001E5A2B">
        <w:rPr>
          <w:lang w:val="en-US"/>
        </w:rPr>
        <w:t xml:space="preserve">Using a </w:t>
      </w:r>
      <w:r w:rsidRPr="001E5A2B">
        <w:rPr>
          <w:i/>
          <w:lang w:val="en-US"/>
        </w:rPr>
        <w:t>t</w:t>
      </w:r>
      <w:r w:rsidRPr="001E5A2B">
        <w:rPr>
          <w:lang w:val="en-US"/>
        </w:rPr>
        <w:t xml:space="preserve">-test, the test statistic is calculated using </w:t>
      </w:r>
      <w:r w:rsidRPr="00BF3798">
        <w:rPr>
          <w:lang w:val="en-US"/>
        </w:rPr>
        <w:t>(</w:t>
      </w:r>
      <w:proofErr w:type="spellStart"/>
      <w:r w:rsidRPr="00BF3798">
        <w:rPr>
          <w:lang w:val="en-US"/>
        </w:rPr>
        <w:t>Sokal</w:t>
      </w:r>
      <w:proofErr w:type="spellEnd"/>
      <w:r w:rsidRPr="00BF3798">
        <w:rPr>
          <w:lang w:val="en-US"/>
        </w:rPr>
        <w:t xml:space="preserve"> and </w:t>
      </w:r>
      <w:proofErr w:type="spellStart"/>
      <w:r w:rsidRPr="00BF3798">
        <w:rPr>
          <w:lang w:val="en-US"/>
        </w:rPr>
        <w:t>Rohlf</w:t>
      </w:r>
      <w:proofErr w:type="spellEnd"/>
      <w:r w:rsidRPr="00BF3798">
        <w:rPr>
          <w:lang w:val="en-US"/>
        </w:rPr>
        <w:t xml:space="preserve"> 1995),</w:t>
      </w:r>
      <w:r>
        <w:rPr>
          <w:lang w:val="en-US"/>
        </w:rPr>
        <w:t xml:space="preserve"> </w:t>
      </w:r>
    </w:p>
    <w:p w:rsidR="00BF3798" w:rsidRPr="001E5A2B" w:rsidRDefault="00BF3798" w:rsidP="00BF3798">
      <w:pPr>
        <w:ind w:right="-164" w:firstLine="720"/>
        <w:rPr>
          <w:lang w:val="en-US"/>
        </w:rPr>
      </w:pPr>
      <w:r w:rsidRPr="001E5A2B">
        <w:rPr>
          <w:position w:val="-30"/>
          <w:lang w:val="en-US"/>
        </w:rPr>
        <w:object w:dxaOrig="880" w:dyaOrig="660">
          <v:shape id="_x0000_i1029" type="#_x0000_t75" style="width:44.25pt;height:33.75pt" o:ole="">
            <v:imagedata r:id="rId36" o:title=""/>
          </v:shape>
          <o:OLEObject Type="Embed" ProgID="Equation.3" ShapeID="_x0000_i1029" DrawAspect="Content" ObjectID="_1490180779" r:id="rId37"/>
        </w:object>
      </w:r>
      <w:r w:rsidR="006C4AA7">
        <w:rPr>
          <w:lang w:val="en-US"/>
        </w:rPr>
        <w:t xml:space="preserve">   ,</w:t>
      </w:r>
    </w:p>
    <w:p w:rsidR="00BF3798" w:rsidRPr="001E5A2B" w:rsidRDefault="00BF3798" w:rsidP="00BF3798">
      <w:pPr>
        <w:ind w:right="-164"/>
        <w:rPr>
          <w:lang w:val="en-US"/>
        </w:rPr>
      </w:pPr>
      <w:proofErr w:type="gramStart"/>
      <w:r w:rsidRPr="001E5A2B">
        <w:rPr>
          <w:lang w:val="en-US"/>
        </w:rPr>
        <w:t>where</w:t>
      </w:r>
      <w:proofErr w:type="gramEnd"/>
      <w:r w:rsidRPr="001E5A2B">
        <w:rPr>
          <w:lang w:val="en-US"/>
        </w:rPr>
        <w:t xml:space="preserve"> </w:t>
      </w:r>
      <w:r w:rsidRPr="001E5A2B">
        <w:rPr>
          <w:position w:val="-6"/>
          <w:lang w:val="en-US"/>
        </w:rPr>
        <w:object w:dxaOrig="200" w:dyaOrig="260">
          <v:shape id="_x0000_i1030" type="#_x0000_t75" style="width:10.5pt;height:13.5pt" o:ole="">
            <v:imagedata r:id="rId38" o:title=""/>
          </v:shape>
          <o:OLEObject Type="Embed" ProgID="Equation.3" ShapeID="_x0000_i1030" DrawAspect="Content" ObjectID="_1490180780" r:id="rId39"/>
        </w:object>
      </w:r>
      <w:r w:rsidRPr="001E5A2B">
        <w:rPr>
          <w:lang w:val="en-US"/>
        </w:rPr>
        <w:t xml:space="preserve">is the sample mean, </w:t>
      </w:r>
      <w:r w:rsidRPr="001E5A2B">
        <w:rPr>
          <w:i/>
          <w:lang w:val="en-US"/>
        </w:rPr>
        <w:t>T</w:t>
      </w:r>
      <w:r w:rsidRPr="001E5A2B">
        <w:rPr>
          <w:lang w:val="en-US"/>
        </w:rPr>
        <w:t xml:space="preserve"> is the ‘threshold’ reference against which the mean is compared, </w:t>
      </w:r>
      <w:r w:rsidRPr="001E5A2B">
        <w:rPr>
          <w:i/>
          <w:lang w:val="en-US"/>
        </w:rPr>
        <w:t>s</w:t>
      </w:r>
      <w:r w:rsidRPr="001E5A2B">
        <w:rPr>
          <w:lang w:val="en-US"/>
        </w:rPr>
        <w:t xml:space="preserve"> is the sample standard deviation and </w:t>
      </w:r>
      <w:r w:rsidRPr="001E5A2B">
        <w:rPr>
          <w:i/>
          <w:lang w:val="en-US"/>
        </w:rPr>
        <w:t>n</w:t>
      </w:r>
      <w:r>
        <w:rPr>
          <w:lang w:val="en-US"/>
        </w:rPr>
        <w:t xml:space="preserve"> is the sample size.</w:t>
      </w:r>
    </w:p>
    <w:p w:rsidR="00BF3798" w:rsidRPr="001E5A2B" w:rsidRDefault="00BF3798" w:rsidP="00BF3798">
      <w:pPr>
        <w:ind w:right="-164"/>
        <w:rPr>
          <w:lang w:val="en-US"/>
        </w:rPr>
      </w:pPr>
      <w:r w:rsidRPr="001E5A2B">
        <w:rPr>
          <w:lang w:val="en-US"/>
        </w:rPr>
        <w:t xml:space="preserve">The </w:t>
      </w:r>
      <w:r w:rsidRPr="001E5A2B">
        <w:rPr>
          <w:i/>
          <w:lang w:val="en-US"/>
        </w:rPr>
        <w:t>t</w:t>
      </w:r>
      <w:r w:rsidRPr="001E5A2B">
        <w:rPr>
          <w:lang w:val="en-US"/>
        </w:rPr>
        <w:t>-test asks, what is the probability (</w:t>
      </w:r>
      <w:r w:rsidRPr="001E5A2B">
        <w:rPr>
          <w:i/>
          <w:lang w:val="en-US"/>
        </w:rPr>
        <w:t>p</w:t>
      </w:r>
      <w:r w:rsidRPr="001E5A2B">
        <w:rPr>
          <w:lang w:val="en-US"/>
        </w:rPr>
        <w:t xml:space="preserve">-value) of obtaining a value as large as the test statistic assuming the sample mean was drawn from a population having a mean of </w:t>
      </w:r>
      <w:r w:rsidRPr="001E5A2B">
        <w:rPr>
          <w:i/>
          <w:lang w:val="en-US"/>
        </w:rPr>
        <w:t>T</w:t>
      </w:r>
      <w:r w:rsidRPr="001E5A2B">
        <w:rPr>
          <w:lang w:val="en-US"/>
        </w:rPr>
        <w:t xml:space="preserve"> (i.e. assuming the null hypothesis is correct). The convention employed in scientific inference is to reject the null hypothesis in favor of the alternative if the </w:t>
      </w:r>
      <w:r w:rsidRPr="001E5A2B">
        <w:rPr>
          <w:i/>
          <w:lang w:val="en-US"/>
        </w:rPr>
        <w:t>p</w:t>
      </w:r>
      <w:r w:rsidRPr="001E5A2B">
        <w:rPr>
          <w:lang w:val="en-US"/>
        </w:rPr>
        <w:t xml:space="preserve">-value is less than 0.05 (i.e. 5%).  The null is retained if the </w:t>
      </w:r>
      <w:r w:rsidRPr="001E5A2B">
        <w:rPr>
          <w:i/>
          <w:lang w:val="en-US"/>
        </w:rPr>
        <w:t>p</w:t>
      </w:r>
      <w:r w:rsidRPr="001E5A2B">
        <w:rPr>
          <w:lang w:val="en-US"/>
        </w:rPr>
        <w:t>-value is greater than 0.05.  The value of 0.05 is more or less arbitrary</w:t>
      </w:r>
      <w:r>
        <w:rPr>
          <w:lang w:val="en-US"/>
        </w:rPr>
        <w:t xml:space="preserve"> in the context</w:t>
      </w:r>
      <w:r w:rsidR="00DC22EF">
        <w:rPr>
          <w:lang w:val="en-US"/>
        </w:rPr>
        <w:t xml:space="preserve"> </w:t>
      </w:r>
      <w:r>
        <w:rPr>
          <w:lang w:val="en-US"/>
        </w:rPr>
        <w:t>of environmental management</w:t>
      </w:r>
      <w:r w:rsidRPr="001E5A2B">
        <w:rPr>
          <w:lang w:val="en-US"/>
        </w:rPr>
        <w:t>.  It represents a burden of proof with which sc</w:t>
      </w:r>
      <w:r>
        <w:rPr>
          <w:lang w:val="en-US"/>
        </w:rPr>
        <w:t>ience is generally comfortable.</w:t>
      </w:r>
    </w:p>
    <w:p w:rsidR="00BF3798" w:rsidRPr="001E5A2B" w:rsidRDefault="00BF3798" w:rsidP="00BF3798">
      <w:pPr>
        <w:ind w:right="-164"/>
        <w:rPr>
          <w:lang w:val="en-US"/>
        </w:rPr>
      </w:pPr>
      <w:r w:rsidRPr="001E5A2B">
        <w:rPr>
          <w:lang w:val="en-US"/>
        </w:rPr>
        <w:t>For our turbid</w:t>
      </w:r>
      <w:r>
        <w:rPr>
          <w:lang w:val="en-US"/>
        </w:rPr>
        <w:t>ity example the test result is,</w:t>
      </w:r>
    </w:p>
    <w:p w:rsidR="00BF3798" w:rsidRPr="001E5A2B" w:rsidRDefault="00BF3798" w:rsidP="00BF3798">
      <w:pPr>
        <w:ind w:right="-164" w:firstLine="720"/>
        <w:rPr>
          <w:lang w:val="en-US"/>
        </w:rPr>
      </w:pPr>
      <w:r w:rsidRPr="001E5A2B">
        <w:rPr>
          <w:position w:val="-32"/>
          <w:lang w:val="en-US"/>
        </w:rPr>
        <w:object w:dxaOrig="2140" w:dyaOrig="700">
          <v:shape id="_x0000_i1031" type="#_x0000_t75" style="width:107.25pt;height:35.25pt" o:ole="">
            <v:imagedata r:id="rId40" o:title=""/>
          </v:shape>
          <o:OLEObject Type="Embed" ProgID="Equation.3" ShapeID="_x0000_i1031" DrawAspect="Content" ObjectID="_1490180781" r:id="rId41"/>
        </w:object>
      </w:r>
      <w:r w:rsidRPr="001E5A2B">
        <w:rPr>
          <w:lang w:val="en-US"/>
        </w:rPr>
        <w:t xml:space="preserve">, </w:t>
      </w:r>
      <w:r w:rsidRPr="001E5A2B">
        <w:rPr>
          <w:i/>
          <w:lang w:val="en-US"/>
        </w:rPr>
        <w:t>p</w:t>
      </w:r>
      <w:r w:rsidRPr="001E5A2B">
        <w:rPr>
          <w:lang w:val="en-US"/>
        </w:rPr>
        <w:t xml:space="preserve"> = 0.225.</w:t>
      </w:r>
    </w:p>
    <w:p w:rsidR="00BF3798" w:rsidRPr="001E5A2B" w:rsidRDefault="00DC22EF" w:rsidP="00BF3798">
      <w:pPr>
        <w:ind w:right="-164"/>
        <w:rPr>
          <w:lang w:val="en-US"/>
        </w:rPr>
      </w:pPr>
      <w:r>
        <w:rPr>
          <w:lang w:val="en-US"/>
        </w:rPr>
        <w:t>This result</w:t>
      </w:r>
      <w:r w:rsidR="00BF3798" w:rsidRPr="001E5A2B">
        <w:rPr>
          <w:lang w:val="en-US"/>
        </w:rPr>
        <w:t xml:space="preserve"> might please the port’s corporate stakeholders.  The</w:t>
      </w:r>
      <w:r>
        <w:rPr>
          <w:lang w:val="en-US"/>
        </w:rPr>
        <w:t xml:space="preserve"> result</w:t>
      </w:r>
      <w:r w:rsidR="00BF3798" w:rsidRPr="001E5A2B">
        <w:rPr>
          <w:lang w:val="en-US"/>
        </w:rPr>
        <w:t xml:space="preserve"> suggest</w:t>
      </w:r>
      <w:r w:rsidR="00DA6C0E">
        <w:rPr>
          <w:lang w:val="en-US"/>
        </w:rPr>
        <w:t>s</w:t>
      </w:r>
      <w:r w:rsidR="00BF3798" w:rsidRPr="001E5A2B">
        <w:rPr>
          <w:lang w:val="en-US"/>
        </w:rPr>
        <w:t xml:space="preserve"> a non-significant increase in turbidity.</w:t>
      </w:r>
    </w:p>
    <w:p w:rsidR="00BF3798" w:rsidRPr="001E5A2B" w:rsidRDefault="00BF3798" w:rsidP="00BF3798">
      <w:pPr>
        <w:ind w:right="-164"/>
        <w:rPr>
          <w:lang w:val="en-US"/>
        </w:rPr>
      </w:pPr>
      <w:r w:rsidRPr="001E5A2B">
        <w:rPr>
          <w:lang w:val="en-US"/>
        </w:rPr>
        <w:t xml:space="preserve">Although common, the use of null hypothesis testing in this way is naïve and can lead to serious managerial mistakes.  There are two key shortcomings.  Firstly, the </w:t>
      </w:r>
      <w:r w:rsidRPr="001E5A2B">
        <w:rPr>
          <w:i/>
          <w:lang w:val="en-US"/>
        </w:rPr>
        <w:t>p</w:t>
      </w:r>
      <w:r w:rsidRPr="001E5A2B">
        <w:rPr>
          <w:lang w:val="en-US"/>
        </w:rPr>
        <w:t>-value in standard null hypothesis testing</w:t>
      </w:r>
      <w:r w:rsidRPr="001E5A2B">
        <w:rPr>
          <w:i/>
          <w:lang w:val="en-US"/>
        </w:rPr>
        <w:t xml:space="preserve"> </w:t>
      </w:r>
      <w:r w:rsidRPr="001E5A2B">
        <w:rPr>
          <w:lang w:val="en-US"/>
        </w:rPr>
        <w:t>refers only to the probability of a Type I error (inferring an effect when in fact none exists).  The result includes no indication of the probability of a Type II error (inferring no effect when in fact one exists).  Secondly, the hypotheses are framed in a way that assumes any effect is important, no matter how small.</w:t>
      </w:r>
    </w:p>
    <w:p w:rsidR="00BF3798" w:rsidRPr="001E5A2B" w:rsidRDefault="00BF3798" w:rsidP="00BF3798">
      <w:pPr>
        <w:ind w:right="-164"/>
        <w:rPr>
          <w:lang w:val="en-US"/>
        </w:rPr>
      </w:pPr>
      <w:r w:rsidRPr="001E5A2B">
        <w:rPr>
          <w:lang w:val="en-US"/>
        </w:rPr>
        <w:t xml:space="preserve">The danger of ignoring these shortcomings can be illustrated by changing the sampling intensity in our example.  Let’s say that instead of 25 observations the port made </w:t>
      </w:r>
      <w:r>
        <w:rPr>
          <w:lang w:val="en-US"/>
        </w:rPr>
        <w:t xml:space="preserve">120 observations of turbidity. </w:t>
      </w:r>
      <w:r w:rsidRPr="001E5A2B">
        <w:rPr>
          <w:lang w:val="en-US"/>
        </w:rPr>
        <w:t>Let’s also say the sample means and stand</w:t>
      </w:r>
      <w:r>
        <w:rPr>
          <w:lang w:val="en-US"/>
        </w:rPr>
        <w:t>ard deviations remain unchanged</w:t>
      </w:r>
      <w:r w:rsidRPr="001E5A2B">
        <w:rPr>
          <w:lang w:val="en-US"/>
        </w:rPr>
        <w:t xml:space="preserve">.  In this circumstance, the inferences that arise from the </w:t>
      </w:r>
      <w:r w:rsidRPr="001E5A2B">
        <w:rPr>
          <w:i/>
          <w:lang w:val="en-US"/>
        </w:rPr>
        <w:t>t</w:t>
      </w:r>
      <w:r w:rsidRPr="001E5A2B">
        <w:rPr>
          <w:lang w:val="en-US"/>
        </w:rPr>
        <w:t xml:space="preserve">-test </w:t>
      </w:r>
      <w:r w:rsidR="00473B42" w:rsidRPr="001E5A2B">
        <w:rPr>
          <w:lang w:val="en-US"/>
        </w:rPr>
        <w:t>are</w:t>
      </w:r>
      <w:r w:rsidRPr="001E5A2B">
        <w:rPr>
          <w:lang w:val="en-US"/>
        </w:rPr>
        <w:t xml:space="preserve"> reversed. The </w:t>
      </w:r>
      <w:r w:rsidRPr="001E5A2B">
        <w:rPr>
          <w:i/>
          <w:lang w:val="en-US"/>
        </w:rPr>
        <w:t>t</w:t>
      </w:r>
      <w:r w:rsidRPr="001E5A2B">
        <w:rPr>
          <w:lang w:val="en-US"/>
        </w:rPr>
        <w:t xml:space="preserve">-test reports a </w:t>
      </w:r>
      <w:r w:rsidRPr="001E5A2B">
        <w:rPr>
          <w:i/>
          <w:lang w:val="en-US"/>
        </w:rPr>
        <w:t>p</w:t>
      </w:r>
      <w:r w:rsidRPr="001E5A2B">
        <w:rPr>
          <w:lang w:val="en-US"/>
        </w:rPr>
        <w:t>-value of 0.047 and the null hyp</w:t>
      </w:r>
      <w:r>
        <w:rPr>
          <w:lang w:val="en-US"/>
        </w:rPr>
        <w:t>o</w:t>
      </w:r>
      <w:r w:rsidRPr="001E5A2B">
        <w:rPr>
          <w:lang w:val="en-US"/>
        </w:rPr>
        <w:t>thesi</w:t>
      </w:r>
      <w:r>
        <w:rPr>
          <w:lang w:val="en-US"/>
        </w:rPr>
        <w:t>s is rejected, supporting the al</w:t>
      </w:r>
      <w:r w:rsidRPr="001E5A2B">
        <w:rPr>
          <w:lang w:val="en-US"/>
        </w:rPr>
        <w:t>ternative that the new dredging reg</w:t>
      </w:r>
      <w:r>
        <w:rPr>
          <w:lang w:val="en-US"/>
        </w:rPr>
        <w:t>ime causes increased turbidity.</w:t>
      </w:r>
    </w:p>
    <w:p w:rsidR="00BF3798" w:rsidRDefault="00BF3798" w:rsidP="00BF3798">
      <w:pPr>
        <w:ind w:right="-164"/>
        <w:rPr>
          <w:lang w:val="en-US"/>
        </w:rPr>
      </w:pPr>
      <w:r w:rsidRPr="001E5A2B">
        <w:rPr>
          <w:lang w:val="en-US"/>
        </w:rPr>
        <w:lastRenderedPageBreak/>
        <w:t xml:space="preserve">The proposition that management decisions might rest on something as seemingly arbitrary as sampling intensity is </w:t>
      </w:r>
      <w:r>
        <w:rPr>
          <w:lang w:val="en-US"/>
        </w:rPr>
        <w:t>disconcerting</w:t>
      </w:r>
      <w:r w:rsidRPr="001E5A2B">
        <w:rPr>
          <w:lang w:val="en-US"/>
        </w:rPr>
        <w:t xml:space="preserve">.  But without careful consideration of effect size and Type I and Type II errors, naïve use of null hypothesis testing will tend to mislead.  In our hypothetical example, it may be reasonable to assume that mechanical disturbance via dredging will inevitably lead to some increase in turbidity, however small.  Where statistical tests are conducted for </w:t>
      </w:r>
      <w:r w:rsidRPr="001E5A2B">
        <w:rPr>
          <w:i/>
          <w:lang w:val="en-US"/>
        </w:rPr>
        <w:t>any</w:t>
      </w:r>
      <w:r w:rsidRPr="001E5A2B">
        <w:rPr>
          <w:lang w:val="en-US"/>
        </w:rPr>
        <w:t xml:space="preserve"> effect (no matter how miniscule) the tendency will be for larger sample sizes to report statistically significant results relative to smaller samples.  In this sense, the use of the term ‘significant’ in statistical inference is unfortunate. Statistical significance is not equivalent to ecological, social or economic significance.</w:t>
      </w:r>
    </w:p>
    <w:p w:rsidR="00C24B62" w:rsidRDefault="00BF3798" w:rsidP="00BF3798">
      <w:pPr>
        <w:ind w:right="-164"/>
        <w:rPr>
          <w:lang w:val="en-US"/>
        </w:rPr>
      </w:pPr>
      <w:r w:rsidRPr="001E5A2B">
        <w:rPr>
          <w:lang w:val="en-US"/>
        </w:rPr>
        <w:t xml:space="preserve">Acknowledgement of the shortcomings of standard statistical analyses encourages managers, stakeholders and auditors to think more critically about the use and misuse of data gathered in monitoring.  In an environmental and social context, community stakeholders will be especially interested in minimizing the likelihood of inferring </w:t>
      </w:r>
      <w:r w:rsidR="00DA6C0E">
        <w:rPr>
          <w:lang w:val="en-US"/>
        </w:rPr>
        <w:t xml:space="preserve">compliance or success when in fact the </w:t>
      </w:r>
      <w:r w:rsidR="002C0526">
        <w:rPr>
          <w:lang w:val="en-US"/>
        </w:rPr>
        <w:t>system</w:t>
      </w:r>
      <w:r w:rsidR="00DA6C0E">
        <w:rPr>
          <w:lang w:val="en-US"/>
        </w:rPr>
        <w:t xml:space="preserve"> is non-compliant or failing</w:t>
      </w:r>
      <w:r w:rsidRPr="001E5A2B">
        <w:rPr>
          <w:lang w:val="en-US"/>
        </w:rPr>
        <w:t xml:space="preserve"> (false sense of security).  Public relations managers will be concerned about the likelihood of false alarmism (inferring </w:t>
      </w:r>
      <w:r w:rsidR="00DA6C0E">
        <w:rPr>
          <w:lang w:val="en-US"/>
        </w:rPr>
        <w:t>non-</w:t>
      </w:r>
      <w:r w:rsidR="002C0526">
        <w:rPr>
          <w:lang w:val="en-US"/>
        </w:rPr>
        <w:t>compliance</w:t>
      </w:r>
      <w:r w:rsidR="00DA6C0E">
        <w:rPr>
          <w:lang w:val="en-US"/>
        </w:rPr>
        <w:t xml:space="preserve"> or failure</w:t>
      </w:r>
      <w:r w:rsidRPr="001E5A2B">
        <w:rPr>
          <w:lang w:val="en-US"/>
        </w:rPr>
        <w:t xml:space="preserve"> when </w:t>
      </w:r>
      <w:r w:rsidR="00DA6C0E">
        <w:rPr>
          <w:lang w:val="en-US"/>
        </w:rPr>
        <w:t>we are in fact compliant or succeeding in meeting targets</w:t>
      </w:r>
      <w:r w:rsidRPr="001E5A2B">
        <w:rPr>
          <w:lang w:val="en-US"/>
        </w:rPr>
        <w:t>).  To formally and directly address these questions, power calculations are required.</w:t>
      </w:r>
    </w:p>
    <w:p w:rsidR="00BF3798" w:rsidRPr="001E5A2B" w:rsidRDefault="00BF3798" w:rsidP="00BF3798">
      <w:pPr>
        <w:ind w:right="-164"/>
        <w:rPr>
          <w:lang w:val="en-US"/>
        </w:rPr>
      </w:pPr>
      <w:r w:rsidRPr="001E5A2B">
        <w:rPr>
          <w:lang w:val="en-US"/>
        </w:rPr>
        <w:t xml:space="preserve">Statistical power is a measure of the confidence with which we would have detected a particular effect, if one existed. It is defined as 1 - </w:t>
      </w:r>
      <w:r w:rsidRPr="001E5A2B">
        <w:rPr>
          <w:i/>
          <w:lang w:val="en-US"/>
        </w:rPr>
        <w:sym w:font="Symbol" w:char="F062"/>
      </w:r>
      <w:r w:rsidRPr="001E5A2B">
        <w:rPr>
          <w:lang w:val="en-US"/>
        </w:rPr>
        <w:t xml:space="preserve"> (i.e. the complement of the Type II error rate).  What was the power of the two sampling strategies explored above</w:t>
      </w:r>
      <w:r>
        <w:rPr>
          <w:lang w:val="en-US"/>
        </w:rPr>
        <w:t xml:space="preserve"> for turbidity?  Specifically, </w:t>
      </w:r>
    </w:p>
    <w:p w:rsidR="00BF3798" w:rsidRDefault="00BF3798" w:rsidP="00BF3798">
      <w:pPr>
        <w:spacing w:after="0"/>
        <w:ind w:right="-164" w:firstLine="426"/>
        <w:rPr>
          <w:lang w:val="en-US"/>
        </w:rPr>
      </w:pPr>
      <w:r w:rsidRPr="001E5A2B">
        <w:rPr>
          <w:lang w:val="en-US"/>
        </w:rPr>
        <w:t xml:space="preserve">Case 1: </w:t>
      </w:r>
      <w:r w:rsidRPr="001E5A2B">
        <w:rPr>
          <w:i/>
          <w:lang w:val="en-US"/>
        </w:rPr>
        <w:t>n</w:t>
      </w:r>
      <w:r>
        <w:rPr>
          <w:lang w:val="en-US"/>
        </w:rPr>
        <w:t xml:space="preserve"> = 25, and </w:t>
      </w:r>
    </w:p>
    <w:p w:rsidR="00BF3798" w:rsidRDefault="00BF3798" w:rsidP="00DA6C0E">
      <w:pPr>
        <w:spacing w:after="0"/>
        <w:ind w:right="-164" w:firstLine="426"/>
        <w:rPr>
          <w:lang w:val="en-US"/>
        </w:rPr>
      </w:pPr>
      <w:r w:rsidRPr="001E5A2B">
        <w:rPr>
          <w:lang w:val="en-US"/>
        </w:rPr>
        <w:t xml:space="preserve">Case 2:  </w:t>
      </w:r>
      <w:r w:rsidRPr="001E5A2B">
        <w:rPr>
          <w:i/>
          <w:lang w:val="en-US"/>
        </w:rPr>
        <w:t>n</w:t>
      </w:r>
      <w:r w:rsidR="00DA6C0E">
        <w:rPr>
          <w:lang w:val="en-US"/>
        </w:rPr>
        <w:t xml:space="preserve"> = 120.</w:t>
      </w:r>
    </w:p>
    <w:p w:rsidR="00DA6C0E" w:rsidRDefault="00DA6C0E" w:rsidP="00DA6C0E">
      <w:pPr>
        <w:spacing w:after="0"/>
        <w:ind w:right="-164" w:firstLine="426"/>
        <w:rPr>
          <w:lang w:val="en-US"/>
        </w:rPr>
      </w:pPr>
    </w:p>
    <w:p w:rsidR="00BF3798" w:rsidRPr="001E5A2B" w:rsidRDefault="00BF3798" w:rsidP="00BF3798">
      <w:pPr>
        <w:ind w:right="-164"/>
        <w:rPr>
          <w:lang w:val="en-US"/>
        </w:rPr>
      </w:pPr>
      <w:r w:rsidRPr="001E5A2B">
        <w:rPr>
          <w:lang w:val="en-US"/>
        </w:rPr>
        <w:t xml:space="preserve">First we need to revisit the way we frame our hypotheses to take into account what might represent an </w:t>
      </w:r>
      <w:r w:rsidRPr="001E5A2B">
        <w:rPr>
          <w:i/>
          <w:lang w:val="en-US"/>
        </w:rPr>
        <w:t>important</w:t>
      </w:r>
      <w:r w:rsidRPr="001E5A2B">
        <w:rPr>
          <w:lang w:val="en-US"/>
        </w:rPr>
        <w:t xml:space="preserve"> effect (as opposed to </w:t>
      </w:r>
      <w:r w:rsidRPr="001E5A2B">
        <w:rPr>
          <w:i/>
          <w:lang w:val="en-US"/>
        </w:rPr>
        <w:t>any</w:t>
      </w:r>
      <w:r w:rsidRPr="001E5A2B">
        <w:rPr>
          <w:lang w:val="en-US"/>
        </w:rPr>
        <w:t xml:space="preserve"> affect).  Let’s say that, after considering dose-response relationships for turbidity, scientists identify 12.0 units as a threshold at </w:t>
      </w:r>
      <w:r>
        <w:rPr>
          <w:lang w:val="en-US"/>
        </w:rPr>
        <w:t xml:space="preserve">which </w:t>
      </w:r>
      <w:r w:rsidRPr="001E5A2B">
        <w:rPr>
          <w:lang w:val="en-US"/>
        </w:rPr>
        <w:t>biota within the zone of influence of dredging operations are adversely affected.  The null and a</w:t>
      </w:r>
      <w:r>
        <w:rPr>
          <w:lang w:val="en-US"/>
        </w:rPr>
        <w:t xml:space="preserve">lternative hypotheses are now: </w:t>
      </w:r>
    </w:p>
    <w:p w:rsidR="00BF3798" w:rsidRPr="00BF3798" w:rsidRDefault="00BF3798" w:rsidP="00BF3798">
      <w:pPr>
        <w:ind w:left="426" w:right="-164"/>
        <w:rPr>
          <w:lang w:val="en-US"/>
        </w:rPr>
      </w:pPr>
      <w:r w:rsidRPr="001E5A2B">
        <w:rPr>
          <w:i/>
          <w:lang w:val="en-US"/>
        </w:rPr>
        <w:t>H</w:t>
      </w:r>
      <w:r w:rsidRPr="001E5A2B">
        <w:rPr>
          <w:lang w:val="en-US"/>
        </w:rPr>
        <w:t>0: The sample mean was drawn from a population with mean = 9.2 turbidity units (i.e. the new dredging operations have no adverse effect re</w:t>
      </w:r>
      <w:r>
        <w:rPr>
          <w:lang w:val="en-US"/>
        </w:rPr>
        <w:t xml:space="preserve">lative to that of the past).  </w:t>
      </w:r>
    </w:p>
    <w:p w:rsidR="00BF3798" w:rsidRPr="001E5A2B" w:rsidRDefault="00BF3798" w:rsidP="00BF3798">
      <w:pPr>
        <w:ind w:left="426" w:right="-164"/>
        <w:rPr>
          <w:lang w:val="en-US"/>
        </w:rPr>
      </w:pPr>
      <w:r w:rsidRPr="001E5A2B">
        <w:rPr>
          <w:i/>
          <w:lang w:val="en-US"/>
        </w:rPr>
        <w:t>H</w:t>
      </w:r>
      <w:r w:rsidRPr="001E5A2B">
        <w:rPr>
          <w:lang w:val="en-US"/>
        </w:rPr>
        <w:t>1: The sample mean was drawn from a population with mean = 12.0 turbidity units (i.e. th</w:t>
      </w:r>
      <w:r>
        <w:rPr>
          <w:lang w:val="en-US"/>
        </w:rPr>
        <w:t>e new dredging operations cause</w:t>
      </w:r>
      <w:r w:rsidRPr="001E5A2B">
        <w:rPr>
          <w:lang w:val="en-US"/>
        </w:rPr>
        <w:t xml:space="preserve"> a large enough increase in turbidity to be harmful to inshore biota).</w:t>
      </w:r>
    </w:p>
    <w:p w:rsidR="00BF3798" w:rsidRPr="001E5A2B" w:rsidRDefault="00BF3798" w:rsidP="00BF3798">
      <w:pPr>
        <w:ind w:right="-164"/>
        <w:rPr>
          <w:lang w:val="en-US"/>
        </w:rPr>
      </w:pPr>
      <w:r w:rsidRPr="001E5A2B">
        <w:rPr>
          <w:lang w:val="en-US"/>
        </w:rPr>
        <w:t xml:space="preserve">If we defer to scientific convention and accept a Type I error rate </w:t>
      </w:r>
      <w:r w:rsidRPr="001E5A2B">
        <w:rPr>
          <w:i/>
          <w:lang w:val="en-US"/>
        </w:rPr>
        <w:sym w:font="Symbol" w:char="F061"/>
      </w:r>
      <w:r w:rsidRPr="001E5A2B">
        <w:rPr>
          <w:lang w:val="en-US"/>
        </w:rPr>
        <w:t xml:space="preserve"> = 0.05, we can identify the value of the sample mean beyond which the null hypothesis will be rejec</w:t>
      </w:r>
      <w:r w:rsidR="00C24B62">
        <w:rPr>
          <w:lang w:val="en-US"/>
        </w:rPr>
        <w:t xml:space="preserve">ted.  Expressed algebraically, </w:t>
      </w:r>
    </w:p>
    <w:p w:rsidR="00BF3798" w:rsidRPr="001E5A2B" w:rsidRDefault="00BF3798" w:rsidP="00C24B62">
      <w:pPr>
        <w:ind w:right="-164" w:firstLine="720"/>
        <w:rPr>
          <w:lang w:val="en-US"/>
        </w:rPr>
      </w:pPr>
      <w:r w:rsidRPr="001E5A2B">
        <w:rPr>
          <w:position w:val="-30"/>
          <w:lang w:val="en-US"/>
        </w:rPr>
        <w:object w:dxaOrig="2320" w:dyaOrig="720">
          <v:shape id="_x0000_i1032" type="#_x0000_t75" style="width:116.25pt;height:36.75pt" o:ole="">
            <v:imagedata r:id="rId42" o:title=""/>
          </v:shape>
          <o:OLEObject Type="Embed" ProgID="Equation.3" ShapeID="_x0000_i1032" DrawAspect="Content" ObjectID="_1490180782" r:id="rId43"/>
        </w:object>
      </w:r>
      <w:r w:rsidR="00C24B62">
        <w:rPr>
          <w:lang w:val="en-US"/>
        </w:rPr>
        <w:t>,</w:t>
      </w:r>
    </w:p>
    <w:p w:rsidR="00BF3798" w:rsidRPr="001E5A2B" w:rsidRDefault="00BF3798" w:rsidP="00BF3798">
      <w:pPr>
        <w:ind w:right="-164"/>
        <w:rPr>
          <w:lang w:val="en-US"/>
        </w:rPr>
      </w:pPr>
      <w:proofErr w:type="gramStart"/>
      <w:r w:rsidRPr="001E5A2B">
        <w:rPr>
          <w:lang w:val="en-US"/>
        </w:rPr>
        <w:t>where</w:t>
      </w:r>
      <w:proofErr w:type="gramEnd"/>
      <w:r w:rsidRPr="001E5A2B">
        <w:rPr>
          <w:lang w:val="en-US"/>
        </w:rPr>
        <w:t xml:space="preserve"> </w:t>
      </w:r>
      <w:r w:rsidRPr="001E5A2B">
        <w:rPr>
          <w:i/>
          <w:lang w:val="en-US"/>
        </w:rPr>
        <w:sym w:font="Symbol" w:char="F06D"/>
      </w:r>
      <w:r w:rsidRPr="001E5A2B">
        <w:rPr>
          <w:lang w:val="en-US"/>
        </w:rPr>
        <w:t xml:space="preserve"> is the population mean associated with the null hypothesis, and </w:t>
      </w:r>
      <w:r w:rsidRPr="001E5A2B">
        <w:rPr>
          <w:i/>
          <w:lang w:val="en-US"/>
        </w:rPr>
        <w:t>z</w:t>
      </w:r>
      <w:r w:rsidRPr="001E5A2B">
        <w:rPr>
          <w:lang w:val="en-US"/>
        </w:rPr>
        <w:t xml:space="preserve"> comes from the standard normal distribution. For the one-tailed tests in our scenario </w:t>
      </w:r>
      <w:r w:rsidRPr="001E5A2B">
        <w:rPr>
          <w:i/>
          <w:lang w:val="en-US"/>
        </w:rPr>
        <w:t>z</w:t>
      </w:r>
      <w:r w:rsidRPr="001E5A2B">
        <w:rPr>
          <w:lang w:val="en-US"/>
        </w:rPr>
        <w:t xml:space="preserve"> = 1.645 at </w:t>
      </w:r>
      <w:r w:rsidRPr="001E5A2B">
        <w:rPr>
          <w:lang w:val="en-US"/>
        </w:rPr>
        <w:sym w:font="Symbol" w:char="F061"/>
      </w:r>
      <w:r w:rsidR="00C24B62">
        <w:rPr>
          <w:lang w:val="en-US"/>
        </w:rPr>
        <w:t xml:space="preserve"> = 0.05.</w:t>
      </w:r>
    </w:p>
    <w:p w:rsidR="00BF3798" w:rsidRPr="001E5A2B" w:rsidRDefault="00BF3798" w:rsidP="00BF3798">
      <w:pPr>
        <w:ind w:right="-164"/>
        <w:rPr>
          <w:lang w:val="en-US"/>
        </w:rPr>
      </w:pPr>
      <w:r w:rsidRPr="001E5A2B">
        <w:rPr>
          <w:lang w:val="en-US"/>
        </w:rPr>
        <w:t xml:space="preserve">For the case where turbidity is estimated from </w:t>
      </w:r>
      <w:r w:rsidRPr="001E5A2B">
        <w:rPr>
          <w:i/>
          <w:lang w:val="en-US"/>
        </w:rPr>
        <w:t>n</w:t>
      </w:r>
      <w:r w:rsidRPr="001E5A2B">
        <w:rPr>
          <w:lang w:val="en-US"/>
        </w:rPr>
        <w:t xml:space="preserve"> = 25, and an estimate of 7.8 for the populat</w:t>
      </w:r>
      <w:r w:rsidR="00C24B62">
        <w:rPr>
          <w:lang w:val="en-US"/>
        </w:rPr>
        <w:t>ion standard deviation is used,</w:t>
      </w:r>
    </w:p>
    <w:p w:rsidR="00BF3798" w:rsidRPr="001E5A2B" w:rsidRDefault="00BF3798" w:rsidP="00BF3798">
      <w:pPr>
        <w:ind w:right="-164"/>
        <w:rPr>
          <w:lang w:val="en-US"/>
        </w:rPr>
      </w:pPr>
      <w:r w:rsidRPr="001E5A2B">
        <w:rPr>
          <w:lang w:val="en-US"/>
        </w:rPr>
        <w:lastRenderedPageBreak/>
        <w:tab/>
      </w:r>
      <w:r w:rsidRPr="001E5A2B">
        <w:rPr>
          <w:position w:val="-30"/>
          <w:lang w:val="en-US"/>
        </w:rPr>
        <w:object w:dxaOrig="4819" w:dyaOrig="720">
          <v:shape id="_x0000_i1033" type="#_x0000_t75" style="width:240.75pt;height:36.75pt" o:ole="">
            <v:imagedata r:id="rId44" o:title=""/>
          </v:shape>
          <o:OLEObject Type="Embed" ProgID="Equation.3" ShapeID="_x0000_i1033" DrawAspect="Content" ObjectID="_1490180783" r:id="rId45"/>
        </w:object>
      </w:r>
    </w:p>
    <w:p w:rsidR="00BF3798" w:rsidRPr="001E5A2B" w:rsidRDefault="00BF3798" w:rsidP="00BF3798">
      <w:pPr>
        <w:ind w:right="-164"/>
        <w:rPr>
          <w:lang w:val="en-US"/>
        </w:rPr>
      </w:pPr>
      <w:r w:rsidRPr="001E5A2B">
        <w:rPr>
          <w:lang w:val="en-US"/>
        </w:rPr>
        <w:t xml:space="preserve">That is, 11.77 turbidity units is the critical value beyond which the null hypothesis is rejected.  If </w:t>
      </w:r>
      <w:r w:rsidRPr="001E5A2B">
        <w:rPr>
          <w:i/>
          <w:lang w:val="en-US"/>
        </w:rPr>
        <w:t>H</w:t>
      </w:r>
      <w:r w:rsidRPr="001E5A2B">
        <w:rPr>
          <w:lang w:val="en-US"/>
        </w:rPr>
        <w:t xml:space="preserve">0 is true, for a sample size of 25, the chance that the sample mean will exceed 11.77 is 5%.  </w:t>
      </w:r>
    </w:p>
    <w:p w:rsidR="00BF3798" w:rsidRPr="001E5A2B" w:rsidRDefault="00BF3798" w:rsidP="00C24B62">
      <w:pPr>
        <w:ind w:right="-164"/>
        <w:rPr>
          <w:lang w:val="en-US"/>
        </w:rPr>
      </w:pPr>
      <w:r w:rsidRPr="001E5A2B">
        <w:rPr>
          <w:lang w:val="en-US"/>
        </w:rPr>
        <w:t xml:space="preserve">A Type II error arises when the actual turbidity is 12.0 (or greater), but the sample mean is less than 11.77.  For the case where </w:t>
      </w:r>
      <w:r w:rsidRPr="001E5A2B">
        <w:rPr>
          <w:i/>
          <w:lang w:val="en-US"/>
        </w:rPr>
        <w:t>n</w:t>
      </w:r>
      <w:r w:rsidR="00C24B62">
        <w:rPr>
          <w:lang w:val="en-US"/>
        </w:rPr>
        <w:t xml:space="preserve"> = 25, </w:t>
      </w:r>
    </w:p>
    <w:p w:rsidR="00BF3798" w:rsidRPr="001E5A2B" w:rsidRDefault="00BF3798" w:rsidP="00C24B62">
      <w:pPr>
        <w:ind w:right="-164" w:firstLine="720"/>
        <w:rPr>
          <w:lang w:val="en-US"/>
        </w:rPr>
      </w:pPr>
      <w:r w:rsidRPr="001E5A2B">
        <w:rPr>
          <w:position w:val="-34"/>
          <w:lang w:val="en-US"/>
        </w:rPr>
        <w:object w:dxaOrig="3580" w:dyaOrig="800">
          <v:shape id="_x0000_i1034" type="#_x0000_t75" style="width:179.25pt;height:39.75pt" o:ole="">
            <v:imagedata r:id="rId46" o:title=""/>
          </v:shape>
          <o:OLEObject Type="Embed" ProgID="Equation.3" ShapeID="_x0000_i1034" DrawAspect="Content" ObjectID="_1490180784" r:id="rId47"/>
        </w:object>
      </w:r>
    </w:p>
    <w:p w:rsidR="00BF3798" w:rsidRPr="001E5A2B" w:rsidRDefault="00BF3798" w:rsidP="00C24B62">
      <w:pPr>
        <w:ind w:right="-164" w:firstLine="720"/>
        <w:rPr>
          <w:lang w:val="en-US"/>
        </w:rPr>
      </w:pPr>
      <w:r w:rsidRPr="001E5A2B">
        <w:rPr>
          <w:position w:val="-34"/>
          <w:lang w:val="en-US"/>
        </w:rPr>
        <w:object w:dxaOrig="2200" w:dyaOrig="800">
          <v:shape id="_x0000_i1035" type="#_x0000_t75" style="width:110.25pt;height:39.75pt" o:ole="">
            <v:imagedata r:id="rId48" o:title=""/>
          </v:shape>
          <o:OLEObject Type="Embed" ProgID="Equation.3" ShapeID="_x0000_i1035" DrawAspect="Content" ObjectID="_1490180785" r:id="rId49"/>
        </w:object>
      </w:r>
    </w:p>
    <w:p w:rsidR="00BF3798" w:rsidRPr="001E5A2B" w:rsidRDefault="00BF3798" w:rsidP="00BF3798">
      <w:pPr>
        <w:ind w:right="-164" w:firstLine="720"/>
        <w:rPr>
          <w:lang w:val="en-US"/>
        </w:rPr>
      </w:pPr>
      <w:r w:rsidRPr="001E5A2B">
        <w:rPr>
          <w:lang w:val="en-US"/>
        </w:rPr>
        <w:t>= 0.44</w:t>
      </w:r>
    </w:p>
    <w:p w:rsidR="00BF3798" w:rsidRPr="001E5A2B" w:rsidRDefault="00BF3798" w:rsidP="00BF3798">
      <w:pPr>
        <w:ind w:right="-164"/>
        <w:rPr>
          <w:lang w:val="en-US"/>
        </w:rPr>
      </w:pPr>
      <w:r w:rsidRPr="001E5A2B">
        <w:rPr>
          <w:lang w:val="en-US"/>
        </w:rPr>
        <w:t xml:space="preserve">That is, for a true mean of 12.0 NTU, there is a 44% chance that the mean of a sample of 25 observations will be less than 11.77, leading to the (incorrect) inference that the dredging is benign. The power of the test is 1 - </w:t>
      </w:r>
      <w:r w:rsidRPr="001E5A2B">
        <w:rPr>
          <w:i/>
          <w:lang w:val="en-US"/>
        </w:rPr>
        <w:sym w:font="Symbol" w:char="F062"/>
      </w:r>
      <w:r w:rsidRPr="001E5A2B">
        <w:rPr>
          <w:i/>
          <w:lang w:val="en-US"/>
        </w:rPr>
        <w:t xml:space="preserve"> </w:t>
      </w:r>
      <w:r w:rsidR="00C24B62">
        <w:rPr>
          <w:lang w:val="en-US"/>
        </w:rPr>
        <w:t>= 0.56.</w:t>
      </w:r>
    </w:p>
    <w:p w:rsidR="00DA6C0E" w:rsidRDefault="00BF3798" w:rsidP="00BF3798">
      <w:pPr>
        <w:ind w:right="-164"/>
        <w:rPr>
          <w:lang w:val="en-US"/>
        </w:rPr>
      </w:pPr>
      <w:r w:rsidRPr="001E5A2B">
        <w:rPr>
          <w:lang w:val="en-US"/>
        </w:rPr>
        <w:t xml:space="preserve">If we increase the sample size to </w:t>
      </w:r>
      <w:r w:rsidRPr="001E5A2B">
        <w:rPr>
          <w:i/>
          <w:lang w:val="en-US"/>
        </w:rPr>
        <w:t>n</w:t>
      </w:r>
      <w:r w:rsidRPr="001E5A2B">
        <w:rPr>
          <w:lang w:val="en-US"/>
        </w:rPr>
        <w:t xml:space="preserve"> = 120, the power of the monitoring increases to 1 - </w:t>
      </w:r>
      <w:r w:rsidRPr="001E5A2B">
        <w:rPr>
          <w:i/>
          <w:lang w:val="en-US"/>
        </w:rPr>
        <w:sym w:font="Symbol" w:char="F062"/>
      </w:r>
      <w:r w:rsidRPr="001E5A2B">
        <w:rPr>
          <w:i/>
          <w:lang w:val="en-US"/>
        </w:rPr>
        <w:t xml:space="preserve"> </w:t>
      </w:r>
      <w:r w:rsidR="00C24B62">
        <w:rPr>
          <w:i/>
          <w:lang w:val="en-US"/>
        </w:rPr>
        <w:t xml:space="preserve"> </w:t>
      </w:r>
      <w:r w:rsidRPr="001E5A2B">
        <w:rPr>
          <w:lang w:val="en-US"/>
        </w:rPr>
        <w:t>=</w:t>
      </w:r>
      <w:r w:rsidR="00C24B62">
        <w:rPr>
          <w:lang w:val="en-US"/>
        </w:rPr>
        <w:t xml:space="preserve"> </w:t>
      </w:r>
      <w:r w:rsidRPr="001E5A2B">
        <w:rPr>
          <w:lang w:val="en-US"/>
        </w:rPr>
        <w:t xml:space="preserve">1 – 0.01 = 0.99. </w:t>
      </w:r>
      <w:r w:rsidRPr="00C24B62">
        <w:rPr>
          <w:lang w:val="en-US"/>
        </w:rPr>
        <w:t xml:space="preserve">Figure </w:t>
      </w:r>
      <w:r w:rsidR="00F548F8">
        <w:rPr>
          <w:lang w:val="en-US"/>
        </w:rPr>
        <w:t>10</w:t>
      </w:r>
      <w:r w:rsidRPr="00C24B62">
        <w:rPr>
          <w:lang w:val="en-US"/>
        </w:rPr>
        <w:t xml:space="preserve"> shows these outcomes graphically.</w:t>
      </w:r>
      <w:r w:rsidRPr="001E5A2B">
        <w:rPr>
          <w:lang w:val="en-US"/>
        </w:rPr>
        <w:t xml:space="preserve"> </w:t>
      </w:r>
    </w:p>
    <w:p w:rsidR="00335F2C" w:rsidRDefault="00335F2C" w:rsidP="00BF3798">
      <w:pPr>
        <w:ind w:right="-164"/>
        <w:rPr>
          <w:lang w:val="en-US"/>
        </w:rPr>
      </w:pPr>
    </w:p>
    <w:p w:rsidR="00335F2C" w:rsidRDefault="00335F2C" w:rsidP="00335F2C">
      <w:pPr>
        <w:pStyle w:val="Heading4"/>
        <w:spacing w:after="240"/>
        <w:rPr>
          <w:lang w:val="en-US"/>
        </w:rPr>
      </w:pPr>
      <w:r>
        <w:rPr>
          <w:lang w:val="en-US"/>
        </w:rPr>
        <w:t>W</w:t>
      </w:r>
      <w:r w:rsidRPr="001E5A2B">
        <w:rPr>
          <w:lang w:val="en-US"/>
        </w:rPr>
        <w:t xml:space="preserve">hat is acceptable power?  </w:t>
      </w:r>
    </w:p>
    <w:p w:rsidR="00335F2C" w:rsidRPr="001E5A2B" w:rsidRDefault="00335F2C" w:rsidP="00335F2C">
      <w:pPr>
        <w:ind w:right="-164"/>
        <w:rPr>
          <w:lang w:val="en-US"/>
        </w:rPr>
      </w:pPr>
      <w:r w:rsidRPr="001E5A2B">
        <w:rPr>
          <w:lang w:val="en-US"/>
        </w:rPr>
        <w:t>Community stakeholders would much prefer turbidity monitoring to have 99% power than 56% power.  That is, they may regard a 44% chance of inferring the new dredging regime is no threat to inshore biota when in fact it is as intolerable.  A 1% chance of such an outcom</w:t>
      </w:r>
      <w:r>
        <w:rPr>
          <w:lang w:val="en-US"/>
        </w:rPr>
        <w:t xml:space="preserve">e would be far more palatable. </w:t>
      </w:r>
    </w:p>
    <w:p w:rsidR="00335F2C" w:rsidRPr="0021673C" w:rsidRDefault="00335F2C" w:rsidP="00335F2C">
      <w:pPr>
        <w:ind w:right="-164"/>
        <w:rPr>
          <w:lang w:val="en-US"/>
        </w:rPr>
      </w:pPr>
      <w:r w:rsidRPr="0021673C">
        <w:rPr>
          <w:lang w:val="en-US"/>
        </w:rPr>
        <w:t>The power of any monitoring program is proportional to the effect size to be detected (</w:t>
      </w:r>
      <w:r w:rsidRPr="0021673C">
        <w:rPr>
          <w:i/>
          <w:lang w:val="en-US"/>
        </w:rPr>
        <w:t>ES</w:t>
      </w:r>
      <w:r w:rsidRPr="0021673C">
        <w:rPr>
          <w:lang w:val="en-US"/>
        </w:rPr>
        <w:t>), the Type I error rate (</w:t>
      </w:r>
      <w:r w:rsidRPr="0021673C">
        <w:rPr>
          <w:i/>
          <w:lang w:val="en-US"/>
        </w:rPr>
        <w:sym w:font="Symbol" w:char="F061"/>
      </w:r>
      <w:r w:rsidRPr="0021673C">
        <w:rPr>
          <w:lang w:val="en-US"/>
        </w:rPr>
        <w:t>), the square root of the sample size (</w:t>
      </w:r>
      <w:r w:rsidRPr="0021673C">
        <w:rPr>
          <w:i/>
          <w:lang w:val="en-US"/>
        </w:rPr>
        <w:t>n</w:t>
      </w:r>
      <w:r w:rsidRPr="0021673C">
        <w:rPr>
          <w:lang w:val="en-US"/>
        </w:rPr>
        <w:t>), and the magnitude of variability of the population from which samples are taken (</w:t>
      </w:r>
      <w:r w:rsidRPr="0021673C">
        <w:rPr>
          <w:position w:val="-6"/>
          <w:lang w:val="en-US"/>
        </w:rPr>
        <w:object w:dxaOrig="240" w:dyaOrig="220">
          <v:shape id="_x0000_i1036" type="#_x0000_t75" style="width:12pt;height:11.25pt" o:ole="">
            <v:imagedata r:id="rId50" o:title=""/>
          </v:shape>
          <o:OLEObject Type="Embed" ProgID="Equation.3" ShapeID="_x0000_i1036" DrawAspect="Content" ObjectID="_1490180786" r:id="rId51"/>
        </w:object>
      </w:r>
      <w:r w:rsidRPr="0021673C">
        <w:rPr>
          <w:lang w:val="en-US"/>
        </w:rPr>
        <w:t>) (</w:t>
      </w:r>
      <w:proofErr w:type="spellStart"/>
      <w:r w:rsidRPr="0021673C">
        <w:rPr>
          <w:lang w:val="en-US"/>
        </w:rPr>
        <w:t>Fairweather</w:t>
      </w:r>
      <w:proofErr w:type="spellEnd"/>
      <w:r w:rsidRPr="0021673C">
        <w:rPr>
          <w:lang w:val="en-US"/>
        </w:rPr>
        <w:t xml:space="preserve"> 1991).  That is, </w:t>
      </w:r>
    </w:p>
    <w:p w:rsidR="00335F2C" w:rsidRPr="0021673C" w:rsidRDefault="00335F2C" w:rsidP="00335F2C">
      <w:pPr>
        <w:ind w:right="-164"/>
        <w:rPr>
          <w:lang w:val="en-US"/>
        </w:rPr>
      </w:pPr>
      <w:r w:rsidRPr="0021673C">
        <w:rPr>
          <w:lang w:val="en-US"/>
        </w:rPr>
        <w:tab/>
      </w:r>
      <w:r w:rsidRPr="0021673C">
        <w:rPr>
          <w:position w:val="-24"/>
          <w:lang w:val="en-US"/>
        </w:rPr>
        <w:object w:dxaOrig="1820" w:dyaOrig="680">
          <v:shape id="_x0000_i1037" type="#_x0000_t75" style="width:90pt;height:33.75pt" o:ole="">
            <v:imagedata r:id="rId52" o:title=""/>
          </v:shape>
          <o:OLEObject Type="Embed" ProgID="Equation.3" ShapeID="_x0000_i1037" DrawAspect="Content" ObjectID="_1490180787" r:id="rId53"/>
        </w:object>
      </w:r>
      <w:r w:rsidRPr="0021673C">
        <w:rPr>
          <w:lang w:val="en-US"/>
        </w:rPr>
        <w:t>.</w:t>
      </w:r>
    </w:p>
    <w:p w:rsidR="00335F2C" w:rsidRDefault="00335F2C" w:rsidP="00335F2C">
      <w:pPr>
        <w:ind w:right="-164"/>
        <w:rPr>
          <w:lang w:val="en-US"/>
        </w:rPr>
      </w:pPr>
      <w:r w:rsidRPr="0021673C">
        <w:rPr>
          <w:lang w:val="en-US"/>
        </w:rPr>
        <w:t xml:space="preserve">In most circumstances, the most effective options available for increasing power are to increase sample size or accept a higher Type I error rate.  Improved measurement practices or selection of more informative indicators (see Box </w:t>
      </w:r>
      <w:r>
        <w:rPr>
          <w:lang w:val="en-US"/>
        </w:rPr>
        <w:t>2</w:t>
      </w:r>
      <w:r w:rsidRPr="0021673C">
        <w:rPr>
          <w:lang w:val="en-US"/>
        </w:rPr>
        <w:t xml:space="preserve">) may also contribute through reducing variability associated with random error.  As with the specification of an effect size, the question of what is an acceptable error rate for Type I and Type II errors is not a decision that should be left to a statistician or technician.  It involves judgments from managers and stakeholders on the extent to which they can tolerate false </w:t>
      </w:r>
      <w:r>
        <w:rPr>
          <w:lang w:val="en-US"/>
        </w:rPr>
        <w:t>success</w:t>
      </w:r>
      <w:r w:rsidRPr="0021673C">
        <w:rPr>
          <w:lang w:val="en-US"/>
        </w:rPr>
        <w:t xml:space="preserve">, false </w:t>
      </w:r>
      <w:r>
        <w:rPr>
          <w:lang w:val="en-US"/>
        </w:rPr>
        <w:t>failure</w:t>
      </w:r>
      <w:r w:rsidRPr="0021673C">
        <w:rPr>
          <w:lang w:val="en-US"/>
        </w:rPr>
        <w:t>, false alarmism or a false sense of security.</w:t>
      </w:r>
    </w:p>
    <w:p w:rsidR="00BF3798" w:rsidRPr="001E5A2B" w:rsidRDefault="00BF3798" w:rsidP="00BF3798">
      <w:pPr>
        <w:ind w:right="-164"/>
        <w:rPr>
          <w:lang w:val="en-US"/>
        </w:rPr>
      </w:pPr>
    </w:p>
    <w:p w:rsidR="00BF3798" w:rsidRPr="00FC7E87" w:rsidRDefault="00BF3798" w:rsidP="00FC7E87">
      <w:pPr>
        <w:ind w:right="-164"/>
        <w:jc w:val="center"/>
        <w:rPr>
          <w:lang w:val="en-US"/>
        </w:rPr>
      </w:pPr>
      <w:r w:rsidRPr="00FC7E87">
        <w:rPr>
          <w:lang w:val="en-US"/>
        </w:rPr>
        <w:t xml:space="preserve">(a) Case 1: Turbidity, </w:t>
      </w:r>
      <w:r w:rsidRPr="00FC7E87">
        <w:rPr>
          <w:i/>
          <w:lang w:val="en-US"/>
        </w:rPr>
        <w:t>n</w:t>
      </w:r>
      <w:r w:rsidRPr="00FC7E87">
        <w:rPr>
          <w:lang w:val="en-US"/>
        </w:rPr>
        <w:t xml:space="preserve"> = 25</w:t>
      </w:r>
    </w:p>
    <w:p w:rsidR="00BF3798" w:rsidRPr="001E5A2B" w:rsidRDefault="00BF3798" w:rsidP="00FC7E87">
      <w:pPr>
        <w:ind w:right="-164"/>
        <w:jc w:val="center"/>
        <w:rPr>
          <w:lang w:val="en-US"/>
        </w:rPr>
      </w:pPr>
      <w:r>
        <w:rPr>
          <w:noProof/>
          <w:lang w:eastAsia="en-AU"/>
        </w:rPr>
        <w:drawing>
          <wp:inline distT="0" distB="0" distL="0" distR="0">
            <wp:extent cx="2619375" cy="1981200"/>
            <wp:effectExtent l="0" t="0" r="9525" b="0"/>
            <wp:docPr id="10" name="Picture 10" descr="turb_n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rb_n25"/>
                    <pic:cNvPicPr>
                      <a:picLocks noChangeAspect="1" noChangeArrowheads="1"/>
                    </pic:cNvPicPr>
                  </pic:nvPicPr>
                  <pic:blipFill>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1981200"/>
                    </a:xfrm>
                    <a:prstGeom prst="rect">
                      <a:avLst/>
                    </a:prstGeom>
                    <a:noFill/>
                    <a:ln>
                      <a:noFill/>
                    </a:ln>
                  </pic:spPr>
                </pic:pic>
              </a:graphicData>
            </a:graphic>
          </wp:inline>
        </w:drawing>
      </w:r>
    </w:p>
    <w:p w:rsidR="00BF3798" w:rsidRPr="00FC7E87" w:rsidRDefault="00BF3798" w:rsidP="00FC7E87">
      <w:pPr>
        <w:ind w:right="-164"/>
        <w:jc w:val="center"/>
        <w:rPr>
          <w:sz w:val="20"/>
          <w:szCs w:val="20"/>
          <w:lang w:val="en-US"/>
        </w:rPr>
      </w:pPr>
      <w:r w:rsidRPr="00FC7E87">
        <w:rPr>
          <w:sz w:val="20"/>
          <w:szCs w:val="20"/>
          <w:lang w:val="en-US"/>
        </w:rPr>
        <w:t>(b) Case 2: Turbidity, n = 120</w:t>
      </w:r>
    </w:p>
    <w:p w:rsidR="00BF3798" w:rsidRPr="001E5A2B" w:rsidRDefault="00BF3798" w:rsidP="00FC7E87">
      <w:pPr>
        <w:ind w:right="-164"/>
        <w:jc w:val="center"/>
        <w:rPr>
          <w:b/>
          <w:lang w:val="en-US"/>
        </w:rPr>
      </w:pPr>
      <w:r>
        <w:rPr>
          <w:noProof/>
          <w:lang w:eastAsia="en-AU"/>
        </w:rPr>
        <w:drawing>
          <wp:inline distT="0" distB="0" distL="0" distR="0">
            <wp:extent cx="2486025" cy="1876425"/>
            <wp:effectExtent l="0" t="0" r="9525" b="9525"/>
            <wp:docPr id="9" name="Picture 9" descr="turb_n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rb_n120"/>
                    <pic:cNvPicPr>
                      <a:picLocks noChangeAspect="1" noChangeArrowheads="1"/>
                    </pic:cNvPicPr>
                  </pic:nvPicPr>
                  <pic:blipFill>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1876425"/>
                    </a:xfrm>
                    <a:prstGeom prst="rect">
                      <a:avLst/>
                    </a:prstGeom>
                    <a:noFill/>
                    <a:ln>
                      <a:noFill/>
                    </a:ln>
                  </pic:spPr>
                </pic:pic>
              </a:graphicData>
            </a:graphic>
          </wp:inline>
        </w:drawing>
      </w:r>
    </w:p>
    <w:p w:rsidR="00BF3798" w:rsidRDefault="00BF3798" w:rsidP="00BF3798">
      <w:pPr>
        <w:ind w:right="-164"/>
        <w:rPr>
          <w:sz w:val="20"/>
          <w:szCs w:val="20"/>
          <w:lang w:val="en-US"/>
        </w:rPr>
      </w:pPr>
      <w:proofErr w:type="gramStart"/>
      <w:r w:rsidRPr="0021673C">
        <w:rPr>
          <w:b/>
          <w:sz w:val="20"/>
          <w:szCs w:val="20"/>
          <w:lang w:val="en-US"/>
        </w:rPr>
        <w:t xml:space="preserve">Figure </w:t>
      </w:r>
      <w:r w:rsidR="00DA6C0E">
        <w:rPr>
          <w:b/>
          <w:sz w:val="20"/>
          <w:szCs w:val="20"/>
          <w:lang w:val="en-US"/>
        </w:rPr>
        <w:t>10</w:t>
      </w:r>
      <w:r w:rsidRPr="0021673C">
        <w:rPr>
          <w:sz w:val="20"/>
          <w:szCs w:val="20"/>
          <w:lang w:val="en-US"/>
        </w:rPr>
        <w:t>.</w:t>
      </w:r>
      <w:proofErr w:type="gramEnd"/>
      <w:r w:rsidRPr="0021673C">
        <w:rPr>
          <w:sz w:val="20"/>
          <w:szCs w:val="20"/>
          <w:lang w:val="en-US"/>
        </w:rPr>
        <w:t xml:space="preserve">  </w:t>
      </w:r>
      <w:proofErr w:type="gramStart"/>
      <w:r w:rsidRPr="0021673C">
        <w:rPr>
          <w:sz w:val="20"/>
          <w:szCs w:val="20"/>
          <w:lang w:val="en-US"/>
        </w:rPr>
        <w:t>Results of power analysis for two sampling intensities measuring turbidity.</w:t>
      </w:r>
      <w:proofErr w:type="gramEnd"/>
      <w:r w:rsidRPr="0021673C">
        <w:rPr>
          <w:sz w:val="20"/>
          <w:szCs w:val="20"/>
          <w:lang w:val="en-US"/>
        </w:rPr>
        <w:t xml:space="preserve">  A Type I error rate of </w:t>
      </w:r>
      <w:r w:rsidRPr="0021673C">
        <w:rPr>
          <w:i/>
          <w:sz w:val="20"/>
          <w:szCs w:val="20"/>
          <w:lang w:val="en-US"/>
        </w:rPr>
        <w:sym w:font="Symbol" w:char="F061"/>
      </w:r>
      <w:r w:rsidRPr="0021673C">
        <w:rPr>
          <w:i/>
          <w:sz w:val="20"/>
          <w:szCs w:val="20"/>
          <w:lang w:val="en-US"/>
        </w:rPr>
        <w:t xml:space="preserve"> </w:t>
      </w:r>
      <w:r w:rsidRPr="0021673C">
        <w:rPr>
          <w:sz w:val="20"/>
          <w:szCs w:val="20"/>
          <w:lang w:val="en-US"/>
        </w:rPr>
        <w:t>= 0.05 has been specified (shown</w:t>
      </w:r>
      <w:r w:rsidRPr="00C24B62">
        <w:rPr>
          <w:sz w:val="20"/>
          <w:szCs w:val="20"/>
          <w:lang w:val="en-US"/>
        </w:rPr>
        <w:t xml:space="preserve"> in red) in each case.  Blue areas correspond to the probability of a Type II error, conditional on the alternative hypothesis being true.  Curves show distributions of means for turbidity drawn from populations with a standard deviation of 7.8.  Smaller sample sizes are characterized by flatter curves, leading to relatively higher chances of committing Type II er</w:t>
      </w:r>
      <w:r w:rsidR="00C24B62">
        <w:rPr>
          <w:sz w:val="20"/>
          <w:szCs w:val="20"/>
          <w:lang w:val="en-US"/>
        </w:rPr>
        <w:t>rors.</w:t>
      </w:r>
    </w:p>
    <w:p w:rsidR="0050150B" w:rsidRPr="00B041AC" w:rsidRDefault="0050150B" w:rsidP="0050150B">
      <w:pPr>
        <w:ind w:right="-164"/>
        <w:rPr>
          <w:lang w:val="en-US"/>
        </w:rPr>
      </w:pPr>
    </w:p>
    <w:p w:rsidR="0050150B" w:rsidRDefault="0050150B" w:rsidP="0050150B">
      <w:pPr>
        <w:pBdr>
          <w:top w:val="single" w:sz="4" w:space="1" w:color="auto"/>
          <w:left w:val="single" w:sz="4" w:space="4" w:color="auto"/>
          <w:bottom w:val="single" w:sz="4" w:space="1" w:color="auto"/>
          <w:right w:val="single" w:sz="4" w:space="4" w:color="auto"/>
        </w:pBdr>
        <w:rPr>
          <w:b/>
          <w:i/>
        </w:rPr>
      </w:pPr>
      <w:r w:rsidRPr="00A0686B">
        <w:rPr>
          <w:b/>
          <w:i/>
        </w:rPr>
        <w:t xml:space="preserve">Box </w:t>
      </w:r>
      <w:r>
        <w:rPr>
          <w:b/>
          <w:i/>
        </w:rPr>
        <w:t>2.</w:t>
      </w:r>
      <w:r w:rsidRPr="00A0686B">
        <w:rPr>
          <w:b/>
          <w:i/>
        </w:rPr>
        <w:t xml:space="preserve"> I</w:t>
      </w:r>
      <w:r>
        <w:rPr>
          <w:b/>
          <w:i/>
        </w:rPr>
        <w:t>nnovation in i</w:t>
      </w:r>
      <w:r w:rsidRPr="00A0686B">
        <w:rPr>
          <w:b/>
          <w:i/>
        </w:rPr>
        <w:t>ndicators and early warning</w:t>
      </w:r>
    </w:p>
    <w:p w:rsidR="0050150B" w:rsidRPr="00301514" w:rsidRDefault="0050150B" w:rsidP="0050150B">
      <w:pPr>
        <w:pBdr>
          <w:top w:val="single" w:sz="4" w:space="1" w:color="auto"/>
          <w:left w:val="single" w:sz="4" w:space="4" w:color="auto"/>
          <w:bottom w:val="single" w:sz="4" w:space="1" w:color="auto"/>
          <w:right w:val="single" w:sz="4" w:space="4" w:color="auto"/>
        </w:pBdr>
      </w:pPr>
      <w:r w:rsidRPr="00301514">
        <w:t xml:space="preserve">There are many potential indicators of resilience and vulnerability within a Driver/Activity, Pressure, State, Impact &amp; Response (DPSIR) framework. </w:t>
      </w:r>
      <w:r>
        <w:t xml:space="preserve"> </w:t>
      </w:r>
      <w:r>
        <w:rPr>
          <w:lang w:eastAsia="zh-CN"/>
        </w:rPr>
        <w:t xml:space="preserve">An issue with all environmental </w:t>
      </w:r>
      <w:r w:rsidRPr="00745DA6">
        <w:rPr>
          <w:lang w:eastAsia="zh-CN"/>
        </w:rPr>
        <w:t>monitoring</w:t>
      </w:r>
      <w:r>
        <w:rPr>
          <w:lang w:eastAsia="zh-CN"/>
        </w:rPr>
        <w:t xml:space="preserve"> programs is that whilst </w:t>
      </w:r>
      <w:r w:rsidRPr="00745DA6">
        <w:rPr>
          <w:lang w:eastAsia="zh-CN"/>
        </w:rPr>
        <w:t>the temporal dynamics of an indicator</w:t>
      </w:r>
      <w:r>
        <w:rPr>
          <w:lang w:eastAsia="zh-CN"/>
        </w:rPr>
        <w:t xml:space="preserve"> can be revealed</w:t>
      </w:r>
      <w:r w:rsidRPr="00745DA6">
        <w:rPr>
          <w:lang w:eastAsia="zh-CN"/>
        </w:rPr>
        <w:t xml:space="preserve">, </w:t>
      </w:r>
      <w:r>
        <w:rPr>
          <w:lang w:eastAsia="zh-CN"/>
        </w:rPr>
        <w:t>monitoring data will never</w:t>
      </w:r>
      <w:r w:rsidRPr="00745DA6">
        <w:rPr>
          <w:lang w:eastAsia="zh-CN"/>
        </w:rPr>
        <w:t xml:space="preserve"> provide a complete story of cause-and-effect in relation to </w:t>
      </w:r>
      <w:r>
        <w:rPr>
          <w:lang w:eastAsia="zh-CN"/>
        </w:rPr>
        <w:t xml:space="preserve">processes that drive system </w:t>
      </w:r>
      <w:r w:rsidRPr="00745DA6">
        <w:rPr>
          <w:lang w:eastAsia="zh-CN"/>
        </w:rPr>
        <w:t>dynamics (</w:t>
      </w:r>
      <w:r w:rsidRPr="00262665">
        <w:rPr>
          <w:lang w:eastAsia="zh-CN"/>
        </w:rPr>
        <w:t xml:space="preserve">Nichols </w:t>
      </w:r>
      <w:r>
        <w:rPr>
          <w:lang w:eastAsia="zh-CN"/>
        </w:rPr>
        <w:t xml:space="preserve">and Williams 2006; </w:t>
      </w:r>
      <w:proofErr w:type="spellStart"/>
      <w:r>
        <w:rPr>
          <w:lang w:eastAsia="zh-CN"/>
        </w:rPr>
        <w:t>Magurran</w:t>
      </w:r>
      <w:proofErr w:type="spellEnd"/>
      <w:r>
        <w:rPr>
          <w:lang w:eastAsia="zh-CN"/>
        </w:rPr>
        <w:t xml:space="preserve"> et al. 2010; Sergeant et al. 2012</w:t>
      </w:r>
      <w:r w:rsidRPr="00745DA6">
        <w:rPr>
          <w:lang w:eastAsia="zh-CN"/>
        </w:rPr>
        <w:t>).</w:t>
      </w:r>
      <w:r>
        <w:rPr>
          <w:lang w:eastAsia="zh-CN"/>
        </w:rPr>
        <w:t xml:space="preserve">  </w:t>
      </w:r>
      <w:r w:rsidRPr="00301514">
        <w:t xml:space="preserve">Ideally, the selection of indicators would consider the </w:t>
      </w:r>
      <w:r>
        <w:t>need</w:t>
      </w:r>
      <w:r w:rsidRPr="00301514">
        <w:t xml:space="preserve"> for early warning, including diagnostics and attribution of the causes of ecological change – specifically land use, coastal developments, dredging, spoil dumping and climate change (including cyclones). From a regulator’s viewpoint, early warning systems are highly desira</w:t>
      </w:r>
      <w:r>
        <w:t>bl</w:t>
      </w:r>
      <w:r w:rsidRPr="00301514">
        <w:t>e. But unless the sy</w:t>
      </w:r>
      <w:r>
        <w:t>s</w:t>
      </w:r>
      <w:r w:rsidRPr="00301514">
        <w:t>tem is without error, early warning implies elevated risks of false alarms and their attendant costs.</w:t>
      </w:r>
      <w:r>
        <w:t xml:space="preserve">  These issues are prominent in assessment of new diagnostic tools in human health </w:t>
      </w:r>
      <w:r>
        <w:lastRenderedPageBreak/>
        <w:t>(</w:t>
      </w:r>
      <w:proofErr w:type="spellStart"/>
      <w:r>
        <w:t>Banoo</w:t>
      </w:r>
      <w:proofErr w:type="spellEnd"/>
      <w:r>
        <w:t xml:space="preserve"> et al. 2008) and environmental monitoring might usefully apply similar protocols for assessing the merit of innovation. </w:t>
      </w:r>
    </w:p>
    <w:p w:rsidR="0050150B" w:rsidRDefault="0050150B" w:rsidP="0050150B">
      <w:pPr>
        <w:pBdr>
          <w:top w:val="single" w:sz="4" w:space="1" w:color="auto"/>
          <w:left w:val="single" w:sz="4" w:space="4" w:color="auto"/>
          <w:bottom w:val="single" w:sz="4" w:space="1" w:color="auto"/>
          <w:right w:val="single" w:sz="4" w:space="4" w:color="auto"/>
        </w:pBdr>
      </w:pPr>
      <w:r>
        <w:t>Substantial additional management benefits can be gained from ecological and environmental monitoring if ecosystem health and resilience can be described from the collected data. The distribution and abundance of indicator species or the expression of biomarkers of health (measured in tissue samples collected) have considerable potential to deliver this outcome. When integrated with ecological and environmental variables, these data could quantify ecosystem health and the spatial, temporal and management drivers of resilience (e.g., variation in tolerance, recovery, connectivity) (McClanahan et al. 2012). Indicators and biomarkers can be used in integrated monitoring to quantify health and stress from specific and compound pressures/activities, to causally link indicators and biomarkers to ecosystem health and resilience, and to understand stress thresholds and develop early warning signals of poor health.</w:t>
      </w:r>
    </w:p>
    <w:p w:rsidR="0050150B" w:rsidRDefault="0050150B" w:rsidP="0050150B">
      <w:pPr>
        <w:pBdr>
          <w:top w:val="single" w:sz="4" w:space="1" w:color="auto"/>
          <w:left w:val="single" w:sz="4" w:space="4" w:color="auto"/>
          <w:bottom w:val="single" w:sz="4" w:space="1" w:color="auto"/>
          <w:right w:val="single" w:sz="4" w:space="4" w:color="auto"/>
        </w:pBdr>
      </w:pPr>
      <w:r>
        <w:t>Below we outline various classes of indicators.  All appear worthy of further exploration.  But before they are routinely used, analysts will need to characterise their precision and accuracy and managers need to consider the costs involved in acquiring data from novel lines of evidence.</w:t>
      </w:r>
    </w:p>
    <w:p w:rsidR="0050150B" w:rsidRPr="00821005" w:rsidRDefault="0050150B" w:rsidP="0050150B">
      <w:pPr>
        <w:pBdr>
          <w:top w:val="single" w:sz="4" w:space="1" w:color="auto"/>
          <w:left w:val="single" w:sz="4" w:space="4" w:color="auto"/>
          <w:bottom w:val="single" w:sz="4" w:space="1" w:color="auto"/>
          <w:right w:val="single" w:sz="4" w:space="4" w:color="auto"/>
        </w:pBdr>
        <w:spacing w:after="0"/>
        <w:rPr>
          <w:b/>
          <w:i/>
        </w:rPr>
      </w:pPr>
      <w:r w:rsidRPr="00821005">
        <w:rPr>
          <w:b/>
          <w:i/>
        </w:rPr>
        <w:t>Indicato</w:t>
      </w:r>
      <w:r>
        <w:rPr>
          <w:b/>
          <w:i/>
        </w:rPr>
        <w:t>r species and their appearance</w:t>
      </w:r>
    </w:p>
    <w:p w:rsidR="0050150B" w:rsidRDefault="0050150B" w:rsidP="0050150B">
      <w:pPr>
        <w:pBdr>
          <w:top w:val="single" w:sz="4" w:space="1" w:color="auto"/>
          <w:left w:val="single" w:sz="4" w:space="4" w:color="auto"/>
          <w:bottom w:val="single" w:sz="4" w:space="1" w:color="auto"/>
          <w:right w:val="single" w:sz="4" w:space="4" w:color="auto"/>
        </w:pBdr>
      </w:pPr>
      <w:r>
        <w:t>The abundance and macroscopic health status of certain species have been linked with ecological processes and ecosystem values that underpin resilience (Maynard et al. 2010) and a number of indicator species are currently monitored. These include amongst others dugong, seagrass, benthic cover and community structure of coral reefs (Anthony et al 201</w:t>
      </w:r>
      <w:r w:rsidR="00085951">
        <w:t>3</w:t>
      </w:r>
      <w:r>
        <w:t>). Coral cover is the most widely quoted reef health indicator (</w:t>
      </w:r>
      <w:proofErr w:type="spellStart"/>
      <w:r>
        <w:t>De’ath</w:t>
      </w:r>
      <w:proofErr w:type="spellEnd"/>
      <w:r>
        <w:t xml:space="preserve"> et al. 2012), but the cover of benthic </w:t>
      </w:r>
      <w:proofErr w:type="spellStart"/>
      <w:r>
        <w:t>macroalgae</w:t>
      </w:r>
      <w:proofErr w:type="spellEnd"/>
      <w:r>
        <w:t xml:space="preserve"> and </w:t>
      </w:r>
      <w:proofErr w:type="spellStart"/>
      <w:r>
        <w:t>crustose</w:t>
      </w:r>
      <w:proofErr w:type="spellEnd"/>
      <w:r>
        <w:t xml:space="preserve"> coralline algae are also important for corals in terms of competition for sp</w:t>
      </w:r>
      <w:r w:rsidR="00716331">
        <w:t xml:space="preserve">ace and coral recruitment (e.g. </w:t>
      </w:r>
      <w:r>
        <w:t>Harrington</w:t>
      </w:r>
      <w:r w:rsidR="00BB0083">
        <w:t xml:space="preserve"> et al. 2004; Cooper et al. 2008</w:t>
      </w:r>
      <w:r>
        <w:t>). The abundance of herbivorous fishes is also essential to maintain benthic diversity and avoid algal shifts (e.g., Hughes et al 2007).</w:t>
      </w:r>
    </w:p>
    <w:p w:rsidR="0050150B" w:rsidRPr="00BB0083" w:rsidRDefault="0050150B" w:rsidP="0050150B">
      <w:pPr>
        <w:pBdr>
          <w:top w:val="single" w:sz="4" w:space="1" w:color="auto"/>
          <w:left w:val="single" w:sz="4" w:space="4" w:color="auto"/>
          <w:bottom w:val="single" w:sz="4" w:space="1" w:color="auto"/>
          <w:right w:val="single" w:sz="4" w:space="4" w:color="auto"/>
        </w:pBdr>
      </w:pPr>
      <w:r>
        <w:t xml:space="preserve">Coral health indicators can also be the visual appearance of indicator species and include bleaching (Marshall and </w:t>
      </w:r>
      <w:proofErr w:type="spellStart"/>
      <w:r>
        <w:t>Schuttenberg</w:t>
      </w:r>
      <w:proofErr w:type="spellEnd"/>
      <w:r>
        <w:t xml:space="preserve"> 2006), disease prevalence (McClanahan et al. 2012) and partial mortality (Hughes 1984</w:t>
      </w:r>
      <w:r w:rsidRPr="00BB0083">
        <w:t xml:space="preserve">; </w:t>
      </w:r>
      <w:r w:rsidR="00BB0083" w:rsidRPr="00BB0083">
        <w:t>Cooper et al. 2008</w:t>
      </w:r>
      <w:r w:rsidRPr="00BB0083">
        <w:t xml:space="preserve">). These measures all indicate poor health and have been linked with reduced fecundity and whole colony mortality (Baird and Marshall 2002; Cooper et al. 2009). More recently, colour and colony brightness have been used as visual proxies for the abundance of </w:t>
      </w:r>
      <w:proofErr w:type="spellStart"/>
      <w:r w:rsidRPr="00BB0083">
        <w:t>photosymbionts</w:t>
      </w:r>
      <w:proofErr w:type="spellEnd"/>
      <w:r w:rsidRPr="00BB0083">
        <w:t xml:space="preserve"> and fluorescent proteins in corals tissues. These biomarkers have been linked to coral growth and bleaching tolerance (Cooper et a</w:t>
      </w:r>
      <w:r w:rsidR="00BB0083" w:rsidRPr="00BB0083">
        <w:t>l. 2008</w:t>
      </w:r>
      <w:r w:rsidRPr="00BB0083">
        <w:t>) but have not yet been widely applied to ecological monitoring.</w:t>
      </w:r>
    </w:p>
    <w:p w:rsidR="0050150B" w:rsidRPr="00BB0083" w:rsidRDefault="0050150B" w:rsidP="0050150B">
      <w:pPr>
        <w:pBdr>
          <w:top w:val="single" w:sz="4" w:space="1" w:color="auto"/>
          <w:left w:val="single" w:sz="4" w:space="4" w:color="auto"/>
          <w:bottom w:val="single" w:sz="4" w:space="1" w:color="auto"/>
          <w:right w:val="single" w:sz="4" w:space="4" w:color="auto"/>
        </w:pBdr>
        <w:spacing w:after="0"/>
        <w:rPr>
          <w:b/>
          <w:i/>
        </w:rPr>
      </w:pPr>
      <w:r w:rsidRPr="00BB0083">
        <w:rPr>
          <w:b/>
          <w:i/>
        </w:rPr>
        <w:t>Biomarkers</w:t>
      </w:r>
    </w:p>
    <w:p w:rsidR="0050150B" w:rsidRPr="00BB0083" w:rsidRDefault="0050150B" w:rsidP="0050150B">
      <w:pPr>
        <w:pBdr>
          <w:top w:val="single" w:sz="4" w:space="1" w:color="auto"/>
          <w:left w:val="single" w:sz="4" w:space="4" w:color="auto"/>
          <w:bottom w:val="single" w:sz="4" w:space="1" w:color="auto"/>
          <w:right w:val="single" w:sz="4" w:space="4" w:color="auto"/>
        </w:pBdr>
        <w:rPr>
          <w:b/>
          <w:i/>
        </w:rPr>
      </w:pPr>
      <w:r w:rsidRPr="00BB0083">
        <w:t xml:space="preserve">Biomarkers refer to physiological, biochemical and molecular states of organisms that are diagnostic of exposure to single or compound stressors, susceptibility and resilience (e.g., resistance to stress, recovery from disturbance). The development of biomarkers must involve not only an attribution of response to specific and compound stressors but also a demonstration of the linkages between physiological states and health and resilience traits. </w:t>
      </w:r>
    </w:p>
    <w:p w:rsidR="0050150B" w:rsidRDefault="0050150B" w:rsidP="0050150B">
      <w:pPr>
        <w:pBdr>
          <w:top w:val="single" w:sz="4" w:space="1" w:color="auto"/>
          <w:left w:val="single" w:sz="4" w:space="4" w:color="auto"/>
          <w:bottom w:val="single" w:sz="4" w:space="1" w:color="auto"/>
          <w:right w:val="single" w:sz="4" w:space="4" w:color="auto"/>
        </w:pBdr>
      </w:pPr>
      <w:r w:rsidRPr="00BB0083">
        <w:t xml:space="preserve">A wealth of knowledge of the physiology and stress tolerance of target species (e.g., coral and sea grasses) provides a strong foundation for biomarker research (Brown and </w:t>
      </w:r>
      <w:proofErr w:type="spellStart"/>
      <w:r w:rsidRPr="00BB0083">
        <w:t>Cossins</w:t>
      </w:r>
      <w:proofErr w:type="spellEnd"/>
      <w:r w:rsidRPr="00BB0083">
        <w:t xml:space="preserve"> 2011). </w:t>
      </w:r>
      <w:r w:rsidR="00BB0083" w:rsidRPr="00BB0083">
        <w:t>Cooper et al (2008</w:t>
      </w:r>
      <w:r w:rsidRPr="00BB0083">
        <w:t xml:space="preserve">) reviewed indicators of reef health and biomarkers for coral health in the context of water </w:t>
      </w:r>
      <w:r w:rsidRPr="00BB0083">
        <w:lastRenderedPageBreak/>
        <w:t xml:space="preserve">quality and recommended markers associated with </w:t>
      </w:r>
      <w:proofErr w:type="spellStart"/>
      <w:r w:rsidRPr="00BB0083">
        <w:t>energetics</w:t>
      </w:r>
      <w:proofErr w:type="spellEnd"/>
      <w:r w:rsidRPr="00BB0083">
        <w:t xml:space="preserve"> (lipids and tissue biomass) and </w:t>
      </w:r>
      <w:proofErr w:type="spellStart"/>
      <w:r w:rsidRPr="00BB0083">
        <w:t>photosymbiont</w:t>
      </w:r>
      <w:proofErr w:type="spellEnd"/>
      <w:r w:rsidRPr="00BB0083">
        <w:t xml:space="preserve"> physiology for monitoring. The knowledge of these biomarker behaviours is broad and the strength of attribution to </w:t>
      </w:r>
      <w:proofErr w:type="spellStart"/>
      <w:r w:rsidRPr="00BB0083">
        <w:t>organismal</w:t>
      </w:r>
      <w:proofErr w:type="spellEnd"/>
      <w:r w:rsidRPr="00BB0083">
        <w:t xml:space="preserve"> or ecosystem health is based on both emp</w:t>
      </w:r>
      <w:r w:rsidR="00716331" w:rsidRPr="00BB0083">
        <w:t>irical and modelling data (e.g.</w:t>
      </w:r>
      <w:r w:rsidRPr="00BB0083">
        <w:t xml:space="preserve"> Cooper et al. 2008; Anthony et al. 2009).</w:t>
      </w:r>
    </w:p>
    <w:p w:rsidR="0050150B" w:rsidRDefault="0050150B" w:rsidP="0050150B">
      <w:pPr>
        <w:pBdr>
          <w:top w:val="single" w:sz="4" w:space="1" w:color="auto"/>
          <w:left w:val="single" w:sz="4" w:space="4" w:color="auto"/>
          <w:bottom w:val="single" w:sz="4" w:space="1" w:color="auto"/>
          <w:right w:val="single" w:sz="4" w:space="4" w:color="auto"/>
        </w:pBdr>
      </w:pPr>
      <w:r>
        <w:t xml:space="preserve">The past five years have seen an explosion in next generation sequencing (NGS) and data analysis technology to allow routine broad spectrum scans of 1,000 – 10,000 molecular markers per sample to be obtained within days of collection at relatively low cost (Evans and Hofmann 2012). </w:t>
      </w:r>
      <w:r w:rsidR="001A60A7">
        <w:t xml:space="preserve">With further research and development, </w:t>
      </w:r>
      <w:r>
        <w:t xml:space="preserve">NGS data </w:t>
      </w:r>
      <w:r w:rsidR="001A60A7">
        <w:t>may</w:t>
      </w:r>
      <w:r>
        <w:t xml:space="preserve"> be used in multiple applications that are relevant for natural resource management including (1) scans of microbial and coral </w:t>
      </w:r>
      <w:proofErr w:type="spellStart"/>
      <w:r>
        <w:t>photosymbiont</w:t>
      </w:r>
      <w:proofErr w:type="spellEnd"/>
      <w:r>
        <w:t xml:space="preserve"> communities, (2) screens of target species’ physiology and exposure to stress through gene expression, and, (3) population genomic analyses to examine connectivity, genetic diversity and natural selection. </w:t>
      </w:r>
    </w:p>
    <w:p w:rsidR="0050150B" w:rsidRPr="00821005" w:rsidRDefault="0050150B" w:rsidP="0050150B">
      <w:pPr>
        <w:pBdr>
          <w:top w:val="single" w:sz="4" w:space="1" w:color="auto"/>
          <w:left w:val="single" w:sz="4" w:space="4" w:color="auto"/>
          <w:bottom w:val="single" w:sz="4" w:space="1" w:color="auto"/>
          <w:right w:val="single" w:sz="4" w:space="4" w:color="auto"/>
        </w:pBdr>
        <w:spacing w:after="0"/>
        <w:rPr>
          <w:b/>
          <w:i/>
        </w:rPr>
      </w:pPr>
      <w:r w:rsidRPr="00821005">
        <w:rPr>
          <w:b/>
          <w:i/>
        </w:rPr>
        <w:t>Microbial communities as</w:t>
      </w:r>
      <w:r>
        <w:rPr>
          <w:b/>
          <w:i/>
        </w:rPr>
        <w:t xml:space="preserve"> indicators of ecosystem health</w:t>
      </w:r>
    </w:p>
    <w:p w:rsidR="0050150B" w:rsidRPr="00445FBC" w:rsidRDefault="0050150B" w:rsidP="00445FBC">
      <w:pPr>
        <w:pBdr>
          <w:top w:val="single" w:sz="4" w:space="1" w:color="auto"/>
          <w:left w:val="single" w:sz="4" w:space="4" w:color="auto"/>
          <w:bottom w:val="single" w:sz="4" w:space="1" w:color="auto"/>
          <w:right w:val="single" w:sz="4" w:space="4" w:color="auto"/>
        </w:pBdr>
      </w:pPr>
      <w:r>
        <w:t xml:space="preserve">Scans of the microbial communities on target species or from environmental samples </w:t>
      </w:r>
      <w:r w:rsidR="001A60A7">
        <w:t>may</w:t>
      </w:r>
      <w:r>
        <w:t xml:space="preserve"> provide substantial information about ecosystem health and can potentially act as early warning signals. For example, </w:t>
      </w:r>
      <w:r w:rsidR="001A60A7">
        <w:t xml:space="preserve">pioneering research shows </w:t>
      </w:r>
      <w:r>
        <w:t>bacterial diversity and abundance reflect the level of human impacts on reefs in the Central Pacific and Caribbean (</w:t>
      </w:r>
      <w:proofErr w:type="spellStart"/>
      <w:r>
        <w:t>McDole</w:t>
      </w:r>
      <w:proofErr w:type="spellEnd"/>
      <w:r>
        <w:t xml:space="preserve"> et al 2012). Bacterial and viral loads in </w:t>
      </w:r>
      <w:proofErr w:type="spellStart"/>
      <w:r>
        <w:t>reefal</w:t>
      </w:r>
      <w:proofErr w:type="spellEnd"/>
      <w:r>
        <w:t xml:space="preserve"> waters increased 10-fold when human disturbance was high and fish biomass </w:t>
      </w:r>
      <w:r w:rsidR="007324C0">
        <w:t>was low in the Line Islands</w:t>
      </w:r>
      <w:r>
        <w:t xml:space="preserve"> (</w:t>
      </w:r>
      <w:proofErr w:type="spellStart"/>
      <w:r>
        <w:t>Sandin</w:t>
      </w:r>
      <w:proofErr w:type="spellEnd"/>
      <w:r>
        <w:t xml:space="preserve"> et al 2008; </w:t>
      </w:r>
      <w:proofErr w:type="spellStart"/>
      <w:r>
        <w:t>Dinsdale</w:t>
      </w:r>
      <w:proofErr w:type="spellEnd"/>
      <w:r>
        <w:t xml:space="preserve"> et al 2008). Further, a large proportion of the microbial </w:t>
      </w:r>
      <w:proofErr w:type="spellStart"/>
      <w:r>
        <w:t>taxa</w:t>
      </w:r>
      <w:proofErr w:type="spellEnd"/>
      <w:r>
        <w:t xml:space="preserve"> on the most disturbed reefs were most closely related to known pathogens (</w:t>
      </w:r>
      <w:proofErr w:type="spellStart"/>
      <w:r>
        <w:t>Dinsdale</w:t>
      </w:r>
      <w:proofErr w:type="spellEnd"/>
      <w:r>
        <w:t xml:space="preserve"> et al 2008).  Other studies have detected elevated pathogenic coral associated microbe loads before visual signs of bleaching and disease were observed highlighting the potential for early warning presented by microbial monitoring. </w:t>
      </w:r>
      <w:r w:rsidR="001A60A7">
        <w:t xml:space="preserve"> Future research is needed to </w:t>
      </w:r>
      <w:proofErr w:type="spellStart"/>
      <w:r w:rsidR="001A60A7">
        <w:t>operationalise</w:t>
      </w:r>
      <w:proofErr w:type="spellEnd"/>
      <w:r w:rsidR="001A60A7">
        <w:t xml:space="preserve"> routine use of microbial communities as indicators.</w:t>
      </w:r>
      <w:r w:rsidR="00C24B62" w:rsidRPr="0021673C">
        <w:rPr>
          <w:lang w:val="en-US"/>
        </w:rPr>
        <w:t xml:space="preserve"> </w:t>
      </w:r>
    </w:p>
    <w:p w:rsidR="00445FBC" w:rsidRDefault="00445FBC" w:rsidP="00BF3798">
      <w:pPr>
        <w:ind w:right="-164"/>
        <w:rPr>
          <w:lang w:val="en-US"/>
        </w:rPr>
      </w:pPr>
    </w:p>
    <w:p w:rsidR="00BF3798" w:rsidRPr="0021673C" w:rsidRDefault="00BF3798" w:rsidP="00BF3798">
      <w:pPr>
        <w:ind w:right="-164"/>
        <w:rPr>
          <w:lang w:val="en-US"/>
        </w:rPr>
      </w:pPr>
      <w:proofErr w:type="spellStart"/>
      <w:r w:rsidRPr="0021673C">
        <w:rPr>
          <w:lang w:val="en-US"/>
        </w:rPr>
        <w:t>Mapstone</w:t>
      </w:r>
      <w:proofErr w:type="spellEnd"/>
      <w:r w:rsidRPr="0021673C">
        <w:rPr>
          <w:lang w:val="en-US"/>
        </w:rPr>
        <w:t xml:space="preserve"> (1995) recommends using a ratio of </w:t>
      </w:r>
      <w:bookmarkStart w:id="14" w:name="OLE_LINK1"/>
      <w:bookmarkStart w:id="15" w:name="OLE_LINK2"/>
      <w:r w:rsidRPr="0021673C">
        <w:rPr>
          <w:i/>
          <w:lang w:val="en-US"/>
        </w:rPr>
        <w:sym w:font="Symbol" w:char="F061"/>
      </w:r>
      <w:r w:rsidRPr="0021673C">
        <w:rPr>
          <w:lang w:val="en-US"/>
        </w:rPr>
        <w:t xml:space="preserve"> to </w:t>
      </w:r>
      <w:r w:rsidRPr="0021673C">
        <w:rPr>
          <w:i/>
          <w:lang w:val="en-US"/>
        </w:rPr>
        <w:sym w:font="Symbol" w:char="F062"/>
      </w:r>
      <w:r w:rsidRPr="0021673C">
        <w:rPr>
          <w:lang w:val="en-US"/>
        </w:rPr>
        <w:t xml:space="preserve"> </w:t>
      </w:r>
      <w:bookmarkEnd w:id="14"/>
      <w:bookmarkEnd w:id="15"/>
      <w:r w:rsidRPr="0021673C">
        <w:rPr>
          <w:lang w:val="en-US"/>
        </w:rPr>
        <w:t>that reflects the relative costs of the two kinds of errors, and designing the monitoring program accordingly.  Levels of tolerance will vary among interested parties according to the values they seek to promote in GBR management and according to the extent to which they incur the financ</w:t>
      </w:r>
      <w:r w:rsidR="00C24B62" w:rsidRPr="0021673C">
        <w:rPr>
          <w:lang w:val="en-US"/>
        </w:rPr>
        <w:t>ial costs of colle</w:t>
      </w:r>
      <w:r w:rsidR="00DA6C0E">
        <w:rPr>
          <w:lang w:val="en-US"/>
        </w:rPr>
        <w:t xml:space="preserve">cting data. </w:t>
      </w:r>
      <w:r w:rsidRPr="0021673C">
        <w:rPr>
          <w:lang w:val="en-US"/>
        </w:rPr>
        <w:t>Power calculations can be conducted before (a-priori) a study or monitoring program is undertaken or after (post-priori).  A-priori analyses commonly seek to estimate the sampling intensity required where the effect size to be detected has been identified, tolerable thresholds for Type I and Type II errors have been specified, and an estimate of the population’s variance is available.  Post-priori analyses usually estimate the Type II error for whatever sample size has been employed.</w:t>
      </w:r>
    </w:p>
    <w:p w:rsidR="00BF3798" w:rsidRPr="001E5A2B" w:rsidRDefault="00BF3798" w:rsidP="00BF3798">
      <w:pPr>
        <w:ind w:right="-164"/>
      </w:pPr>
      <w:r w:rsidRPr="0021673C">
        <w:rPr>
          <w:lang w:val="en-US"/>
        </w:rPr>
        <w:t xml:space="preserve">Formulae for power calculations vary according to the particular statistical test being used.  In the example of a proposed change to dredging explored in this section, we used a simple </w:t>
      </w:r>
      <w:r w:rsidRPr="0021673C">
        <w:rPr>
          <w:i/>
          <w:lang w:val="en-US"/>
        </w:rPr>
        <w:t>t</w:t>
      </w:r>
      <w:r w:rsidRPr="0021673C">
        <w:rPr>
          <w:lang w:val="en-US"/>
        </w:rPr>
        <w:t>-test to demo</w:t>
      </w:r>
      <w:r w:rsidR="002107EE">
        <w:rPr>
          <w:lang w:val="en-US"/>
        </w:rPr>
        <w:t xml:space="preserve">nstrate the concepts.  </w:t>
      </w:r>
      <w:proofErr w:type="spellStart"/>
      <w:r w:rsidR="002107EE">
        <w:rPr>
          <w:lang w:val="en-US"/>
        </w:rPr>
        <w:t>Zar</w:t>
      </w:r>
      <w:proofErr w:type="spellEnd"/>
      <w:r w:rsidR="002107EE">
        <w:rPr>
          <w:lang w:val="en-US"/>
        </w:rPr>
        <w:t xml:space="preserve"> (2010</w:t>
      </w:r>
      <w:r w:rsidRPr="0021673C">
        <w:rPr>
          <w:lang w:val="en-US"/>
        </w:rPr>
        <w:t xml:space="preserve">) offers a general statistics text book with numerous examples of power calculations.  Many statistical software packages include power, but vary in the types of data and problems they can handle.  GPOWER is free software dedicated to power calculations that scores reasonably well in terms of ease of use and learning (Thomas and Krebs 1997).  Manly (1997) details methods involving computer simulation for complex problems.  Chapter 6 of the Australian Guidelines for Water Quality Monitoring and Reporting provides an outline of a variety of statistical tools that are </w:t>
      </w:r>
      <w:r w:rsidRPr="0021673C">
        <w:rPr>
          <w:lang w:val="en-US"/>
        </w:rPr>
        <w:lastRenderedPageBreak/>
        <w:t xml:space="preserve">of general interest in monitoring for natural resource management </w:t>
      </w:r>
      <w:r w:rsidR="00AB0738" w:rsidRPr="0021673C">
        <w:rPr>
          <w:lang w:val="en-US"/>
        </w:rPr>
        <w:t>(ANZECC/ARCMANZ, 2000)</w:t>
      </w:r>
      <w:r w:rsidR="00AB0738">
        <w:rPr>
          <w:lang w:val="en-US"/>
        </w:rPr>
        <w:t xml:space="preserve">, including control charts that will be of particular use for integrating monitoring into management and a tool for decision-makers to conduct adaptive management of the GBRWHA; see Box </w:t>
      </w:r>
      <w:r w:rsidR="0050150B">
        <w:rPr>
          <w:lang w:val="en-US"/>
        </w:rPr>
        <w:t>3</w:t>
      </w:r>
      <w:r w:rsidR="00AB0738" w:rsidRPr="00AB0738">
        <w:rPr>
          <w:lang w:val="en-US"/>
        </w:rPr>
        <w:t>.</w:t>
      </w:r>
    </w:p>
    <w:tbl>
      <w:tblPr>
        <w:tblStyle w:val="TableGrid"/>
        <w:tblW w:w="0" w:type="auto"/>
        <w:tblLook w:val="04A0"/>
      </w:tblPr>
      <w:tblGrid>
        <w:gridCol w:w="9182"/>
      </w:tblGrid>
      <w:tr w:rsidR="00AB0738" w:rsidTr="00F772EB">
        <w:tc>
          <w:tcPr>
            <w:tcW w:w="9182" w:type="dxa"/>
          </w:tcPr>
          <w:p w:rsidR="00AB0738" w:rsidRPr="0050150B" w:rsidRDefault="00AB0738" w:rsidP="00F772EB">
            <w:pPr>
              <w:spacing w:after="200" w:line="276" w:lineRule="auto"/>
              <w:rPr>
                <w:b/>
                <w:i/>
                <w:sz w:val="22"/>
                <w:szCs w:val="22"/>
              </w:rPr>
            </w:pPr>
            <w:r w:rsidRPr="0050150B">
              <w:rPr>
                <w:b/>
                <w:i/>
                <w:sz w:val="22"/>
                <w:szCs w:val="22"/>
              </w:rPr>
              <w:t xml:space="preserve">Box </w:t>
            </w:r>
            <w:r w:rsidR="0050150B" w:rsidRPr="0050150B">
              <w:rPr>
                <w:b/>
                <w:i/>
                <w:sz w:val="22"/>
                <w:szCs w:val="22"/>
              </w:rPr>
              <w:t>3</w:t>
            </w:r>
            <w:r w:rsidRPr="0050150B">
              <w:rPr>
                <w:b/>
                <w:i/>
                <w:sz w:val="22"/>
                <w:szCs w:val="22"/>
              </w:rPr>
              <w:t>. Control charts as a tool for adaptive management of the GBRWHA</w:t>
            </w:r>
          </w:p>
          <w:p w:rsidR="00AB0738" w:rsidRPr="0050150B" w:rsidRDefault="00AB0738" w:rsidP="00F772EB">
            <w:pPr>
              <w:rPr>
                <w:sz w:val="22"/>
                <w:szCs w:val="22"/>
              </w:rPr>
            </w:pPr>
            <w:r w:rsidRPr="0050150B">
              <w:rPr>
                <w:sz w:val="22"/>
                <w:szCs w:val="22"/>
              </w:rPr>
              <w:t xml:space="preserve">Control charts were originally developed for statistical process control in industrial applications, and </w:t>
            </w:r>
            <w:r w:rsidRPr="0050150B" w:rsidDel="00332BCB">
              <w:rPr>
                <w:sz w:val="22"/>
                <w:szCs w:val="22"/>
              </w:rPr>
              <w:t>have been used routinely for over 50 years</w:t>
            </w:r>
            <w:r w:rsidRPr="0050150B">
              <w:rPr>
                <w:sz w:val="22"/>
                <w:szCs w:val="22"/>
              </w:rPr>
              <w:t xml:space="preserve"> as</w:t>
            </w:r>
            <w:r w:rsidRPr="0050150B" w:rsidDel="00332BCB">
              <w:rPr>
                <w:sz w:val="22"/>
                <w:szCs w:val="22"/>
              </w:rPr>
              <w:t xml:space="preserve"> rigorous and </w:t>
            </w:r>
            <w:proofErr w:type="spellStart"/>
            <w:r w:rsidRPr="0050150B" w:rsidDel="00332BCB">
              <w:rPr>
                <w:sz w:val="22"/>
                <w:szCs w:val="22"/>
              </w:rPr>
              <w:t>standardised</w:t>
            </w:r>
            <w:proofErr w:type="spellEnd"/>
            <w:r w:rsidRPr="0050150B" w:rsidDel="00332BCB">
              <w:rPr>
                <w:sz w:val="22"/>
                <w:szCs w:val="22"/>
              </w:rPr>
              <w:t xml:space="preserve"> decision-making tool</w:t>
            </w:r>
            <w:r w:rsidRPr="0050150B">
              <w:rPr>
                <w:sz w:val="22"/>
                <w:szCs w:val="22"/>
              </w:rPr>
              <w:t>s</w:t>
            </w:r>
            <w:r w:rsidRPr="0050150B" w:rsidDel="00332BCB">
              <w:rPr>
                <w:sz w:val="22"/>
                <w:szCs w:val="22"/>
              </w:rPr>
              <w:t xml:space="preserve"> to achieve quality control of </w:t>
            </w:r>
            <w:r w:rsidRPr="0050150B">
              <w:rPr>
                <w:sz w:val="22"/>
                <w:szCs w:val="22"/>
              </w:rPr>
              <w:t xml:space="preserve">manufacturing </w:t>
            </w:r>
            <w:r w:rsidRPr="0050150B" w:rsidDel="00332BCB">
              <w:rPr>
                <w:sz w:val="22"/>
                <w:szCs w:val="22"/>
              </w:rPr>
              <w:t>processes (</w:t>
            </w:r>
            <w:r w:rsidRPr="0050150B">
              <w:rPr>
                <w:sz w:val="22"/>
                <w:szCs w:val="22"/>
              </w:rPr>
              <w:t>Montgomery 2009</w:t>
            </w:r>
            <w:r w:rsidRPr="0050150B" w:rsidDel="00332BCB">
              <w:rPr>
                <w:sz w:val="22"/>
                <w:szCs w:val="22"/>
              </w:rPr>
              <w:t>).</w:t>
            </w:r>
            <w:r w:rsidRPr="0050150B">
              <w:rPr>
                <w:sz w:val="22"/>
                <w:szCs w:val="22"/>
              </w:rPr>
              <w:t xml:space="preserve"> More recently, they have been advocated as tools to improve the use of long-term monitoring data in adaptive environmental management (ANZECC/ARCMANZ, 2000; Morrison 2008).</w:t>
            </w:r>
          </w:p>
          <w:p w:rsidR="00AB0738" w:rsidRPr="0050150B" w:rsidRDefault="00AB0738" w:rsidP="00F772EB">
            <w:pPr>
              <w:rPr>
                <w:sz w:val="22"/>
                <w:szCs w:val="22"/>
              </w:rPr>
            </w:pPr>
          </w:p>
          <w:p w:rsidR="00AB0738" w:rsidRPr="0050150B" w:rsidRDefault="00AB0738" w:rsidP="00F772EB">
            <w:pPr>
              <w:rPr>
                <w:sz w:val="22"/>
                <w:szCs w:val="22"/>
              </w:rPr>
            </w:pPr>
            <w:r w:rsidRPr="0050150B">
              <w:rPr>
                <w:sz w:val="22"/>
                <w:szCs w:val="22"/>
              </w:rPr>
              <w:t xml:space="preserve">Control charts use statistically derived management thresholds, referred to as control limits, to assess long-term monitoring data and determine whether management intervention is required. Typically a sample statistic (e.g. a mean) of a monitored variable is plotted through time alongside </w:t>
            </w:r>
            <w:r w:rsidR="00716331">
              <w:rPr>
                <w:sz w:val="22"/>
                <w:szCs w:val="22"/>
              </w:rPr>
              <w:t>control limits, which represent</w:t>
            </w:r>
            <w:r w:rsidRPr="0050150B">
              <w:rPr>
                <w:sz w:val="22"/>
                <w:szCs w:val="22"/>
              </w:rPr>
              <w:t xml:space="preserve"> the bounds of variability of the monitored variable (e.g., 3σ (sigma) control limits; see figure below). Control charts may contain both warning and action control limits. Warning control limits can represent a small process shift and</w:t>
            </w:r>
            <w:r w:rsidR="001A60A7">
              <w:rPr>
                <w:sz w:val="22"/>
                <w:szCs w:val="22"/>
              </w:rPr>
              <w:t>,</w:t>
            </w:r>
            <w:r w:rsidRPr="0050150B">
              <w:rPr>
                <w:sz w:val="22"/>
                <w:szCs w:val="22"/>
              </w:rPr>
              <w:t xml:space="preserve"> if breached</w:t>
            </w:r>
            <w:r w:rsidR="001A60A7">
              <w:rPr>
                <w:sz w:val="22"/>
                <w:szCs w:val="22"/>
              </w:rPr>
              <w:t>,</w:t>
            </w:r>
            <w:r w:rsidRPr="0050150B">
              <w:rPr>
                <w:sz w:val="22"/>
                <w:szCs w:val="22"/>
              </w:rPr>
              <w:t xml:space="preserve"> can trigger increased monitoring or further investigation. Action control limits represent a large process shift and if breached can trigger remedial action. </w:t>
            </w:r>
          </w:p>
          <w:p w:rsidR="00AB0738" w:rsidRPr="0050150B" w:rsidRDefault="00AB0738" w:rsidP="00F772EB">
            <w:pPr>
              <w:rPr>
                <w:sz w:val="22"/>
                <w:szCs w:val="22"/>
              </w:rPr>
            </w:pPr>
          </w:p>
          <w:p w:rsidR="00AB0738" w:rsidRPr="0050150B" w:rsidRDefault="00AB0738" w:rsidP="00F772EB">
            <w:pPr>
              <w:rPr>
                <w:sz w:val="22"/>
                <w:szCs w:val="22"/>
              </w:rPr>
            </w:pPr>
          </w:p>
          <w:p w:rsidR="00AB0738" w:rsidRPr="0050150B" w:rsidRDefault="00AB0738" w:rsidP="00F772EB">
            <w:pPr>
              <w:jc w:val="center"/>
              <w:rPr>
                <w:sz w:val="22"/>
                <w:szCs w:val="22"/>
                <w:lang w:val="en-AU"/>
              </w:rPr>
            </w:pPr>
            <w:r w:rsidRPr="0050150B">
              <w:rPr>
                <w:noProof/>
                <w:lang w:eastAsia="en-AU"/>
              </w:rPr>
              <w:drawing>
                <wp:inline distT="0" distB="0" distL="0" distR="0">
                  <wp:extent cx="3778370" cy="30136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 5_1.tif"/>
                          <pic:cNvPicPr/>
                        </pic:nvPicPr>
                        <pic:blipFill>
                          <a:blip r:embed="rId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89978" cy="3022884"/>
                          </a:xfrm>
                          <a:prstGeom prst="rect">
                            <a:avLst/>
                          </a:prstGeom>
                        </pic:spPr>
                      </pic:pic>
                    </a:graphicData>
                  </a:graphic>
                </wp:inline>
              </w:drawing>
            </w:r>
          </w:p>
          <w:p w:rsidR="00AB0738" w:rsidRPr="0050150B" w:rsidRDefault="00AB0738" w:rsidP="00F772EB">
            <w:pPr>
              <w:rPr>
                <w:sz w:val="22"/>
                <w:szCs w:val="22"/>
              </w:rPr>
            </w:pPr>
          </w:p>
          <w:p w:rsidR="00AB0738" w:rsidRPr="0050150B" w:rsidRDefault="00AB0738" w:rsidP="00F772EB">
            <w:pPr>
              <w:rPr>
                <w:sz w:val="22"/>
                <w:szCs w:val="22"/>
              </w:rPr>
            </w:pPr>
            <w:r w:rsidRPr="0050150B">
              <w:rPr>
                <w:sz w:val="22"/>
                <w:szCs w:val="22"/>
              </w:rPr>
              <w:t>There are a variety of control charts available for different applications, for example, mean (</w:t>
            </w:r>
            <m:oMath>
              <m:acc>
                <m:accPr>
                  <m:chr m:val="̅"/>
                  <m:ctrlPr>
                    <w:rPr>
                      <w:rFonts w:ascii="Cambria Math" w:hAnsi="Cambria Math"/>
                      <w:i/>
                      <w:sz w:val="22"/>
                      <w:szCs w:val="22"/>
                    </w:rPr>
                  </m:ctrlPr>
                </m:accPr>
                <m:e>
                  <m:r>
                    <w:rPr>
                      <w:rFonts w:ascii="Cambria Math" w:hAnsi="Cambria Math"/>
                      <w:sz w:val="22"/>
                      <w:szCs w:val="22"/>
                    </w:rPr>
                    <m:t>x</m:t>
                  </m:r>
                </m:e>
              </m:acc>
            </m:oMath>
            <w:r w:rsidRPr="0050150B">
              <w:rPr>
                <w:sz w:val="22"/>
                <w:szCs w:val="22"/>
              </w:rPr>
              <w:t>), range (</w:t>
            </w:r>
            <w:r w:rsidRPr="0050150B">
              <w:rPr>
                <w:i/>
                <w:sz w:val="22"/>
                <w:szCs w:val="22"/>
              </w:rPr>
              <w:t>R</w:t>
            </w:r>
            <w:r w:rsidRPr="0050150B">
              <w:rPr>
                <w:sz w:val="22"/>
                <w:szCs w:val="22"/>
              </w:rPr>
              <w:t>) and standard deviation (</w:t>
            </w:r>
            <w:r w:rsidRPr="0050150B">
              <w:rPr>
                <w:i/>
                <w:sz w:val="22"/>
                <w:szCs w:val="22"/>
              </w:rPr>
              <w:t>s</w:t>
            </w:r>
            <w:r w:rsidRPr="0050150B">
              <w:rPr>
                <w:sz w:val="22"/>
                <w:szCs w:val="22"/>
              </w:rPr>
              <w:t xml:space="preserve">) charts use basic summary statistics and are designed to detect large shifts in a process. Cumulative sum (CUSUM) and exponentially weighted moving average (EWMA) charts are better suited to detecting smaller shifts in a process. </w:t>
            </w:r>
          </w:p>
          <w:p w:rsidR="00AB0738" w:rsidRPr="0050150B" w:rsidRDefault="00AB0738" w:rsidP="00F772EB">
            <w:pPr>
              <w:rPr>
                <w:sz w:val="22"/>
                <w:szCs w:val="22"/>
              </w:rPr>
            </w:pPr>
          </w:p>
          <w:p w:rsidR="00AB0738" w:rsidRPr="0050150B" w:rsidRDefault="00AB0738" w:rsidP="00F772EB">
            <w:pPr>
              <w:rPr>
                <w:sz w:val="22"/>
                <w:szCs w:val="22"/>
              </w:rPr>
            </w:pPr>
            <w:r w:rsidRPr="0050150B">
              <w:rPr>
                <w:sz w:val="22"/>
                <w:szCs w:val="22"/>
              </w:rPr>
              <w:t>The benefits of control charts to adaptive management include:</w:t>
            </w:r>
          </w:p>
          <w:p w:rsidR="00AB0738" w:rsidRPr="0050150B" w:rsidRDefault="00AB0738" w:rsidP="00AB0738">
            <w:pPr>
              <w:pStyle w:val="ListParagraph"/>
              <w:numPr>
                <w:ilvl w:val="0"/>
                <w:numId w:val="35"/>
              </w:numPr>
              <w:ind w:left="426"/>
              <w:rPr>
                <w:rFonts w:eastAsiaTheme="minorHAnsi"/>
                <w:sz w:val="22"/>
                <w:szCs w:val="22"/>
                <w:lang w:val="en-AU"/>
              </w:rPr>
            </w:pPr>
            <w:r w:rsidRPr="0050150B">
              <w:rPr>
                <w:sz w:val="22"/>
                <w:szCs w:val="22"/>
              </w:rPr>
              <w:t>They are simple visual management tools that can assist decision-makers, who may have limited statistical expertise, with interpreting long-term monitoring data (Morrison 2008, ANZECC/ARCMANZ 2000);</w:t>
            </w:r>
          </w:p>
          <w:p w:rsidR="00AB0738" w:rsidRPr="0050150B" w:rsidRDefault="00AB0738" w:rsidP="00AB0738">
            <w:pPr>
              <w:pStyle w:val="ListParagraph"/>
              <w:numPr>
                <w:ilvl w:val="0"/>
                <w:numId w:val="35"/>
              </w:numPr>
              <w:ind w:left="426"/>
              <w:rPr>
                <w:rFonts w:eastAsiaTheme="minorHAnsi"/>
                <w:sz w:val="22"/>
                <w:szCs w:val="22"/>
                <w:lang w:val="en-AU"/>
              </w:rPr>
            </w:pPr>
            <w:r w:rsidRPr="0050150B">
              <w:rPr>
                <w:sz w:val="22"/>
                <w:szCs w:val="22"/>
              </w:rPr>
              <w:t>they can deal wit</w:t>
            </w:r>
            <w:r w:rsidR="00716331">
              <w:rPr>
                <w:sz w:val="22"/>
                <w:szCs w:val="22"/>
              </w:rPr>
              <w:t>h</w:t>
            </w:r>
            <w:r w:rsidRPr="0050150B">
              <w:rPr>
                <w:sz w:val="22"/>
                <w:szCs w:val="22"/>
              </w:rPr>
              <w:t xml:space="preserve"> inherently noisy environmental monitoring data and provide an early warning of a shift outside of the bounds of natural variability (Morrison 2008, </w:t>
            </w:r>
            <w:r w:rsidRPr="0050150B">
              <w:rPr>
                <w:sz w:val="22"/>
                <w:szCs w:val="22"/>
              </w:rPr>
              <w:lastRenderedPageBreak/>
              <w:t>ANZECC/ARCMANZ 2000);</w:t>
            </w:r>
          </w:p>
          <w:p w:rsidR="00AB0738" w:rsidRPr="0050150B" w:rsidRDefault="00AB0738" w:rsidP="00AB0738">
            <w:pPr>
              <w:pStyle w:val="ListParagraph"/>
              <w:numPr>
                <w:ilvl w:val="0"/>
                <w:numId w:val="35"/>
              </w:numPr>
              <w:ind w:left="426"/>
              <w:rPr>
                <w:rFonts w:eastAsiaTheme="minorHAnsi"/>
                <w:sz w:val="22"/>
                <w:szCs w:val="22"/>
                <w:lang w:val="en-AU"/>
              </w:rPr>
            </w:pPr>
            <w:r w:rsidRPr="0050150B">
              <w:rPr>
                <w:sz w:val="22"/>
                <w:szCs w:val="22"/>
              </w:rPr>
              <w:t xml:space="preserve">they </w:t>
            </w:r>
            <w:r w:rsidR="00716331">
              <w:rPr>
                <w:sz w:val="22"/>
                <w:szCs w:val="22"/>
              </w:rPr>
              <w:t>e</w:t>
            </w:r>
            <w:r w:rsidRPr="0050150B">
              <w:rPr>
                <w:sz w:val="22"/>
                <w:szCs w:val="22"/>
              </w:rPr>
              <w:t>ncourage decision-makers to carefully consider Type I and II error rates associated with management thresholds (</w:t>
            </w:r>
            <w:proofErr w:type="spellStart"/>
            <w:r w:rsidRPr="0050150B">
              <w:rPr>
                <w:sz w:val="22"/>
                <w:szCs w:val="22"/>
              </w:rPr>
              <w:t>Burgman</w:t>
            </w:r>
            <w:proofErr w:type="spellEnd"/>
            <w:r w:rsidRPr="0050150B">
              <w:rPr>
                <w:sz w:val="22"/>
                <w:szCs w:val="22"/>
              </w:rPr>
              <w:t xml:space="preserve"> 2005; Morrison 2008,) which are commonly overlooked when parametric statistical tests are used to interpret environmental monitoring data (</w:t>
            </w:r>
            <w:proofErr w:type="spellStart"/>
            <w:r w:rsidRPr="0050150B">
              <w:rPr>
                <w:sz w:val="22"/>
                <w:szCs w:val="22"/>
              </w:rPr>
              <w:t>Mapstone</w:t>
            </w:r>
            <w:proofErr w:type="spellEnd"/>
            <w:r w:rsidRPr="0050150B">
              <w:rPr>
                <w:sz w:val="22"/>
                <w:szCs w:val="22"/>
              </w:rPr>
              <w:t xml:space="preserve"> 1995); and</w:t>
            </w:r>
          </w:p>
          <w:p w:rsidR="00AB0738" w:rsidRPr="0050150B" w:rsidRDefault="00AB0738" w:rsidP="00AB0738">
            <w:pPr>
              <w:pStyle w:val="ListParagraph"/>
              <w:numPr>
                <w:ilvl w:val="0"/>
                <w:numId w:val="35"/>
              </w:numPr>
              <w:ind w:left="426"/>
              <w:rPr>
                <w:rFonts w:eastAsiaTheme="minorHAnsi"/>
                <w:sz w:val="22"/>
                <w:szCs w:val="22"/>
                <w:lang w:val="en-AU"/>
              </w:rPr>
            </w:pPr>
            <w:proofErr w:type="gramStart"/>
            <w:r w:rsidRPr="0050150B">
              <w:rPr>
                <w:sz w:val="22"/>
                <w:szCs w:val="22"/>
              </w:rPr>
              <w:t>they</w:t>
            </w:r>
            <w:proofErr w:type="gramEnd"/>
            <w:r w:rsidRPr="0050150B">
              <w:rPr>
                <w:sz w:val="22"/>
                <w:szCs w:val="22"/>
              </w:rPr>
              <w:t xml:space="preserve"> promote a robust connection between monitoring and adaptive management (</w:t>
            </w:r>
            <w:proofErr w:type="spellStart"/>
            <w:r w:rsidRPr="0050150B">
              <w:rPr>
                <w:sz w:val="22"/>
                <w:szCs w:val="22"/>
              </w:rPr>
              <w:t>Burgman</w:t>
            </w:r>
            <w:proofErr w:type="spellEnd"/>
            <w:r w:rsidRPr="0050150B">
              <w:rPr>
                <w:sz w:val="22"/>
                <w:szCs w:val="22"/>
              </w:rPr>
              <w:t xml:space="preserve"> 2005, ANZECC/ARCMANZ 2000).</w:t>
            </w:r>
          </w:p>
          <w:p w:rsidR="00AB0738" w:rsidRPr="0050150B" w:rsidRDefault="00AB0738" w:rsidP="00F772EB">
            <w:pPr>
              <w:rPr>
                <w:sz w:val="22"/>
                <w:szCs w:val="22"/>
              </w:rPr>
            </w:pPr>
          </w:p>
          <w:p w:rsidR="00AB0738" w:rsidRPr="0050150B" w:rsidRDefault="001A60A7" w:rsidP="00AB0738">
            <w:pPr>
              <w:rPr>
                <w:sz w:val="22"/>
                <w:szCs w:val="22"/>
              </w:rPr>
            </w:pPr>
            <w:r>
              <w:rPr>
                <w:sz w:val="22"/>
                <w:szCs w:val="22"/>
              </w:rPr>
              <w:t>C</w:t>
            </w:r>
            <w:r w:rsidR="00473B42">
              <w:rPr>
                <w:sz w:val="22"/>
                <w:szCs w:val="22"/>
              </w:rPr>
              <w:t>ontrol</w:t>
            </w:r>
            <w:r>
              <w:rPr>
                <w:sz w:val="22"/>
                <w:szCs w:val="22"/>
              </w:rPr>
              <w:t xml:space="preserve"> charts can be readily applied to water quality data.  They are already invoked implicitly in the water quality index of the MMP (</w:t>
            </w:r>
            <w:r w:rsidR="00194D6C">
              <w:rPr>
                <w:sz w:val="22"/>
                <w:szCs w:val="22"/>
              </w:rPr>
              <w:t>Thompson et al. 2013</w:t>
            </w:r>
            <w:r>
              <w:rPr>
                <w:sz w:val="22"/>
                <w:szCs w:val="22"/>
              </w:rPr>
              <w:t xml:space="preserve">) and in development of the Gladstone Healthy </w:t>
            </w:r>
            <w:proofErr w:type="spellStart"/>
            <w:r>
              <w:rPr>
                <w:sz w:val="22"/>
                <w:szCs w:val="22"/>
              </w:rPr>
              <w:t>Harbour</w:t>
            </w:r>
            <w:proofErr w:type="spellEnd"/>
            <w:r>
              <w:rPr>
                <w:sz w:val="22"/>
                <w:szCs w:val="22"/>
              </w:rPr>
              <w:t xml:space="preserve"> Partnership report card (Fox 2013). </w:t>
            </w:r>
            <w:r w:rsidR="00AB0738" w:rsidRPr="0050150B">
              <w:rPr>
                <w:sz w:val="22"/>
                <w:szCs w:val="22"/>
              </w:rPr>
              <w:t>An</w:t>
            </w:r>
            <w:r>
              <w:rPr>
                <w:sz w:val="22"/>
                <w:szCs w:val="22"/>
              </w:rPr>
              <w:t xml:space="preserve"> explicit</w:t>
            </w:r>
            <w:r w:rsidR="00AB0738" w:rsidRPr="0050150B">
              <w:rPr>
                <w:sz w:val="22"/>
                <w:szCs w:val="22"/>
              </w:rPr>
              <w:t xml:space="preserve"> application of control charts to marine protected area monitoring and management can be found in Addison (2014).</w:t>
            </w:r>
          </w:p>
          <w:p w:rsidR="00AB0738" w:rsidRPr="00AB0738" w:rsidRDefault="00AB0738" w:rsidP="00AB0738">
            <w:pPr>
              <w:rPr>
                <w:sz w:val="12"/>
                <w:szCs w:val="12"/>
              </w:rPr>
            </w:pPr>
          </w:p>
        </w:tc>
      </w:tr>
    </w:tbl>
    <w:p w:rsidR="00AB0738" w:rsidRDefault="00AB0738" w:rsidP="00B041AC">
      <w:pPr>
        <w:spacing w:after="0"/>
      </w:pPr>
    </w:p>
    <w:p w:rsidR="00A0686B" w:rsidRDefault="00FE45F3" w:rsidP="00B041AC">
      <w:pPr>
        <w:spacing w:after="0"/>
      </w:pPr>
      <w:r w:rsidRPr="00CF7ABA">
        <w:t xml:space="preserve">In consultation </w:t>
      </w:r>
      <w:r w:rsidR="00CF7ABA" w:rsidRPr="00CF7ABA">
        <w:t xml:space="preserve">with </w:t>
      </w:r>
      <w:r w:rsidRPr="00CF7ABA">
        <w:t xml:space="preserve">stakeholders, a monitoring program could consider acceptable thresholds for committing Type I and Type II errors, and the program designed accordingly (Field et al. 2004, </w:t>
      </w:r>
      <w:proofErr w:type="spellStart"/>
      <w:r w:rsidRPr="00CF7ABA">
        <w:t>Mapstone</w:t>
      </w:r>
      <w:proofErr w:type="spellEnd"/>
      <w:r w:rsidRPr="00CF7ABA">
        <w:t xml:space="preserve"> 1995).</w:t>
      </w:r>
      <w:r w:rsidRPr="001E5A2B">
        <w:t xml:space="preserve">  </w:t>
      </w:r>
      <w:r w:rsidR="00DA6C0E">
        <w:t xml:space="preserve">Not only will stakeholders vary in their aversion to Type I and II errors, but perceptions </w:t>
      </w:r>
      <w:r w:rsidR="00716331">
        <w:t xml:space="preserve">within any </w:t>
      </w:r>
      <w:r w:rsidR="003216D1">
        <w:t>one stakeholder group may vary from region to region</w:t>
      </w:r>
      <w:r w:rsidR="00A0686B">
        <w:t>.  For example, the consequences of failure to meet targets associated with retaining coral cover in the northern section of the GBR may be very different to consequences of failing to meet restoration targets in central or southern sections. Risk-based adaptive sampling needs to recognise such considerations, and adjust c</w:t>
      </w:r>
      <w:r w:rsidR="00B041AC">
        <w:t>ritical thresholds accordingly</w:t>
      </w:r>
      <w:r w:rsidR="00A0686B">
        <w:t xml:space="preserve">. </w:t>
      </w:r>
      <w:r w:rsidRPr="001E5A2B">
        <w:rPr>
          <w:lang w:val="en-US"/>
        </w:rPr>
        <w:t xml:space="preserve">But what </w:t>
      </w:r>
      <w:r w:rsidR="00CF7ABA">
        <w:rPr>
          <w:lang w:val="en-US"/>
        </w:rPr>
        <w:t xml:space="preserve">is </w:t>
      </w:r>
      <w:r w:rsidRPr="001E5A2B">
        <w:rPr>
          <w:lang w:val="en-US"/>
        </w:rPr>
        <w:t>the relative and absolute importance of the many targ</w:t>
      </w:r>
      <w:r w:rsidR="00CF7ABA">
        <w:rPr>
          <w:lang w:val="en-US"/>
        </w:rPr>
        <w:t xml:space="preserve">ets specified in the LTSP2050? </w:t>
      </w:r>
      <w:r w:rsidRPr="001E5A2B">
        <w:rPr>
          <w:lang w:val="en-US"/>
        </w:rPr>
        <w:t xml:space="preserve">What is a reasonable burden of proof in demonstrating compliance (or non-compliance)?  To what extent should the burden of proof be conditioned by the cost of collecting data?  If answers to these questions can be given, it is a </w:t>
      </w:r>
      <w:r w:rsidR="00B041AC">
        <w:rPr>
          <w:lang w:val="en-US"/>
        </w:rPr>
        <w:t>non-</w:t>
      </w:r>
      <w:r w:rsidR="002C0526">
        <w:rPr>
          <w:lang w:val="en-US"/>
        </w:rPr>
        <w:t>trivial</w:t>
      </w:r>
      <w:r w:rsidR="00B041AC">
        <w:rPr>
          <w:lang w:val="en-US"/>
        </w:rPr>
        <w:t>, but nevertheless tractable</w:t>
      </w:r>
      <w:r w:rsidRPr="001E5A2B">
        <w:rPr>
          <w:lang w:val="en-US"/>
        </w:rPr>
        <w:t xml:space="preserve"> technical exercise for a statistician to calculate the sampling effort required (and the monitoring budget required) to make an assessment of whether or not a system is being managed in a way that is consistent with specified targets.</w:t>
      </w:r>
    </w:p>
    <w:p w:rsidR="00B041AC" w:rsidRPr="00B041AC" w:rsidRDefault="00B041AC" w:rsidP="00B041AC">
      <w:pPr>
        <w:spacing w:after="0"/>
      </w:pPr>
    </w:p>
    <w:p w:rsidR="00102BDB" w:rsidRDefault="00FE45F3" w:rsidP="00B041AC">
      <w:pPr>
        <w:ind w:right="-164"/>
        <w:rPr>
          <w:lang w:val="en-US"/>
        </w:rPr>
      </w:pPr>
      <w:r w:rsidRPr="001E5A2B">
        <w:rPr>
          <w:lang w:val="en-US"/>
        </w:rPr>
        <w:t>Strict approaches to the use of statistical power in designing monitoring programs assume that clear answers to these questions are available.  But in practice, such clarity rarely exists.  Notions of burden of proof and what might be regarded a tolerable impact are not solely technical questions.  They involve resolution of the individual and collective judgments of industry,</w:t>
      </w:r>
      <w:r w:rsidR="00B041AC">
        <w:rPr>
          <w:lang w:val="en-US"/>
        </w:rPr>
        <w:t xml:space="preserve"> managers and stakeholders.    </w:t>
      </w:r>
      <w:r w:rsidRPr="001E5A2B">
        <w:rPr>
          <w:lang w:val="en-US"/>
        </w:rPr>
        <w:t>Th</w:t>
      </w:r>
      <w:r w:rsidR="00CF7ABA">
        <w:rPr>
          <w:lang w:val="en-US"/>
        </w:rPr>
        <w:t>is</w:t>
      </w:r>
      <w:r w:rsidRPr="001E5A2B">
        <w:rPr>
          <w:lang w:val="en-US"/>
        </w:rPr>
        <w:t xml:space="preserve"> report avoids pre-empting or second guessing these judgments.  Reef managers and stakeholders will not immediately resolve the issues and values associated with alternative perspectives on the importance of various targets or what burden of proof should apply.  The approach </w:t>
      </w:r>
      <w:r w:rsidR="000A09A4">
        <w:rPr>
          <w:lang w:val="en-US"/>
        </w:rPr>
        <w:t>described in section 4.2</w:t>
      </w:r>
      <w:r w:rsidRPr="001E5A2B">
        <w:rPr>
          <w:lang w:val="en-US"/>
        </w:rPr>
        <w:t xml:space="preserve"> </w:t>
      </w:r>
      <w:r w:rsidR="000A09A4">
        <w:rPr>
          <w:lang w:val="en-US"/>
        </w:rPr>
        <w:t xml:space="preserve">involves </w:t>
      </w:r>
      <w:r w:rsidR="00D03E6B">
        <w:rPr>
          <w:lang w:val="en-US"/>
        </w:rPr>
        <w:t xml:space="preserve">use of </w:t>
      </w:r>
      <w:r w:rsidR="00716331">
        <w:rPr>
          <w:lang w:val="en-US"/>
        </w:rPr>
        <w:t xml:space="preserve">models and </w:t>
      </w:r>
      <w:r w:rsidR="00D03E6B">
        <w:rPr>
          <w:lang w:val="en-US"/>
        </w:rPr>
        <w:t xml:space="preserve">power calculations in </w:t>
      </w:r>
      <w:r w:rsidR="000A09A4">
        <w:rPr>
          <w:lang w:val="en-US"/>
        </w:rPr>
        <w:t>development of</w:t>
      </w:r>
      <w:r w:rsidRPr="001E5A2B">
        <w:rPr>
          <w:lang w:val="en-US"/>
        </w:rPr>
        <w:t xml:space="preserve"> a framework that encourages progressive exploration of these themes without being prescriptive or draconian in their application.  Blanket prescriptions for demonstrating compliance (or non-compliance) </w:t>
      </w:r>
      <w:r w:rsidR="000A09A4">
        <w:rPr>
          <w:lang w:val="en-US"/>
        </w:rPr>
        <w:t xml:space="preserve">with targets </w:t>
      </w:r>
      <w:r w:rsidRPr="001E5A2B">
        <w:rPr>
          <w:lang w:val="en-US"/>
        </w:rPr>
        <w:t xml:space="preserve">are unlikely to be efficient or operationally feasible.  This report urges managers and stakeholders to differentiate </w:t>
      </w:r>
      <w:r w:rsidR="00D03E6B">
        <w:rPr>
          <w:lang w:val="en-US"/>
        </w:rPr>
        <w:t>targets</w:t>
      </w:r>
      <w:r w:rsidRPr="001E5A2B">
        <w:rPr>
          <w:lang w:val="en-US"/>
        </w:rPr>
        <w:t xml:space="preserve"> within LTSP2050 that are of greater importance f</w:t>
      </w:r>
      <w:r w:rsidR="00CF7ABA">
        <w:rPr>
          <w:lang w:val="en-US"/>
        </w:rPr>
        <w:t>rom those of lesser importance</w:t>
      </w:r>
      <w:r w:rsidR="00716331">
        <w:rPr>
          <w:lang w:val="en-US"/>
        </w:rPr>
        <w:t>,</w:t>
      </w:r>
      <w:r w:rsidR="00CF7ABA">
        <w:rPr>
          <w:lang w:val="en-US"/>
        </w:rPr>
        <w:t xml:space="preserve"> </w:t>
      </w:r>
      <w:proofErr w:type="spellStart"/>
      <w:r w:rsidRPr="001E5A2B">
        <w:rPr>
          <w:lang w:val="en-US"/>
        </w:rPr>
        <w:t>recognising</w:t>
      </w:r>
      <w:proofErr w:type="spellEnd"/>
      <w:r w:rsidRPr="001E5A2B">
        <w:rPr>
          <w:lang w:val="en-US"/>
        </w:rPr>
        <w:t xml:space="preserve"> the management con</w:t>
      </w:r>
      <w:r w:rsidR="00CF7ABA">
        <w:rPr>
          <w:lang w:val="en-US"/>
        </w:rPr>
        <w:t>text of individual circumstance</w:t>
      </w:r>
      <w:r w:rsidRPr="001E5A2B">
        <w:rPr>
          <w:lang w:val="en-US"/>
        </w:rPr>
        <w:t>, and to allocate their mo</w:t>
      </w:r>
      <w:r w:rsidR="00D03E6B">
        <w:rPr>
          <w:lang w:val="en-US"/>
        </w:rPr>
        <w:t>nitoring resources accordingly.</w:t>
      </w:r>
    </w:p>
    <w:p w:rsidR="00335F2C" w:rsidRDefault="00335F2C">
      <w:pPr>
        <w:rPr>
          <w:lang w:val="en-US"/>
        </w:rPr>
      </w:pPr>
      <w:r>
        <w:rPr>
          <w:lang w:val="en-US"/>
        </w:rPr>
        <w:br w:type="page"/>
      </w:r>
    </w:p>
    <w:p w:rsidR="00D03E6B" w:rsidRDefault="00D03E6B" w:rsidP="00A0686B">
      <w:pPr>
        <w:pStyle w:val="Heading3"/>
      </w:pPr>
      <w:bookmarkStart w:id="16" w:name="_Toc406768045"/>
      <w:r w:rsidRPr="009801A7">
        <w:lastRenderedPageBreak/>
        <w:t>3.2 Integrating datasets</w:t>
      </w:r>
      <w:bookmarkEnd w:id="16"/>
    </w:p>
    <w:p w:rsidR="004355D8" w:rsidRDefault="004355D8" w:rsidP="006D7FD4">
      <w:pPr>
        <w:spacing w:after="0"/>
        <w:ind w:right="-164"/>
      </w:pPr>
      <w:r>
        <w:t>The intuitive motivation for combining the information embedded in multiple monit</w:t>
      </w:r>
      <w:r w:rsidR="00821005">
        <w:t>or</w:t>
      </w:r>
      <w:r>
        <w:t>ing programs is greater clarity</w:t>
      </w:r>
      <w:r w:rsidR="00082A50">
        <w:t xml:space="preserve"> of ecosystem status and trend</w:t>
      </w:r>
      <w:r w:rsidR="009F0E2C">
        <w:t>.  In concept, increas</w:t>
      </w:r>
      <w:r>
        <w:t>ing the effective sample size of a monitoring program through integration of multiple datasets shou</w:t>
      </w:r>
      <w:r w:rsidR="00F12073">
        <w:t xml:space="preserve">ld lead to greater precision. (We note that this need not always be the case, especially where instrument error and operator error is substantial). </w:t>
      </w:r>
      <w:r w:rsidR="003C2849">
        <w:t xml:space="preserve">With precision comes </w:t>
      </w:r>
      <w:r>
        <w:t>clarity in decision-making.  Where monitoring indicates targets are unlikely to be met there is an imperative to consider changes in management.  Where monitoring indicates success, it may be worth broadening o</w:t>
      </w:r>
      <w:r w:rsidR="00082A50">
        <w:t>r</w:t>
      </w:r>
      <w:r>
        <w:t xml:space="preserve"> intensifying the investment in underpinning management interventions.</w:t>
      </w:r>
    </w:p>
    <w:p w:rsidR="00716331" w:rsidRDefault="00716331" w:rsidP="006D7FD4">
      <w:pPr>
        <w:spacing w:after="0"/>
      </w:pPr>
    </w:p>
    <w:p w:rsidR="00716331" w:rsidRDefault="00117620" w:rsidP="006D7FD4">
      <w:pPr>
        <w:spacing w:after="0"/>
      </w:pPr>
      <w:r>
        <w:t xml:space="preserve">We want more precision, </w:t>
      </w:r>
      <w:r w:rsidR="005B0878" w:rsidRPr="005B0878">
        <w:t xml:space="preserve">preferably for </w:t>
      </w:r>
      <w:r w:rsidR="005B0878">
        <w:t xml:space="preserve">little or no additional cost.  </w:t>
      </w:r>
      <w:r>
        <w:t xml:space="preserve">Before considering </w:t>
      </w:r>
      <w:r w:rsidR="00F12073">
        <w:t>major changes to current</w:t>
      </w:r>
      <w:r>
        <w:t xml:space="preserve"> monitoring of the GBRWHA it’s reasonable to ask, </w:t>
      </w:r>
      <w:r w:rsidRPr="000C6AA0">
        <w:rPr>
          <w:i/>
        </w:rPr>
        <w:t>w</w:t>
      </w:r>
      <w:r w:rsidR="005B0878" w:rsidRPr="000C6AA0">
        <w:rPr>
          <w:i/>
        </w:rPr>
        <w:t>hat can be achieved through better integration of current monitoring programs?</w:t>
      </w:r>
      <w:r w:rsidR="003C2849" w:rsidRPr="000C6AA0">
        <w:rPr>
          <w:i/>
        </w:rPr>
        <w:t xml:space="preserve"> </w:t>
      </w:r>
      <w:r w:rsidR="003C2849">
        <w:t xml:space="preserve"> Wherever possible, an IMP should combine information on specific environmental </w:t>
      </w:r>
      <w:r w:rsidR="002C0526">
        <w:t>variables</w:t>
      </w:r>
      <w:r w:rsidR="003C2849">
        <w:t xml:space="preserve"> so as to maximise the state of knowledge relating to reef health. </w:t>
      </w:r>
      <w:r w:rsidR="000C6AA0">
        <w:t xml:space="preserve"> </w:t>
      </w:r>
      <w:r w:rsidR="003C2849">
        <w:t xml:space="preserve">In addition, it is </w:t>
      </w:r>
      <w:r w:rsidR="007324C0">
        <w:t>desira</w:t>
      </w:r>
      <w:r w:rsidR="00716331">
        <w:t xml:space="preserve">ble </w:t>
      </w:r>
      <w:r w:rsidR="003C2849">
        <w:t xml:space="preserve">this information be presented spatially, with uncertainties clearly represented, so that gaps or overlaps in monitoring can be identified. </w:t>
      </w:r>
    </w:p>
    <w:p w:rsidR="004D12BA" w:rsidRPr="006B7701" w:rsidRDefault="004D12BA" w:rsidP="004D12BA">
      <w:pPr>
        <w:pStyle w:val="NormalWeb"/>
        <w:spacing w:after="200" w:afterAutospacing="0" w:line="276" w:lineRule="auto"/>
        <w:rPr>
          <w:rFonts w:asciiTheme="minorHAnsi" w:hAnsiTheme="minorHAnsi"/>
          <w:sz w:val="22"/>
          <w:szCs w:val="22"/>
        </w:rPr>
      </w:pPr>
      <w:r w:rsidRPr="006B7701">
        <w:rPr>
          <w:rFonts w:asciiTheme="minorHAnsi" w:hAnsiTheme="minorHAnsi"/>
          <w:sz w:val="22"/>
          <w:szCs w:val="22"/>
        </w:rPr>
        <w:t xml:space="preserve">Maximizing the information gained from disparate sampling programs across the GBR requires a set of coherent statistical approaches that are </w:t>
      </w:r>
      <w:r w:rsidR="00587761">
        <w:rPr>
          <w:rFonts w:asciiTheme="minorHAnsi" w:hAnsiTheme="minorHAnsi"/>
          <w:sz w:val="22"/>
          <w:szCs w:val="22"/>
        </w:rPr>
        <w:t>(</w:t>
      </w:r>
      <w:r w:rsidRPr="006B7701">
        <w:rPr>
          <w:rFonts w:asciiTheme="minorHAnsi" w:hAnsiTheme="minorHAnsi"/>
          <w:sz w:val="22"/>
          <w:szCs w:val="22"/>
        </w:rPr>
        <w:t xml:space="preserve">a) appropriate for the kinds of data collected and that can </w:t>
      </w:r>
      <w:r w:rsidR="00587761">
        <w:rPr>
          <w:rFonts w:asciiTheme="minorHAnsi" w:hAnsiTheme="minorHAnsi"/>
          <w:sz w:val="22"/>
          <w:szCs w:val="22"/>
        </w:rPr>
        <w:t>(</w:t>
      </w:r>
      <w:r w:rsidRPr="006B7701">
        <w:rPr>
          <w:rFonts w:asciiTheme="minorHAnsi" w:hAnsiTheme="minorHAnsi"/>
          <w:sz w:val="22"/>
          <w:szCs w:val="22"/>
        </w:rPr>
        <w:t>b) readily integrate information about a given variable collected in different ways. The first consideration is that data currently collected on the GBR can generally be though</w:t>
      </w:r>
      <w:r w:rsidR="007324C0">
        <w:rPr>
          <w:rFonts w:asciiTheme="minorHAnsi" w:hAnsiTheme="minorHAnsi"/>
          <w:sz w:val="22"/>
          <w:szCs w:val="22"/>
        </w:rPr>
        <w:t>t</w:t>
      </w:r>
      <w:r w:rsidRPr="006B7701">
        <w:rPr>
          <w:rFonts w:asciiTheme="minorHAnsi" w:hAnsiTheme="minorHAnsi"/>
          <w:sz w:val="22"/>
          <w:szCs w:val="22"/>
        </w:rPr>
        <w:t xml:space="preserve"> of as being either continuous process</w:t>
      </w:r>
      <w:r w:rsidR="007324C0">
        <w:rPr>
          <w:rFonts w:asciiTheme="minorHAnsi" w:hAnsiTheme="minorHAnsi"/>
          <w:sz w:val="22"/>
          <w:szCs w:val="22"/>
        </w:rPr>
        <w:t>es</w:t>
      </w:r>
      <w:r w:rsidRPr="006B7701">
        <w:rPr>
          <w:rFonts w:asciiTheme="minorHAnsi" w:hAnsiTheme="minorHAnsi"/>
          <w:sz w:val="22"/>
          <w:szCs w:val="22"/>
        </w:rPr>
        <w:t xml:space="preserve"> in space and time</w:t>
      </w:r>
      <w:r w:rsidR="007324C0">
        <w:rPr>
          <w:rFonts w:asciiTheme="minorHAnsi" w:hAnsiTheme="minorHAnsi"/>
          <w:sz w:val="22"/>
          <w:szCs w:val="22"/>
        </w:rPr>
        <w:t xml:space="preserve"> (e.g. water quality variables)</w:t>
      </w:r>
      <w:r w:rsidRPr="006B7701">
        <w:rPr>
          <w:rFonts w:asciiTheme="minorHAnsi" w:hAnsiTheme="minorHAnsi"/>
          <w:sz w:val="22"/>
          <w:szCs w:val="22"/>
        </w:rPr>
        <w:t xml:space="preserve">, or </w:t>
      </w:r>
      <w:r w:rsidRPr="007324C0">
        <w:rPr>
          <w:rStyle w:val="Emphasis"/>
          <w:rFonts w:asciiTheme="minorHAnsi" w:eastAsiaTheme="majorEastAsia" w:hAnsiTheme="minorHAnsi"/>
          <w:i w:val="0"/>
          <w:sz w:val="22"/>
          <w:szCs w:val="22"/>
        </w:rPr>
        <w:t>hierarchical</w:t>
      </w:r>
      <w:r w:rsidRPr="007324C0">
        <w:rPr>
          <w:rFonts w:asciiTheme="minorHAnsi" w:hAnsiTheme="minorHAnsi"/>
          <w:i/>
          <w:sz w:val="22"/>
          <w:szCs w:val="22"/>
        </w:rPr>
        <w:t>,</w:t>
      </w:r>
      <w:r w:rsidRPr="006B7701">
        <w:rPr>
          <w:rFonts w:asciiTheme="minorHAnsi" w:hAnsiTheme="minorHAnsi"/>
          <w:sz w:val="22"/>
          <w:szCs w:val="22"/>
        </w:rPr>
        <w:t xml:space="preserve"> meaning that measured variables occur at discrete places in time and are nested within a hierarchical set of spatial scales</w:t>
      </w:r>
      <w:r w:rsidR="00532F48">
        <w:rPr>
          <w:rFonts w:asciiTheme="minorHAnsi" w:hAnsiTheme="minorHAnsi"/>
          <w:sz w:val="22"/>
          <w:szCs w:val="22"/>
        </w:rPr>
        <w:t xml:space="preserve"> (e.g. coral reefs)</w:t>
      </w:r>
      <w:r w:rsidRPr="006B7701">
        <w:rPr>
          <w:rFonts w:asciiTheme="minorHAnsi" w:hAnsiTheme="minorHAnsi"/>
          <w:sz w:val="22"/>
          <w:szCs w:val="22"/>
        </w:rPr>
        <w:t>. Each of these data types lead to different assumptions about their structure, leading to different approaches for statistical analysis and inference.</w:t>
      </w:r>
    </w:p>
    <w:p w:rsidR="004D12BA" w:rsidRPr="006B7701" w:rsidRDefault="004D12BA" w:rsidP="004D12BA">
      <w:pPr>
        <w:pStyle w:val="NormalWeb"/>
        <w:spacing w:after="200" w:afterAutospacing="0" w:line="276" w:lineRule="auto"/>
        <w:rPr>
          <w:rFonts w:asciiTheme="minorHAnsi" w:hAnsiTheme="minorHAnsi"/>
          <w:sz w:val="22"/>
          <w:szCs w:val="22"/>
        </w:rPr>
      </w:pPr>
      <w:r w:rsidRPr="006B7701">
        <w:rPr>
          <w:rFonts w:asciiTheme="minorHAnsi" w:hAnsiTheme="minorHAnsi"/>
          <w:sz w:val="22"/>
          <w:szCs w:val="22"/>
        </w:rPr>
        <w:t>The second</w:t>
      </w:r>
      <w:r w:rsidR="00194D6C">
        <w:rPr>
          <w:rFonts w:asciiTheme="minorHAnsi" w:hAnsiTheme="minorHAnsi"/>
          <w:sz w:val="22"/>
          <w:szCs w:val="22"/>
        </w:rPr>
        <w:t xml:space="preserve"> consideration in </w:t>
      </w:r>
      <w:proofErr w:type="gramStart"/>
      <w:r w:rsidR="00194D6C">
        <w:rPr>
          <w:rFonts w:asciiTheme="minorHAnsi" w:hAnsiTheme="minorHAnsi"/>
          <w:sz w:val="22"/>
          <w:szCs w:val="22"/>
        </w:rPr>
        <w:t xml:space="preserve">developing </w:t>
      </w:r>
      <w:r w:rsidRPr="006B7701">
        <w:rPr>
          <w:rFonts w:asciiTheme="minorHAnsi" w:hAnsiTheme="minorHAnsi"/>
          <w:sz w:val="22"/>
          <w:szCs w:val="22"/>
        </w:rPr>
        <w:t xml:space="preserve"> analytical</w:t>
      </w:r>
      <w:proofErr w:type="gramEnd"/>
      <w:r w:rsidRPr="006B7701">
        <w:rPr>
          <w:rFonts w:asciiTheme="minorHAnsi" w:hAnsiTheme="minorHAnsi"/>
          <w:sz w:val="22"/>
          <w:szCs w:val="22"/>
        </w:rPr>
        <w:t xml:space="preserve"> guidelines is in how to appropriately combine information about a specific variable measured by different data providers. In this regard the solution for both spatial and hierarchal data is similar in that Bayesian methods allow information to be combined in a straightforward and coherent way, with minimum information loss. Bayesian analysis has achieved a high level of traction in rece</w:t>
      </w:r>
      <w:r w:rsidR="00532F48">
        <w:rPr>
          <w:rFonts w:asciiTheme="minorHAnsi" w:hAnsiTheme="minorHAnsi"/>
          <w:sz w:val="22"/>
          <w:szCs w:val="22"/>
        </w:rPr>
        <w:t>nt years due to it</w:t>
      </w:r>
      <w:r w:rsidRPr="006B7701">
        <w:rPr>
          <w:rFonts w:asciiTheme="minorHAnsi" w:hAnsiTheme="minorHAnsi"/>
          <w:sz w:val="22"/>
          <w:szCs w:val="22"/>
        </w:rPr>
        <w:t>s exceptional flexibility and coherence for propagating knowledge forward through subsequent analyses. As such it will form the basis of analysis for both spatial and hierarchical IMP data</w:t>
      </w:r>
      <w:r w:rsidR="00194D6C">
        <w:rPr>
          <w:rFonts w:asciiTheme="minorHAnsi" w:hAnsiTheme="minorHAnsi"/>
          <w:sz w:val="22"/>
          <w:szCs w:val="22"/>
        </w:rPr>
        <w:t xml:space="preserve"> in this report</w:t>
      </w:r>
      <w:r w:rsidRPr="006B7701">
        <w:rPr>
          <w:rFonts w:asciiTheme="minorHAnsi" w:hAnsiTheme="minorHAnsi"/>
          <w:sz w:val="22"/>
          <w:szCs w:val="22"/>
        </w:rPr>
        <w:t>, collected by various data providers.</w:t>
      </w:r>
    </w:p>
    <w:p w:rsidR="004D12BA" w:rsidRPr="006B7701" w:rsidRDefault="004D12BA" w:rsidP="004D12BA">
      <w:pPr>
        <w:pStyle w:val="Heading4"/>
      </w:pPr>
    </w:p>
    <w:p w:rsidR="004D12BA" w:rsidRPr="006B7701" w:rsidRDefault="004D12BA" w:rsidP="004D12BA">
      <w:pPr>
        <w:pStyle w:val="Heading4"/>
      </w:pPr>
      <w:r w:rsidRPr="006B7701">
        <w:t>Bayesian Gaussian Process models for IMP geospatial analysis and data integration</w:t>
      </w:r>
    </w:p>
    <w:p w:rsidR="004D12BA" w:rsidRPr="006B7701" w:rsidRDefault="004D12BA" w:rsidP="007F2993">
      <w:pPr>
        <w:pStyle w:val="NormalWeb"/>
        <w:spacing w:before="120" w:beforeAutospacing="0" w:after="200" w:afterAutospacing="0" w:line="276" w:lineRule="auto"/>
        <w:rPr>
          <w:rFonts w:asciiTheme="minorHAnsi" w:hAnsiTheme="minorHAnsi"/>
          <w:sz w:val="22"/>
          <w:szCs w:val="22"/>
          <w:lang w:val="en-US"/>
        </w:rPr>
      </w:pPr>
      <w:r w:rsidRPr="006B7701">
        <w:rPr>
          <w:rFonts w:asciiTheme="minorHAnsi" w:hAnsiTheme="minorHAnsi"/>
          <w:sz w:val="22"/>
          <w:szCs w:val="22"/>
        </w:rPr>
        <w:t xml:space="preserve">Water quality is among the most important measurements made on the GBR and it includes numerous spatially-continuous variables, such as nutrients and </w:t>
      </w:r>
      <w:proofErr w:type="gramStart"/>
      <w:r w:rsidRPr="006B7701">
        <w:rPr>
          <w:rFonts w:asciiTheme="minorHAnsi" w:hAnsiTheme="minorHAnsi"/>
          <w:sz w:val="22"/>
          <w:szCs w:val="22"/>
        </w:rPr>
        <w:t>turbidity, that</w:t>
      </w:r>
      <w:proofErr w:type="gramEnd"/>
      <w:r w:rsidRPr="006B7701">
        <w:rPr>
          <w:rFonts w:asciiTheme="minorHAnsi" w:hAnsiTheme="minorHAnsi"/>
          <w:sz w:val="22"/>
          <w:szCs w:val="22"/>
        </w:rPr>
        <w:t xml:space="preserve"> are only patchily sampled in space and time. The intrinsic patchiness of sampling such a large water body presents </w:t>
      </w:r>
      <w:r w:rsidR="00587761">
        <w:rPr>
          <w:rFonts w:asciiTheme="minorHAnsi" w:hAnsiTheme="minorHAnsi"/>
          <w:sz w:val="22"/>
          <w:szCs w:val="22"/>
        </w:rPr>
        <w:t>a substantial</w:t>
      </w:r>
      <w:r w:rsidRPr="006B7701">
        <w:rPr>
          <w:rFonts w:asciiTheme="minorHAnsi" w:hAnsiTheme="minorHAnsi"/>
          <w:sz w:val="22"/>
          <w:szCs w:val="22"/>
        </w:rPr>
        <w:t xml:space="preserve"> challenge to GBR managers who must base their advice and decisions on this set of sparse, uncertain data. For these spatially-continuous environmental variables some method of interpolation in space and time is required to estimate the value of each variable at a given point in time. Traditional methods for interpolation include various geospatial and non-geospatial methods (reviewed and compared in </w:t>
      </w:r>
      <w:r w:rsidRPr="006B7701">
        <w:rPr>
          <w:rFonts w:asciiTheme="minorHAnsi" w:hAnsiTheme="minorHAnsi"/>
          <w:sz w:val="22"/>
          <w:szCs w:val="22"/>
          <w:lang w:val="en-US"/>
        </w:rPr>
        <w:t xml:space="preserve">Li </w:t>
      </w:r>
      <w:r w:rsidRPr="006B7701">
        <w:rPr>
          <w:rFonts w:asciiTheme="minorHAnsi" w:hAnsiTheme="minorHAnsi"/>
          <w:sz w:val="22"/>
          <w:szCs w:val="22"/>
          <w:lang w:val="en-US"/>
        </w:rPr>
        <w:lastRenderedPageBreak/>
        <w:t>and Australia (2008)</w:t>
      </w:r>
      <w:r w:rsidRPr="006B7701">
        <w:rPr>
          <w:rFonts w:asciiTheme="minorHAnsi" w:hAnsiTheme="minorHAnsi"/>
          <w:sz w:val="22"/>
          <w:szCs w:val="22"/>
        </w:rPr>
        <w:t xml:space="preserve">) and among marine environmental scientists, geospatial methods related to </w:t>
      </w:r>
      <w:proofErr w:type="spellStart"/>
      <w:r w:rsidRPr="006B7701">
        <w:rPr>
          <w:rFonts w:asciiTheme="minorHAnsi" w:hAnsiTheme="minorHAnsi"/>
          <w:sz w:val="22"/>
          <w:szCs w:val="22"/>
        </w:rPr>
        <w:t>kriging</w:t>
      </w:r>
      <w:proofErr w:type="spellEnd"/>
      <w:r w:rsidRPr="006B7701">
        <w:rPr>
          <w:rFonts w:asciiTheme="minorHAnsi" w:hAnsiTheme="minorHAnsi"/>
          <w:sz w:val="22"/>
          <w:szCs w:val="22"/>
        </w:rPr>
        <w:t xml:space="preserve"> are most commonly used to interpolate values between observations in space. A Bayesian analogue for </w:t>
      </w:r>
      <w:proofErr w:type="spellStart"/>
      <w:r w:rsidRPr="006B7701">
        <w:rPr>
          <w:rFonts w:asciiTheme="minorHAnsi" w:hAnsiTheme="minorHAnsi"/>
          <w:sz w:val="22"/>
          <w:szCs w:val="22"/>
        </w:rPr>
        <w:t>kriging</w:t>
      </w:r>
      <w:proofErr w:type="spellEnd"/>
      <w:r w:rsidRPr="006B7701">
        <w:rPr>
          <w:rFonts w:asciiTheme="minorHAnsi" w:hAnsiTheme="minorHAnsi"/>
          <w:sz w:val="22"/>
          <w:szCs w:val="22"/>
        </w:rPr>
        <w:t xml:space="preserve"> are Gaussian Process (GP) models which use the prior/posterior structure of Bayesian data analysis to provide probabilistic maps for measured variables that include appropriate estimat</w:t>
      </w:r>
      <w:r w:rsidR="00160550">
        <w:rPr>
          <w:rFonts w:asciiTheme="minorHAnsi" w:hAnsiTheme="minorHAnsi"/>
          <w:sz w:val="22"/>
          <w:szCs w:val="22"/>
        </w:rPr>
        <w:t>es of uncertainty (</w:t>
      </w:r>
      <w:proofErr w:type="spellStart"/>
      <w:r w:rsidR="00160550">
        <w:rPr>
          <w:rFonts w:asciiTheme="minorHAnsi" w:hAnsiTheme="minorHAnsi"/>
          <w:sz w:val="22"/>
          <w:szCs w:val="22"/>
        </w:rPr>
        <w:t>Patil</w:t>
      </w:r>
      <w:proofErr w:type="spellEnd"/>
      <w:r w:rsidR="00160550">
        <w:rPr>
          <w:rFonts w:asciiTheme="minorHAnsi" w:hAnsiTheme="minorHAnsi"/>
          <w:sz w:val="22"/>
          <w:szCs w:val="22"/>
        </w:rPr>
        <w:t xml:space="preserve"> et al.</w:t>
      </w:r>
      <w:r w:rsidRPr="006B7701">
        <w:rPr>
          <w:rFonts w:asciiTheme="minorHAnsi" w:hAnsiTheme="minorHAnsi"/>
          <w:sz w:val="22"/>
          <w:szCs w:val="22"/>
        </w:rPr>
        <w:t xml:space="preserve"> 2011</w:t>
      </w:r>
      <w:r w:rsidR="002D64C0">
        <w:rPr>
          <w:rFonts w:asciiTheme="minorHAnsi" w:hAnsiTheme="minorHAnsi"/>
          <w:sz w:val="22"/>
          <w:szCs w:val="22"/>
        </w:rPr>
        <w:t>; Brando et al. 2014</w:t>
      </w:r>
      <w:r w:rsidRPr="006B7701">
        <w:rPr>
          <w:rFonts w:asciiTheme="minorHAnsi" w:hAnsiTheme="minorHAnsi"/>
          <w:sz w:val="22"/>
          <w:szCs w:val="22"/>
        </w:rPr>
        <w:t>). As a key goal of the IMP is to provide the best possible information for use in management of the GBR, an estimation method that includes probabilistic evaluations of uncertainty and can readily integrate disparate datasets makes GP-based models highly desirable.</w:t>
      </w:r>
    </w:p>
    <w:p w:rsidR="004D12BA" w:rsidRPr="006B7701" w:rsidRDefault="004D12BA" w:rsidP="004D12BA">
      <w:pPr>
        <w:pStyle w:val="NormalWeb"/>
        <w:spacing w:after="200" w:afterAutospacing="0" w:line="276" w:lineRule="auto"/>
        <w:rPr>
          <w:rFonts w:asciiTheme="minorHAnsi" w:hAnsiTheme="minorHAnsi"/>
          <w:sz w:val="22"/>
          <w:szCs w:val="22"/>
        </w:rPr>
      </w:pPr>
      <w:r w:rsidRPr="006B7701">
        <w:rPr>
          <w:rFonts w:asciiTheme="minorHAnsi" w:hAnsiTheme="minorHAnsi"/>
          <w:sz w:val="22"/>
          <w:szCs w:val="22"/>
        </w:rPr>
        <w:t xml:space="preserve">Building a GP-based map of GBR environmental variables begins with a prior surface (a map) that includes no data and represents current knowledge about what values a </w:t>
      </w:r>
      <w:r w:rsidR="00532F48">
        <w:rPr>
          <w:rFonts w:asciiTheme="minorHAnsi" w:hAnsiTheme="minorHAnsi"/>
          <w:sz w:val="22"/>
          <w:szCs w:val="22"/>
        </w:rPr>
        <w:t xml:space="preserve">given variable might have at </w:t>
      </w:r>
      <w:r w:rsidRPr="006B7701">
        <w:rPr>
          <w:rFonts w:asciiTheme="minorHAnsi" w:hAnsiTheme="minorHAnsi"/>
          <w:sz w:val="22"/>
          <w:szCs w:val="22"/>
        </w:rPr>
        <w:t>various points in space at a given time. These prior beliefs could be flat, reflecting total ignorance about potential values for the variable being measured (which is unlikely), or can be informative, meaning some knowledge is available about the variable but its values are uncertain. In either case the GP modelling process updates the map of prior beliefs with data where it is observed, as well as at points nearby using a specified covariance function, to generate a new set of posterior maps for a given variable.</w:t>
      </w:r>
    </w:p>
    <w:p w:rsidR="004D12BA" w:rsidRPr="006B7701" w:rsidRDefault="004D12BA" w:rsidP="004D12BA">
      <w:pPr>
        <w:pStyle w:val="NormalWeb"/>
        <w:spacing w:after="200" w:afterAutospacing="0" w:line="276" w:lineRule="auto"/>
        <w:rPr>
          <w:rFonts w:asciiTheme="minorHAnsi" w:hAnsiTheme="minorHAnsi"/>
          <w:sz w:val="22"/>
          <w:szCs w:val="22"/>
        </w:rPr>
      </w:pPr>
      <w:r w:rsidRPr="006B7701">
        <w:rPr>
          <w:rFonts w:asciiTheme="minorHAnsi" w:hAnsiTheme="minorHAnsi"/>
          <w:sz w:val="22"/>
          <w:szCs w:val="22"/>
        </w:rPr>
        <w:t xml:space="preserve">A GP model without any covariates is principally defined by its covariance, for which the IMP will use the flexible </w:t>
      </w:r>
      <w:proofErr w:type="spellStart"/>
      <w:r w:rsidRPr="006B7701">
        <w:rPr>
          <w:rFonts w:asciiTheme="minorHAnsi" w:hAnsiTheme="minorHAnsi"/>
          <w:sz w:val="22"/>
          <w:szCs w:val="22"/>
        </w:rPr>
        <w:t>Matérn</w:t>
      </w:r>
      <w:proofErr w:type="spellEnd"/>
      <w:r w:rsidRPr="006B7701">
        <w:rPr>
          <w:rFonts w:asciiTheme="minorHAnsi" w:hAnsiTheme="minorHAnsi"/>
          <w:sz w:val="22"/>
          <w:szCs w:val="22"/>
        </w:rPr>
        <w:t xml:space="preserve"> function which characte</w:t>
      </w:r>
      <w:r w:rsidR="00587761">
        <w:rPr>
          <w:rFonts w:asciiTheme="minorHAnsi" w:hAnsiTheme="minorHAnsi"/>
          <w:sz w:val="22"/>
          <w:szCs w:val="22"/>
        </w:rPr>
        <w:t xml:space="preserve">rizes the covariance between </w:t>
      </w:r>
      <w:r w:rsidRPr="006B7701">
        <w:rPr>
          <w:rFonts w:asciiTheme="minorHAnsi" w:hAnsiTheme="minorHAnsi"/>
          <w:sz w:val="22"/>
          <w:szCs w:val="22"/>
        </w:rPr>
        <w:t xml:space="preserve">any two points on the map by their Euclidian distance, given by the latitude/longitude coordinates of each observation. The </w:t>
      </w:r>
      <w:proofErr w:type="spellStart"/>
      <w:r w:rsidRPr="006B7701">
        <w:rPr>
          <w:rFonts w:asciiTheme="minorHAnsi" w:hAnsiTheme="minorHAnsi"/>
          <w:sz w:val="22"/>
          <w:szCs w:val="22"/>
        </w:rPr>
        <w:t>Matérn</w:t>
      </w:r>
      <w:proofErr w:type="spellEnd"/>
      <w:r w:rsidRPr="006B7701">
        <w:rPr>
          <w:rFonts w:asciiTheme="minorHAnsi" w:hAnsiTheme="minorHAnsi"/>
          <w:sz w:val="22"/>
          <w:szCs w:val="22"/>
        </w:rPr>
        <w:t xml:space="preserve"> covariance function has three parameters: </w:t>
      </w:r>
      <w:r w:rsidRPr="006B7701">
        <w:rPr>
          <w:rStyle w:val="Emphasis"/>
          <w:rFonts w:asciiTheme="minorHAnsi" w:eastAsiaTheme="majorEastAsia" w:hAnsiTheme="minorHAnsi"/>
          <w:sz w:val="22"/>
          <w:szCs w:val="22"/>
        </w:rPr>
        <w:t>amplitude</w:t>
      </w:r>
      <w:r w:rsidRPr="006B7701">
        <w:rPr>
          <w:rFonts w:asciiTheme="minorHAnsi" w:hAnsiTheme="minorHAnsi"/>
          <w:sz w:val="22"/>
          <w:szCs w:val="22"/>
        </w:rPr>
        <w:t xml:space="preserve">, </w:t>
      </w:r>
      <w:r w:rsidR="002D64C0">
        <w:rPr>
          <w:rFonts w:asciiTheme="minorHAnsi" w:hAnsiTheme="minorHAnsi"/>
          <w:sz w:val="22"/>
          <w:szCs w:val="22"/>
        </w:rPr>
        <w:t>governing</w:t>
      </w:r>
      <w:r w:rsidRPr="006B7701">
        <w:rPr>
          <w:rFonts w:asciiTheme="minorHAnsi" w:hAnsiTheme="minorHAnsi"/>
          <w:sz w:val="22"/>
          <w:szCs w:val="22"/>
        </w:rPr>
        <w:t xml:space="preserve"> the </w:t>
      </w:r>
      <w:r w:rsidR="002D64C0">
        <w:rPr>
          <w:rFonts w:asciiTheme="minorHAnsi" w:hAnsiTheme="minorHAnsi"/>
          <w:sz w:val="22"/>
          <w:szCs w:val="22"/>
        </w:rPr>
        <w:t xml:space="preserve">relief </w:t>
      </w:r>
      <w:r w:rsidRPr="006B7701">
        <w:rPr>
          <w:rFonts w:asciiTheme="minorHAnsi" w:hAnsiTheme="minorHAnsi"/>
          <w:sz w:val="22"/>
          <w:szCs w:val="22"/>
        </w:rPr>
        <w:t xml:space="preserve">of the response surface; </w:t>
      </w:r>
      <w:r w:rsidRPr="006B7701">
        <w:rPr>
          <w:rStyle w:val="Emphasis"/>
          <w:rFonts w:asciiTheme="minorHAnsi" w:eastAsiaTheme="majorEastAsia" w:hAnsiTheme="minorHAnsi"/>
          <w:sz w:val="22"/>
          <w:szCs w:val="22"/>
        </w:rPr>
        <w:t>scale</w:t>
      </w:r>
      <w:r w:rsidRPr="006B7701">
        <w:rPr>
          <w:rFonts w:asciiTheme="minorHAnsi" w:hAnsiTheme="minorHAnsi"/>
          <w:sz w:val="22"/>
          <w:szCs w:val="22"/>
        </w:rPr>
        <w:t xml:space="preserve">, governing the relatedness of adjacent data points; and </w:t>
      </w:r>
      <w:r w:rsidRPr="006B7701">
        <w:rPr>
          <w:rStyle w:val="Emphasis"/>
          <w:rFonts w:asciiTheme="minorHAnsi" w:eastAsiaTheme="majorEastAsia" w:hAnsiTheme="minorHAnsi"/>
          <w:sz w:val="22"/>
          <w:szCs w:val="22"/>
        </w:rPr>
        <w:t>difference degree</w:t>
      </w:r>
      <w:r w:rsidRPr="006B7701">
        <w:rPr>
          <w:rFonts w:asciiTheme="minorHAnsi" w:hAnsiTheme="minorHAnsi"/>
          <w:sz w:val="22"/>
          <w:szCs w:val="22"/>
        </w:rPr>
        <w:t>, governing the level of smoothing over the GP map surface. These parameters are estimated from the data and, in the absence of other information, define the way values are interpolated over the entire map surface.</w:t>
      </w:r>
    </w:p>
    <w:p w:rsidR="00587761" w:rsidRDefault="00587761" w:rsidP="00587761">
      <w:pPr>
        <w:pStyle w:val="Heading4"/>
        <w:spacing w:after="120"/>
      </w:pPr>
    </w:p>
    <w:p w:rsidR="004D12BA" w:rsidRPr="006B7701" w:rsidRDefault="004D12BA" w:rsidP="00587761">
      <w:pPr>
        <w:pStyle w:val="Heading4"/>
        <w:spacing w:after="120"/>
      </w:pPr>
      <w:r w:rsidRPr="006B7701">
        <w:t>Example: nutrient measurements</w:t>
      </w:r>
    </w:p>
    <w:p w:rsidR="00335F2C" w:rsidRDefault="004D12BA" w:rsidP="000C6AA0">
      <w:pPr>
        <w:pStyle w:val="NormalWeb"/>
        <w:spacing w:before="0" w:beforeAutospacing="0" w:after="200" w:afterAutospacing="0" w:line="276" w:lineRule="auto"/>
        <w:rPr>
          <w:rFonts w:asciiTheme="minorHAnsi" w:hAnsiTheme="minorHAnsi"/>
          <w:sz w:val="22"/>
          <w:szCs w:val="22"/>
        </w:rPr>
      </w:pPr>
      <w:r w:rsidRPr="006B7701">
        <w:rPr>
          <w:rFonts w:asciiTheme="minorHAnsi" w:hAnsiTheme="minorHAnsi"/>
          <w:sz w:val="22"/>
          <w:szCs w:val="22"/>
        </w:rPr>
        <w:t>As a specific case to help illustrate the GP spatial modelling framework let’s consider the measurement of total nitrogen (TN) in the water column, measured by hand at specific points in time by both the Centre for Tropical Water &amp; Aquatic Ecosystem Research at James Cook University (</w:t>
      </w:r>
      <w:proofErr w:type="spellStart"/>
      <w:r w:rsidRPr="006B7701">
        <w:rPr>
          <w:rFonts w:asciiTheme="minorHAnsi" w:hAnsiTheme="minorHAnsi"/>
          <w:sz w:val="22"/>
          <w:szCs w:val="22"/>
        </w:rPr>
        <w:t>TropWater</w:t>
      </w:r>
      <w:proofErr w:type="spellEnd"/>
      <w:r w:rsidRPr="006B7701">
        <w:rPr>
          <w:rFonts w:asciiTheme="minorHAnsi" w:hAnsiTheme="minorHAnsi"/>
          <w:sz w:val="22"/>
          <w:szCs w:val="22"/>
        </w:rPr>
        <w:t xml:space="preserve">) and </w:t>
      </w:r>
      <w:r w:rsidR="00BE0612">
        <w:rPr>
          <w:rFonts w:asciiTheme="minorHAnsi" w:hAnsiTheme="minorHAnsi"/>
          <w:sz w:val="22"/>
          <w:szCs w:val="22"/>
        </w:rPr>
        <w:t>by AIMS, both part of the</w:t>
      </w:r>
      <w:r w:rsidRPr="006B7701">
        <w:rPr>
          <w:rFonts w:asciiTheme="minorHAnsi" w:hAnsiTheme="minorHAnsi"/>
          <w:sz w:val="22"/>
          <w:szCs w:val="22"/>
        </w:rPr>
        <w:t xml:space="preserve"> Marine Monitoring Program (MMP). These consist of </w:t>
      </w:r>
      <w:r w:rsidR="00BE0612">
        <w:rPr>
          <w:rFonts w:asciiTheme="minorHAnsi" w:hAnsiTheme="minorHAnsi"/>
          <w:sz w:val="22"/>
          <w:szCs w:val="22"/>
        </w:rPr>
        <w:t xml:space="preserve">site-aggregated </w:t>
      </w:r>
      <w:r w:rsidRPr="006B7701">
        <w:rPr>
          <w:rFonts w:asciiTheme="minorHAnsi" w:hAnsiTheme="minorHAnsi"/>
          <w:sz w:val="22"/>
          <w:szCs w:val="22"/>
        </w:rPr>
        <w:t xml:space="preserve">water samples taken in small </w:t>
      </w:r>
      <w:proofErr w:type="spellStart"/>
      <w:r w:rsidRPr="006B7701">
        <w:rPr>
          <w:rFonts w:asciiTheme="minorHAnsi" w:hAnsiTheme="minorHAnsi"/>
          <w:sz w:val="22"/>
          <w:szCs w:val="22"/>
        </w:rPr>
        <w:t>niskin</w:t>
      </w:r>
      <w:proofErr w:type="spellEnd"/>
      <w:r w:rsidRPr="006B7701">
        <w:rPr>
          <w:rFonts w:asciiTheme="minorHAnsi" w:hAnsiTheme="minorHAnsi"/>
          <w:sz w:val="22"/>
          <w:szCs w:val="22"/>
        </w:rPr>
        <w:t>-style bottles at specific points in time, often after a flood in the wet season</w:t>
      </w:r>
      <w:r w:rsidR="00BE0612">
        <w:rPr>
          <w:rFonts w:asciiTheme="minorHAnsi" w:hAnsiTheme="minorHAnsi"/>
          <w:sz w:val="22"/>
          <w:szCs w:val="22"/>
        </w:rPr>
        <w:t xml:space="preserve"> (Thompson et al. 2013)</w:t>
      </w:r>
      <w:r w:rsidRPr="006B7701">
        <w:rPr>
          <w:rFonts w:asciiTheme="minorHAnsi" w:hAnsiTheme="minorHAnsi"/>
          <w:sz w:val="22"/>
          <w:szCs w:val="22"/>
        </w:rPr>
        <w:t>. Data are sparse however; water quality is typically reported from one of four water quality seasons (Q1</w:t>
      </w:r>
      <w:proofErr w:type="gramStart"/>
      <w:r w:rsidRPr="006B7701">
        <w:rPr>
          <w:rFonts w:asciiTheme="minorHAnsi" w:hAnsiTheme="minorHAnsi"/>
          <w:sz w:val="22"/>
          <w:szCs w:val="22"/>
        </w:rPr>
        <w:t>:Oct</w:t>
      </w:r>
      <w:proofErr w:type="gramEnd"/>
      <w:r w:rsidRPr="006B7701">
        <w:rPr>
          <w:rFonts w:asciiTheme="minorHAnsi" w:hAnsiTheme="minorHAnsi"/>
          <w:sz w:val="22"/>
          <w:szCs w:val="22"/>
        </w:rPr>
        <w:t>-Dec; Q2:Jan-Mar; Q3:Apr-Jun; Q4:Jul-Sep) and samples for the Mack</w:t>
      </w:r>
      <w:r w:rsidR="006C160A">
        <w:rPr>
          <w:rFonts w:asciiTheme="minorHAnsi" w:hAnsiTheme="minorHAnsi"/>
          <w:sz w:val="22"/>
          <w:szCs w:val="22"/>
        </w:rPr>
        <w:t>ay-Whitsunday R</w:t>
      </w:r>
      <w:r w:rsidRPr="006B7701">
        <w:rPr>
          <w:rFonts w:asciiTheme="minorHAnsi" w:hAnsiTheme="minorHAnsi"/>
          <w:sz w:val="22"/>
          <w:szCs w:val="22"/>
        </w:rPr>
        <w:t xml:space="preserve">egion are mostly from 2008 (Table </w:t>
      </w:r>
      <w:r w:rsidR="00806215">
        <w:rPr>
          <w:rFonts w:asciiTheme="minorHAnsi" w:hAnsiTheme="minorHAnsi"/>
          <w:sz w:val="22"/>
          <w:szCs w:val="22"/>
        </w:rPr>
        <w:t>4</w:t>
      </w:r>
      <w:r w:rsidRPr="006B7701">
        <w:rPr>
          <w:rFonts w:asciiTheme="minorHAnsi" w:hAnsiTheme="minorHAnsi"/>
          <w:sz w:val="22"/>
          <w:szCs w:val="22"/>
        </w:rPr>
        <w:t>).</w:t>
      </w:r>
    </w:p>
    <w:p w:rsidR="00335F2C" w:rsidRDefault="00335F2C">
      <w:pPr>
        <w:rPr>
          <w:rFonts w:eastAsia="Times New Roman" w:cs="Times New Roman"/>
          <w:lang w:eastAsia="en-AU"/>
        </w:rPr>
      </w:pPr>
      <w:r>
        <w:br w:type="page"/>
      </w:r>
    </w:p>
    <w:p w:rsidR="004D12BA" w:rsidRPr="006B7701" w:rsidRDefault="004D12BA" w:rsidP="000C6AA0">
      <w:pPr>
        <w:pStyle w:val="NormalWeb"/>
        <w:spacing w:before="0" w:beforeAutospacing="0" w:after="200" w:afterAutospacing="0" w:line="276" w:lineRule="auto"/>
        <w:rPr>
          <w:rFonts w:asciiTheme="minorHAnsi" w:hAnsiTheme="minorHAnsi"/>
          <w:sz w:val="22"/>
          <w:szCs w:val="22"/>
        </w:rPr>
      </w:pPr>
    </w:p>
    <w:p w:rsidR="004D12BA" w:rsidRPr="006B7701" w:rsidRDefault="004D12BA" w:rsidP="004D12BA">
      <w:pPr>
        <w:pStyle w:val="NormalWeb"/>
        <w:spacing w:after="200" w:afterAutospacing="0" w:line="276" w:lineRule="auto"/>
        <w:rPr>
          <w:rFonts w:asciiTheme="minorHAnsi" w:hAnsiTheme="minorHAnsi"/>
          <w:sz w:val="20"/>
          <w:szCs w:val="20"/>
          <w:lang w:val="en-US"/>
        </w:rPr>
      </w:pPr>
      <w:proofErr w:type="gramStart"/>
      <w:r w:rsidRPr="006B7701">
        <w:rPr>
          <w:rFonts w:asciiTheme="minorHAnsi" w:hAnsiTheme="minorHAnsi"/>
          <w:b/>
          <w:sz w:val="20"/>
          <w:szCs w:val="20"/>
          <w:lang w:val="en-US"/>
        </w:rPr>
        <w:t xml:space="preserve">Table </w:t>
      </w:r>
      <w:r w:rsidR="00806215">
        <w:rPr>
          <w:rFonts w:asciiTheme="minorHAnsi" w:hAnsiTheme="minorHAnsi"/>
          <w:b/>
          <w:sz w:val="20"/>
          <w:szCs w:val="20"/>
          <w:lang w:val="en-US"/>
        </w:rPr>
        <w:t>4.</w:t>
      </w:r>
      <w:proofErr w:type="gramEnd"/>
      <w:r w:rsidRPr="006B7701">
        <w:rPr>
          <w:rFonts w:asciiTheme="minorHAnsi" w:hAnsiTheme="minorHAnsi"/>
          <w:sz w:val="20"/>
          <w:szCs w:val="20"/>
          <w:lang w:val="en-US"/>
        </w:rPr>
        <w:t xml:space="preserve"> Data providers and number of total nitrogen (TN) samples per year during the wet season (Q2: Jan-Mar).</w:t>
      </w:r>
    </w:p>
    <w:tbl>
      <w:tblPr>
        <w:tblW w:w="0" w:type="auto"/>
        <w:jc w:val="center"/>
        <w:tblCellSpacing w:w="15" w:type="dxa"/>
        <w:tblLook w:val="04A0"/>
      </w:tblPr>
      <w:tblGrid>
        <w:gridCol w:w="1291"/>
        <w:gridCol w:w="1291"/>
        <w:gridCol w:w="1291"/>
      </w:tblGrid>
      <w:tr w:rsidR="004D12BA" w:rsidRPr="006B7701" w:rsidTr="006B7701">
        <w:trPr>
          <w:tblHeader/>
          <w:tblCellSpacing w:w="15" w:type="dxa"/>
          <w:jc w:val="center"/>
        </w:trPr>
        <w:tc>
          <w:tcPr>
            <w:tcW w:w="1246" w:type="dxa"/>
            <w:tcBorders>
              <w:top w:val="single" w:sz="4" w:space="0" w:color="auto"/>
              <w:bottom w:val="single" w:sz="4" w:space="0" w:color="auto"/>
            </w:tcBorders>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b/>
                <w:bCs/>
                <w:sz w:val="20"/>
                <w:szCs w:val="20"/>
              </w:rPr>
            </w:pPr>
            <w:r w:rsidRPr="006B7701">
              <w:rPr>
                <w:rFonts w:eastAsia="Times New Roman" w:cs="Times New Roman"/>
                <w:b/>
                <w:bCs/>
                <w:sz w:val="20"/>
                <w:szCs w:val="20"/>
              </w:rPr>
              <w:t>Year</w:t>
            </w:r>
          </w:p>
        </w:tc>
        <w:tc>
          <w:tcPr>
            <w:tcW w:w="1261" w:type="dxa"/>
            <w:tcBorders>
              <w:top w:val="single" w:sz="4" w:space="0" w:color="auto"/>
              <w:bottom w:val="single" w:sz="4" w:space="0" w:color="auto"/>
            </w:tcBorders>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b/>
                <w:bCs/>
                <w:sz w:val="20"/>
                <w:szCs w:val="20"/>
              </w:rPr>
            </w:pPr>
            <w:proofErr w:type="spellStart"/>
            <w:r w:rsidRPr="006B7701">
              <w:rPr>
                <w:rFonts w:eastAsia="Times New Roman" w:cs="Times New Roman"/>
                <w:b/>
                <w:bCs/>
                <w:sz w:val="20"/>
                <w:szCs w:val="20"/>
              </w:rPr>
              <w:t>TropWater</w:t>
            </w:r>
            <w:proofErr w:type="spellEnd"/>
          </w:p>
        </w:tc>
        <w:tc>
          <w:tcPr>
            <w:tcW w:w="1246" w:type="dxa"/>
            <w:tcBorders>
              <w:top w:val="single" w:sz="4" w:space="0" w:color="auto"/>
              <w:bottom w:val="single" w:sz="4" w:space="0" w:color="auto"/>
            </w:tcBorders>
            <w:tcMar>
              <w:top w:w="15" w:type="dxa"/>
              <w:left w:w="15" w:type="dxa"/>
              <w:bottom w:w="15" w:type="dxa"/>
              <w:right w:w="15" w:type="dxa"/>
            </w:tcMar>
            <w:vAlign w:val="center"/>
            <w:hideMark/>
          </w:tcPr>
          <w:p w:rsidR="004D12BA" w:rsidRPr="006B7701" w:rsidRDefault="00BE0612" w:rsidP="004D12BA">
            <w:pPr>
              <w:spacing w:after="0"/>
              <w:jc w:val="center"/>
              <w:rPr>
                <w:rFonts w:eastAsia="Times New Roman" w:cs="Times New Roman"/>
                <w:b/>
                <w:bCs/>
                <w:sz w:val="20"/>
                <w:szCs w:val="20"/>
              </w:rPr>
            </w:pPr>
            <w:r>
              <w:rPr>
                <w:rFonts w:eastAsia="Times New Roman" w:cs="Times New Roman"/>
                <w:b/>
                <w:bCs/>
                <w:sz w:val="20"/>
                <w:szCs w:val="20"/>
              </w:rPr>
              <w:t>AIMS</w:t>
            </w:r>
          </w:p>
        </w:tc>
      </w:tr>
      <w:tr w:rsidR="004D12BA" w:rsidRPr="006B7701" w:rsidTr="004D12BA">
        <w:trPr>
          <w:tblCellSpacing w:w="15" w:type="dxa"/>
          <w:jc w:val="center"/>
        </w:trPr>
        <w:tc>
          <w:tcPr>
            <w:tcW w:w="1246" w:type="dxa"/>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sz w:val="20"/>
                <w:szCs w:val="20"/>
              </w:rPr>
            </w:pPr>
            <w:r w:rsidRPr="006B7701">
              <w:rPr>
                <w:rFonts w:eastAsia="Times New Roman" w:cs="Times New Roman"/>
                <w:sz w:val="20"/>
                <w:szCs w:val="20"/>
              </w:rPr>
              <w:t>2006</w:t>
            </w:r>
          </w:p>
        </w:tc>
        <w:tc>
          <w:tcPr>
            <w:tcW w:w="1261" w:type="dxa"/>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sz w:val="20"/>
                <w:szCs w:val="20"/>
              </w:rPr>
            </w:pPr>
            <w:r w:rsidRPr="006B7701">
              <w:rPr>
                <w:rFonts w:eastAsia="Times New Roman" w:cs="Times New Roman"/>
                <w:sz w:val="20"/>
                <w:szCs w:val="20"/>
              </w:rPr>
              <w:t>0</w:t>
            </w:r>
          </w:p>
        </w:tc>
        <w:tc>
          <w:tcPr>
            <w:tcW w:w="1246" w:type="dxa"/>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sz w:val="20"/>
                <w:szCs w:val="20"/>
              </w:rPr>
            </w:pPr>
            <w:r w:rsidRPr="006B7701">
              <w:rPr>
                <w:rFonts w:eastAsia="Times New Roman" w:cs="Times New Roman"/>
                <w:sz w:val="20"/>
                <w:szCs w:val="20"/>
              </w:rPr>
              <w:t>3</w:t>
            </w:r>
          </w:p>
        </w:tc>
      </w:tr>
      <w:tr w:rsidR="004D12BA" w:rsidRPr="006B7701" w:rsidTr="004D12BA">
        <w:trPr>
          <w:tblCellSpacing w:w="15" w:type="dxa"/>
          <w:jc w:val="center"/>
        </w:trPr>
        <w:tc>
          <w:tcPr>
            <w:tcW w:w="1246" w:type="dxa"/>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sz w:val="20"/>
                <w:szCs w:val="20"/>
              </w:rPr>
            </w:pPr>
            <w:r w:rsidRPr="006B7701">
              <w:rPr>
                <w:rFonts w:eastAsia="Times New Roman" w:cs="Times New Roman"/>
                <w:sz w:val="20"/>
                <w:szCs w:val="20"/>
              </w:rPr>
              <w:t>2007</w:t>
            </w:r>
          </w:p>
        </w:tc>
        <w:tc>
          <w:tcPr>
            <w:tcW w:w="1261" w:type="dxa"/>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sz w:val="20"/>
                <w:szCs w:val="20"/>
              </w:rPr>
            </w:pPr>
            <w:r w:rsidRPr="006B7701">
              <w:rPr>
                <w:rFonts w:eastAsia="Times New Roman" w:cs="Times New Roman"/>
                <w:sz w:val="20"/>
                <w:szCs w:val="20"/>
              </w:rPr>
              <w:t>0</w:t>
            </w:r>
          </w:p>
        </w:tc>
        <w:tc>
          <w:tcPr>
            <w:tcW w:w="1246" w:type="dxa"/>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sz w:val="20"/>
                <w:szCs w:val="20"/>
              </w:rPr>
            </w:pPr>
            <w:r w:rsidRPr="006B7701">
              <w:rPr>
                <w:rFonts w:eastAsia="Times New Roman" w:cs="Times New Roman"/>
                <w:sz w:val="20"/>
                <w:szCs w:val="20"/>
              </w:rPr>
              <w:t>3</w:t>
            </w:r>
          </w:p>
        </w:tc>
      </w:tr>
      <w:tr w:rsidR="004D12BA" w:rsidRPr="006B7701" w:rsidTr="004D12BA">
        <w:trPr>
          <w:tblCellSpacing w:w="15" w:type="dxa"/>
          <w:jc w:val="center"/>
        </w:trPr>
        <w:tc>
          <w:tcPr>
            <w:tcW w:w="1246" w:type="dxa"/>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sz w:val="20"/>
                <w:szCs w:val="20"/>
              </w:rPr>
            </w:pPr>
            <w:r w:rsidRPr="006B7701">
              <w:rPr>
                <w:rFonts w:eastAsia="Times New Roman" w:cs="Times New Roman"/>
                <w:sz w:val="20"/>
                <w:szCs w:val="20"/>
              </w:rPr>
              <w:t>2008</w:t>
            </w:r>
          </w:p>
        </w:tc>
        <w:tc>
          <w:tcPr>
            <w:tcW w:w="1261" w:type="dxa"/>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sz w:val="20"/>
                <w:szCs w:val="20"/>
              </w:rPr>
            </w:pPr>
            <w:r w:rsidRPr="006B7701">
              <w:rPr>
                <w:rFonts w:eastAsia="Times New Roman" w:cs="Times New Roman"/>
                <w:sz w:val="20"/>
                <w:szCs w:val="20"/>
              </w:rPr>
              <w:t>69</w:t>
            </w:r>
          </w:p>
        </w:tc>
        <w:tc>
          <w:tcPr>
            <w:tcW w:w="1246" w:type="dxa"/>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sz w:val="20"/>
                <w:szCs w:val="20"/>
              </w:rPr>
            </w:pPr>
            <w:r w:rsidRPr="006B7701">
              <w:rPr>
                <w:rFonts w:eastAsia="Times New Roman" w:cs="Times New Roman"/>
                <w:sz w:val="20"/>
                <w:szCs w:val="20"/>
              </w:rPr>
              <w:t>3</w:t>
            </w:r>
          </w:p>
        </w:tc>
      </w:tr>
      <w:tr w:rsidR="004D12BA" w:rsidRPr="006B7701" w:rsidTr="004D12BA">
        <w:trPr>
          <w:tblCellSpacing w:w="15" w:type="dxa"/>
          <w:jc w:val="center"/>
        </w:trPr>
        <w:tc>
          <w:tcPr>
            <w:tcW w:w="1246" w:type="dxa"/>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sz w:val="20"/>
                <w:szCs w:val="20"/>
              </w:rPr>
            </w:pPr>
            <w:r w:rsidRPr="006B7701">
              <w:rPr>
                <w:rFonts w:eastAsia="Times New Roman" w:cs="Times New Roman"/>
                <w:sz w:val="20"/>
                <w:szCs w:val="20"/>
              </w:rPr>
              <w:t>2009</w:t>
            </w:r>
          </w:p>
        </w:tc>
        <w:tc>
          <w:tcPr>
            <w:tcW w:w="1261" w:type="dxa"/>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sz w:val="20"/>
                <w:szCs w:val="20"/>
              </w:rPr>
            </w:pPr>
            <w:r w:rsidRPr="006B7701">
              <w:rPr>
                <w:rFonts w:eastAsia="Times New Roman" w:cs="Times New Roman"/>
                <w:sz w:val="20"/>
                <w:szCs w:val="20"/>
              </w:rPr>
              <w:t>0</w:t>
            </w:r>
          </w:p>
        </w:tc>
        <w:tc>
          <w:tcPr>
            <w:tcW w:w="1246" w:type="dxa"/>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sz w:val="20"/>
                <w:szCs w:val="20"/>
              </w:rPr>
            </w:pPr>
            <w:r w:rsidRPr="006B7701">
              <w:rPr>
                <w:rFonts w:eastAsia="Times New Roman" w:cs="Times New Roman"/>
                <w:sz w:val="20"/>
                <w:szCs w:val="20"/>
              </w:rPr>
              <w:t>3</w:t>
            </w:r>
          </w:p>
        </w:tc>
      </w:tr>
      <w:tr w:rsidR="004D12BA" w:rsidRPr="006B7701" w:rsidTr="004D12BA">
        <w:trPr>
          <w:tblCellSpacing w:w="15" w:type="dxa"/>
          <w:jc w:val="center"/>
        </w:trPr>
        <w:tc>
          <w:tcPr>
            <w:tcW w:w="1246" w:type="dxa"/>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sz w:val="20"/>
                <w:szCs w:val="20"/>
              </w:rPr>
            </w:pPr>
            <w:r w:rsidRPr="006B7701">
              <w:rPr>
                <w:rFonts w:eastAsia="Times New Roman" w:cs="Times New Roman"/>
                <w:sz w:val="20"/>
                <w:szCs w:val="20"/>
              </w:rPr>
              <w:t>2010</w:t>
            </w:r>
          </w:p>
        </w:tc>
        <w:tc>
          <w:tcPr>
            <w:tcW w:w="1261" w:type="dxa"/>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sz w:val="20"/>
                <w:szCs w:val="20"/>
              </w:rPr>
            </w:pPr>
            <w:r w:rsidRPr="006B7701">
              <w:rPr>
                <w:rFonts w:eastAsia="Times New Roman" w:cs="Times New Roman"/>
                <w:sz w:val="20"/>
                <w:szCs w:val="20"/>
              </w:rPr>
              <w:t>0</w:t>
            </w:r>
          </w:p>
        </w:tc>
        <w:tc>
          <w:tcPr>
            <w:tcW w:w="1246" w:type="dxa"/>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sz w:val="20"/>
                <w:szCs w:val="20"/>
              </w:rPr>
            </w:pPr>
            <w:r w:rsidRPr="006B7701">
              <w:rPr>
                <w:rFonts w:eastAsia="Times New Roman" w:cs="Times New Roman"/>
                <w:sz w:val="20"/>
                <w:szCs w:val="20"/>
              </w:rPr>
              <w:t>3</w:t>
            </w:r>
          </w:p>
        </w:tc>
      </w:tr>
      <w:tr w:rsidR="004D12BA" w:rsidRPr="006B7701" w:rsidTr="004D12BA">
        <w:trPr>
          <w:tblCellSpacing w:w="15" w:type="dxa"/>
          <w:jc w:val="center"/>
        </w:trPr>
        <w:tc>
          <w:tcPr>
            <w:tcW w:w="1246" w:type="dxa"/>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sz w:val="20"/>
                <w:szCs w:val="20"/>
              </w:rPr>
            </w:pPr>
            <w:r w:rsidRPr="006B7701">
              <w:rPr>
                <w:rFonts w:eastAsia="Times New Roman" w:cs="Times New Roman"/>
                <w:sz w:val="20"/>
                <w:szCs w:val="20"/>
              </w:rPr>
              <w:t>2011</w:t>
            </w:r>
          </w:p>
        </w:tc>
        <w:tc>
          <w:tcPr>
            <w:tcW w:w="1261" w:type="dxa"/>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sz w:val="20"/>
                <w:szCs w:val="20"/>
              </w:rPr>
            </w:pPr>
            <w:r w:rsidRPr="006B7701">
              <w:rPr>
                <w:rFonts w:eastAsia="Times New Roman" w:cs="Times New Roman"/>
                <w:sz w:val="20"/>
                <w:szCs w:val="20"/>
              </w:rPr>
              <w:t>0</w:t>
            </w:r>
          </w:p>
        </w:tc>
        <w:tc>
          <w:tcPr>
            <w:tcW w:w="1246" w:type="dxa"/>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sz w:val="20"/>
                <w:szCs w:val="20"/>
              </w:rPr>
            </w:pPr>
            <w:r w:rsidRPr="006B7701">
              <w:rPr>
                <w:rFonts w:eastAsia="Times New Roman" w:cs="Times New Roman"/>
                <w:sz w:val="20"/>
                <w:szCs w:val="20"/>
              </w:rPr>
              <w:t>3</w:t>
            </w:r>
          </w:p>
        </w:tc>
      </w:tr>
      <w:tr w:rsidR="004D12BA" w:rsidRPr="006B7701" w:rsidTr="004D12BA">
        <w:trPr>
          <w:tblCellSpacing w:w="15" w:type="dxa"/>
          <w:jc w:val="center"/>
        </w:trPr>
        <w:tc>
          <w:tcPr>
            <w:tcW w:w="1246" w:type="dxa"/>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sz w:val="20"/>
                <w:szCs w:val="20"/>
              </w:rPr>
            </w:pPr>
            <w:r w:rsidRPr="006B7701">
              <w:rPr>
                <w:rFonts w:eastAsia="Times New Roman" w:cs="Times New Roman"/>
                <w:sz w:val="20"/>
                <w:szCs w:val="20"/>
              </w:rPr>
              <w:t>2012</w:t>
            </w:r>
          </w:p>
        </w:tc>
        <w:tc>
          <w:tcPr>
            <w:tcW w:w="1261" w:type="dxa"/>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sz w:val="20"/>
                <w:szCs w:val="20"/>
              </w:rPr>
            </w:pPr>
            <w:r w:rsidRPr="006B7701">
              <w:rPr>
                <w:rFonts w:eastAsia="Times New Roman" w:cs="Times New Roman"/>
                <w:sz w:val="20"/>
                <w:szCs w:val="20"/>
              </w:rPr>
              <w:t>0</w:t>
            </w:r>
          </w:p>
        </w:tc>
        <w:tc>
          <w:tcPr>
            <w:tcW w:w="1246" w:type="dxa"/>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sz w:val="20"/>
                <w:szCs w:val="20"/>
              </w:rPr>
            </w:pPr>
            <w:r w:rsidRPr="006B7701">
              <w:rPr>
                <w:rFonts w:eastAsia="Times New Roman" w:cs="Times New Roman"/>
                <w:sz w:val="20"/>
                <w:szCs w:val="20"/>
              </w:rPr>
              <w:t>3</w:t>
            </w:r>
          </w:p>
        </w:tc>
      </w:tr>
      <w:tr w:rsidR="004D12BA" w:rsidRPr="006B7701" w:rsidTr="004D12BA">
        <w:trPr>
          <w:tblCellSpacing w:w="15" w:type="dxa"/>
          <w:jc w:val="center"/>
        </w:trPr>
        <w:tc>
          <w:tcPr>
            <w:tcW w:w="1246" w:type="dxa"/>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sz w:val="20"/>
                <w:szCs w:val="20"/>
              </w:rPr>
            </w:pPr>
            <w:r w:rsidRPr="006B7701">
              <w:rPr>
                <w:rFonts w:eastAsia="Times New Roman" w:cs="Times New Roman"/>
                <w:sz w:val="20"/>
                <w:szCs w:val="20"/>
              </w:rPr>
              <w:t>2013</w:t>
            </w:r>
          </w:p>
        </w:tc>
        <w:tc>
          <w:tcPr>
            <w:tcW w:w="1261" w:type="dxa"/>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sz w:val="20"/>
                <w:szCs w:val="20"/>
              </w:rPr>
            </w:pPr>
            <w:r w:rsidRPr="006B7701">
              <w:rPr>
                <w:rFonts w:eastAsia="Times New Roman" w:cs="Times New Roman"/>
                <w:sz w:val="20"/>
                <w:szCs w:val="20"/>
              </w:rPr>
              <w:t>0</w:t>
            </w:r>
          </w:p>
        </w:tc>
        <w:tc>
          <w:tcPr>
            <w:tcW w:w="1246" w:type="dxa"/>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sz w:val="20"/>
                <w:szCs w:val="20"/>
              </w:rPr>
            </w:pPr>
            <w:r w:rsidRPr="006B7701">
              <w:rPr>
                <w:rFonts w:eastAsia="Times New Roman" w:cs="Times New Roman"/>
                <w:sz w:val="20"/>
                <w:szCs w:val="20"/>
              </w:rPr>
              <w:t>3</w:t>
            </w:r>
          </w:p>
        </w:tc>
      </w:tr>
      <w:tr w:rsidR="004D12BA" w:rsidRPr="006B7701" w:rsidTr="006B7701">
        <w:trPr>
          <w:tblCellSpacing w:w="15" w:type="dxa"/>
          <w:jc w:val="center"/>
        </w:trPr>
        <w:tc>
          <w:tcPr>
            <w:tcW w:w="1246" w:type="dxa"/>
            <w:tcBorders>
              <w:bottom w:val="single" w:sz="4" w:space="0" w:color="auto"/>
            </w:tcBorders>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sz w:val="20"/>
                <w:szCs w:val="20"/>
              </w:rPr>
            </w:pPr>
            <w:r w:rsidRPr="006B7701">
              <w:rPr>
                <w:rFonts w:eastAsia="Times New Roman" w:cs="Times New Roman"/>
                <w:sz w:val="20"/>
                <w:szCs w:val="20"/>
              </w:rPr>
              <w:t>2014</w:t>
            </w:r>
          </w:p>
        </w:tc>
        <w:tc>
          <w:tcPr>
            <w:tcW w:w="1261" w:type="dxa"/>
            <w:tcBorders>
              <w:bottom w:val="single" w:sz="4" w:space="0" w:color="auto"/>
            </w:tcBorders>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sz w:val="20"/>
                <w:szCs w:val="20"/>
              </w:rPr>
            </w:pPr>
            <w:r w:rsidRPr="006B7701">
              <w:rPr>
                <w:rFonts w:eastAsia="Times New Roman" w:cs="Times New Roman"/>
                <w:sz w:val="20"/>
                <w:szCs w:val="20"/>
              </w:rPr>
              <w:t>0</w:t>
            </w:r>
          </w:p>
        </w:tc>
        <w:tc>
          <w:tcPr>
            <w:tcW w:w="1246" w:type="dxa"/>
            <w:tcBorders>
              <w:bottom w:val="single" w:sz="4" w:space="0" w:color="auto"/>
            </w:tcBorders>
            <w:tcMar>
              <w:top w:w="15" w:type="dxa"/>
              <w:left w:w="15" w:type="dxa"/>
              <w:bottom w:w="15" w:type="dxa"/>
              <w:right w:w="15" w:type="dxa"/>
            </w:tcMar>
            <w:vAlign w:val="center"/>
            <w:hideMark/>
          </w:tcPr>
          <w:p w:rsidR="004D12BA" w:rsidRPr="006B7701" w:rsidRDefault="004D12BA" w:rsidP="004D12BA">
            <w:pPr>
              <w:spacing w:after="0"/>
              <w:jc w:val="center"/>
              <w:rPr>
                <w:rFonts w:eastAsia="Times New Roman" w:cs="Times New Roman"/>
                <w:sz w:val="20"/>
                <w:szCs w:val="20"/>
              </w:rPr>
            </w:pPr>
            <w:r w:rsidRPr="006B7701">
              <w:rPr>
                <w:rFonts w:eastAsia="Times New Roman" w:cs="Times New Roman"/>
                <w:sz w:val="20"/>
                <w:szCs w:val="20"/>
              </w:rPr>
              <w:t>3</w:t>
            </w:r>
          </w:p>
        </w:tc>
      </w:tr>
    </w:tbl>
    <w:p w:rsidR="004D12BA" w:rsidRPr="006B7701" w:rsidRDefault="004D12BA" w:rsidP="006B7701">
      <w:pPr>
        <w:pStyle w:val="NormalWeb"/>
        <w:spacing w:after="200" w:afterAutospacing="0" w:line="276" w:lineRule="auto"/>
        <w:rPr>
          <w:rFonts w:asciiTheme="minorHAnsi" w:hAnsiTheme="minorHAnsi"/>
          <w:sz w:val="22"/>
          <w:szCs w:val="22"/>
        </w:rPr>
      </w:pPr>
      <w:r w:rsidRPr="006B7701">
        <w:rPr>
          <w:rFonts w:asciiTheme="minorHAnsi" w:hAnsiTheme="minorHAnsi"/>
          <w:sz w:val="22"/>
          <w:szCs w:val="22"/>
        </w:rPr>
        <w:t xml:space="preserve">Looking at the wet seasons (Q2) when most observations were taken and starting with the first year observed in the data (2006) there were 3 observations made by </w:t>
      </w:r>
      <w:r w:rsidR="00BE0612">
        <w:rPr>
          <w:rFonts w:asciiTheme="minorHAnsi" w:hAnsiTheme="minorHAnsi"/>
          <w:sz w:val="22"/>
          <w:szCs w:val="22"/>
        </w:rPr>
        <w:t>AIMS</w:t>
      </w:r>
      <w:r w:rsidRPr="006B7701">
        <w:rPr>
          <w:rFonts w:asciiTheme="minorHAnsi" w:hAnsiTheme="minorHAnsi"/>
          <w:sz w:val="22"/>
          <w:szCs w:val="22"/>
        </w:rPr>
        <w:t xml:space="preserve">. The basic GP model we will use supposes an initially consistent (constant) surface over which the Bayesian geospatial map for TN will be </w:t>
      </w:r>
      <w:proofErr w:type="gramStart"/>
      <w:r w:rsidRPr="006B7701">
        <w:rPr>
          <w:rFonts w:asciiTheme="minorHAnsi" w:hAnsiTheme="minorHAnsi"/>
          <w:sz w:val="22"/>
          <w:szCs w:val="22"/>
        </w:rPr>
        <w:t>constructed,</w:t>
      </w:r>
      <w:proofErr w:type="gramEnd"/>
      <w:r w:rsidRPr="006B7701">
        <w:rPr>
          <w:rFonts w:asciiTheme="minorHAnsi" w:hAnsiTheme="minorHAnsi"/>
          <w:sz w:val="22"/>
          <w:szCs w:val="22"/>
        </w:rPr>
        <w:t xml:space="preserve"> equivalent to saying we know nothing about the distribution or concentration of TN at any </w:t>
      </w:r>
      <w:r w:rsidR="006C160A">
        <w:rPr>
          <w:rFonts w:asciiTheme="minorHAnsi" w:hAnsiTheme="minorHAnsi"/>
          <w:sz w:val="22"/>
          <w:szCs w:val="22"/>
        </w:rPr>
        <w:t>point in the Mackay-Whitsunday R</w:t>
      </w:r>
      <w:r w:rsidRPr="006B7701">
        <w:rPr>
          <w:rFonts w:asciiTheme="minorHAnsi" w:hAnsiTheme="minorHAnsi"/>
          <w:sz w:val="22"/>
          <w:szCs w:val="22"/>
        </w:rPr>
        <w:t xml:space="preserve">egion. This uninformed prior surface includes an average TN value of zero and a broad (flat) </w:t>
      </w:r>
      <w:proofErr w:type="spellStart"/>
      <w:r w:rsidRPr="006B7701">
        <w:rPr>
          <w:rFonts w:asciiTheme="minorHAnsi" w:hAnsiTheme="minorHAnsi"/>
          <w:sz w:val="22"/>
          <w:szCs w:val="22"/>
        </w:rPr>
        <w:t>Matérn</w:t>
      </w:r>
      <w:proofErr w:type="spellEnd"/>
      <w:r w:rsidRPr="006B7701">
        <w:rPr>
          <w:rFonts w:asciiTheme="minorHAnsi" w:hAnsiTheme="minorHAnsi"/>
          <w:sz w:val="22"/>
          <w:szCs w:val="22"/>
        </w:rPr>
        <w:t xml:space="preserve"> covariance function.</w:t>
      </w:r>
    </w:p>
    <w:p w:rsidR="004D12BA" w:rsidRDefault="004D12BA" w:rsidP="006B7701">
      <w:pPr>
        <w:pStyle w:val="NormalWeb"/>
        <w:spacing w:after="200" w:afterAutospacing="0" w:line="276" w:lineRule="auto"/>
        <w:rPr>
          <w:rFonts w:asciiTheme="minorHAnsi" w:hAnsiTheme="minorHAnsi"/>
          <w:sz w:val="22"/>
          <w:szCs w:val="22"/>
        </w:rPr>
      </w:pPr>
      <w:r w:rsidRPr="006B7701">
        <w:rPr>
          <w:rFonts w:asciiTheme="minorHAnsi" w:hAnsiTheme="minorHAnsi"/>
          <w:sz w:val="22"/>
          <w:szCs w:val="22"/>
        </w:rPr>
        <w:t>By passing the wet season data for 2006 to the model a small quantity of information is conveyed, with an estimated 1.5 log-</w:t>
      </w:r>
      <w:proofErr w:type="spellStart"/>
      <w:r w:rsidRPr="006B7701">
        <w:rPr>
          <w:rStyle w:val="Emphasis"/>
          <w:rFonts w:asciiTheme="minorHAnsi" w:eastAsiaTheme="majorEastAsia" w:hAnsiTheme="minorHAnsi"/>
          <w:sz w:val="22"/>
          <w:szCs w:val="22"/>
        </w:rPr>
        <w:t>μm</w:t>
      </w:r>
      <w:proofErr w:type="spellEnd"/>
      <w:r w:rsidRPr="006B7701">
        <w:rPr>
          <w:rFonts w:asciiTheme="minorHAnsi" w:hAnsiTheme="minorHAnsi"/>
          <w:sz w:val="22"/>
          <w:szCs w:val="22"/>
        </w:rPr>
        <w:t xml:space="preserve"> of TN over the entire region, given only three data points (Figure </w:t>
      </w:r>
      <w:r w:rsidR="00F548F8">
        <w:rPr>
          <w:rFonts w:asciiTheme="minorHAnsi" w:hAnsiTheme="minorHAnsi"/>
          <w:sz w:val="22"/>
          <w:szCs w:val="22"/>
        </w:rPr>
        <w:t>1</w:t>
      </w:r>
      <w:r w:rsidRPr="006B7701">
        <w:rPr>
          <w:rFonts w:asciiTheme="minorHAnsi" w:hAnsiTheme="minorHAnsi"/>
          <w:sz w:val="22"/>
          <w:szCs w:val="22"/>
        </w:rPr>
        <w:t xml:space="preserve">1, first panel). This may seem unrealistic (it is) however it is still better than assuming that TN in the water was zero in the 2006 wet season. Reassuringly, the uncertainty in these estimates is high, with a standard deviation of approximately 1.8 where the data were observed (meaning values between 0 and 5.4 </w:t>
      </w:r>
      <w:proofErr w:type="spellStart"/>
      <w:r w:rsidRPr="006B7701">
        <w:rPr>
          <w:rStyle w:val="Emphasis"/>
          <w:rFonts w:asciiTheme="minorHAnsi" w:eastAsiaTheme="majorEastAsia" w:hAnsiTheme="minorHAnsi"/>
          <w:sz w:val="22"/>
          <w:szCs w:val="22"/>
        </w:rPr>
        <w:t>μm</w:t>
      </w:r>
      <w:proofErr w:type="spellEnd"/>
      <w:r w:rsidR="00532F48">
        <w:rPr>
          <w:rFonts w:asciiTheme="minorHAnsi" w:hAnsiTheme="minorHAnsi"/>
          <w:sz w:val="22"/>
          <w:szCs w:val="22"/>
        </w:rPr>
        <w:t xml:space="preserve"> are plausible) and a</w:t>
      </w:r>
      <w:r w:rsidRPr="006B7701">
        <w:rPr>
          <w:rFonts w:asciiTheme="minorHAnsi" w:hAnsiTheme="minorHAnsi"/>
          <w:sz w:val="22"/>
          <w:szCs w:val="22"/>
        </w:rPr>
        <w:t xml:space="preserve"> SD of 2 or more further afield (Figure </w:t>
      </w:r>
      <w:r w:rsidR="00F548F8">
        <w:rPr>
          <w:rFonts w:asciiTheme="minorHAnsi" w:hAnsiTheme="minorHAnsi"/>
          <w:sz w:val="22"/>
          <w:szCs w:val="22"/>
        </w:rPr>
        <w:t>1</w:t>
      </w:r>
      <w:r w:rsidRPr="006B7701">
        <w:rPr>
          <w:rFonts w:asciiTheme="minorHAnsi" w:hAnsiTheme="minorHAnsi"/>
          <w:sz w:val="22"/>
          <w:szCs w:val="22"/>
        </w:rPr>
        <w:t>2, first panel).</w:t>
      </w:r>
    </w:p>
    <w:p w:rsidR="00335F2C" w:rsidRDefault="00335F2C" w:rsidP="006B7701">
      <w:pPr>
        <w:pStyle w:val="NormalWeb"/>
        <w:spacing w:after="200" w:afterAutospacing="0" w:line="276" w:lineRule="auto"/>
        <w:rPr>
          <w:rFonts w:asciiTheme="minorHAnsi" w:hAnsiTheme="minorHAnsi"/>
          <w:sz w:val="22"/>
          <w:szCs w:val="22"/>
        </w:rPr>
      </w:pPr>
      <w:proofErr w:type="gramStart"/>
      <w:r w:rsidRPr="006B7701">
        <w:rPr>
          <w:rFonts w:asciiTheme="minorHAnsi" w:hAnsiTheme="minorHAnsi"/>
          <w:sz w:val="22"/>
          <w:szCs w:val="22"/>
        </w:rPr>
        <w:t>Using the 2006 posterior information as a prior for 2007, again with three observations, the updated GP surface map for TN changes slightly, with somewhat higher estimated TN values between 1.8 and 2.1 log-</w:t>
      </w:r>
      <w:proofErr w:type="spellStart"/>
      <w:r w:rsidRPr="006B7701">
        <w:rPr>
          <w:rStyle w:val="Emphasis"/>
          <w:rFonts w:asciiTheme="minorHAnsi" w:eastAsiaTheme="majorEastAsia" w:hAnsiTheme="minorHAnsi"/>
          <w:sz w:val="22"/>
          <w:szCs w:val="22"/>
        </w:rPr>
        <w:t>μm</w:t>
      </w:r>
      <w:proofErr w:type="spellEnd"/>
      <w:r>
        <w:rPr>
          <w:rFonts w:asciiTheme="minorHAnsi" w:hAnsiTheme="minorHAnsi"/>
          <w:sz w:val="22"/>
          <w:szCs w:val="22"/>
        </w:rPr>
        <w:t xml:space="preserve"> TN that </w:t>
      </w:r>
      <w:r w:rsidRPr="006B7701">
        <w:rPr>
          <w:rFonts w:asciiTheme="minorHAnsi" w:hAnsiTheme="minorHAnsi"/>
          <w:sz w:val="22"/>
          <w:szCs w:val="22"/>
        </w:rPr>
        <w:t xml:space="preserve">vary somewhat from north to south (Figure </w:t>
      </w:r>
      <w:r>
        <w:rPr>
          <w:rFonts w:asciiTheme="minorHAnsi" w:hAnsiTheme="minorHAnsi"/>
          <w:sz w:val="22"/>
          <w:szCs w:val="22"/>
        </w:rPr>
        <w:t>1</w:t>
      </w:r>
      <w:r w:rsidRPr="006B7701">
        <w:rPr>
          <w:rFonts w:asciiTheme="minorHAnsi" w:hAnsiTheme="minorHAnsi"/>
          <w:sz w:val="22"/>
          <w:szCs w:val="22"/>
        </w:rPr>
        <w:t>1, 2007).</w:t>
      </w:r>
      <w:proofErr w:type="gramEnd"/>
      <w:r w:rsidRPr="006B7701">
        <w:rPr>
          <w:rFonts w:asciiTheme="minorHAnsi" w:hAnsiTheme="minorHAnsi"/>
          <w:sz w:val="22"/>
          <w:szCs w:val="22"/>
        </w:rPr>
        <w:t xml:space="preserve"> Again it may seem impossible to estimate higher values far to the south of the observed </w:t>
      </w:r>
      <w:proofErr w:type="gramStart"/>
      <w:r w:rsidRPr="006B7701">
        <w:rPr>
          <w:rFonts w:asciiTheme="minorHAnsi" w:hAnsiTheme="minorHAnsi"/>
          <w:sz w:val="22"/>
          <w:szCs w:val="22"/>
        </w:rPr>
        <w:t>data,</w:t>
      </w:r>
      <w:proofErr w:type="gramEnd"/>
      <w:r w:rsidRPr="006B7701">
        <w:rPr>
          <w:rFonts w:asciiTheme="minorHAnsi" w:hAnsiTheme="minorHAnsi"/>
          <w:sz w:val="22"/>
          <w:szCs w:val="22"/>
        </w:rPr>
        <w:t xml:space="preserve"> however the three observations made in each year have added information to both average TN estimates as well as the </w:t>
      </w:r>
      <w:proofErr w:type="spellStart"/>
      <w:r w:rsidRPr="006B7701">
        <w:rPr>
          <w:rFonts w:asciiTheme="minorHAnsi" w:hAnsiTheme="minorHAnsi"/>
          <w:sz w:val="22"/>
          <w:szCs w:val="22"/>
        </w:rPr>
        <w:t>Matérn</w:t>
      </w:r>
      <w:proofErr w:type="spellEnd"/>
      <w:r w:rsidRPr="006B7701">
        <w:rPr>
          <w:rFonts w:asciiTheme="minorHAnsi" w:hAnsiTheme="minorHAnsi"/>
          <w:sz w:val="22"/>
          <w:szCs w:val="22"/>
        </w:rPr>
        <w:t xml:space="preserve"> covariance function, with a small north-south gradient present among those few observations that is assumed to extend throughout the region. Correspondingly, the uncertainty (standard deviation) surface has been reduced, reflecting the additional information from 2007, particularly in the Whitsundays where the observations were made (Figure </w:t>
      </w:r>
      <w:r>
        <w:rPr>
          <w:rFonts w:asciiTheme="minorHAnsi" w:hAnsiTheme="minorHAnsi"/>
          <w:sz w:val="22"/>
          <w:szCs w:val="22"/>
        </w:rPr>
        <w:t>1</w:t>
      </w:r>
      <w:r w:rsidRPr="006B7701">
        <w:rPr>
          <w:rFonts w:asciiTheme="minorHAnsi" w:hAnsiTheme="minorHAnsi"/>
          <w:sz w:val="22"/>
          <w:szCs w:val="22"/>
        </w:rPr>
        <w:t>2, 2007).</w:t>
      </w:r>
    </w:p>
    <w:p w:rsidR="00587761" w:rsidRDefault="00587761" w:rsidP="00587761">
      <w:pPr>
        <w:pStyle w:val="NormalWeb"/>
      </w:pPr>
      <w:r>
        <w:rPr>
          <w:noProof/>
        </w:rPr>
        <w:lastRenderedPageBreak/>
        <w:drawing>
          <wp:inline distT="0" distB="0" distL="0" distR="0">
            <wp:extent cx="4572000" cy="4572000"/>
            <wp:effectExtent l="0" t="0" r="0" b="0"/>
            <wp:docPr id="27" name="Picture 27" descr="cid:283caa38-910c-4d8e-8747-70f49a93a763@unimelb.edu.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d:283caa38-910c-4d8e-8747-70f49a93a763@unimelb.edu.au"/>
                    <pic:cNvPicPr>
                      <a:picLocks noChangeAspect="1" noChangeArrowheads="1"/>
                    </pic:cNvPicPr>
                  </pic:nvPicPr>
                  <pic:blipFill>
                    <a:blip r:embed="rId57" r:link="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4572000"/>
                    </a:xfrm>
                    <a:prstGeom prst="rect">
                      <a:avLst/>
                    </a:prstGeom>
                    <a:noFill/>
                    <a:ln>
                      <a:noFill/>
                    </a:ln>
                  </pic:spPr>
                </pic:pic>
              </a:graphicData>
            </a:graphic>
          </wp:inline>
        </w:drawing>
      </w:r>
    </w:p>
    <w:p w:rsidR="00587761" w:rsidRPr="00587761" w:rsidRDefault="00587761" w:rsidP="00587761">
      <w:pPr>
        <w:pStyle w:val="NormalWeb"/>
        <w:spacing w:line="276" w:lineRule="auto"/>
        <w:rPr>
          <w:rFonts w:asciiTheme="minorHAnsi" w:hAnsiTheme="minorHAnsi"/>
          <w:sz w:val="20"/>
          <w:szCs w:val="20"/>
          <w:lang w:val="en-US"/>
        </w:rPr>
      </w:pPr>
      <w:proofErr w:type="gramStart"/>
      <w:r w:rsidRPr="006B7701">
        <w:rPr>
          <w:rFonts w:asciiTheme="minorHAnsi" w:hAnsiTheme="minorHAnsi"/>
          <w:b/>
          <w:sz w:val="20"/>
          <w:szCs w:val="20"/>
          <w:lang w:val="en-US"/>
        </w:rPr>
        <w:t>Figure 1</w:t>
      </w:r>
      <w:r>
        <w:rPr>
          <w:rFonts w:asciiTheme="minorHAnsi" w:hAnsiTheme="minorHAnsi"/>
          <w:b/>
          <w:sz w:val="20"/>
          <w:szCs w:val="20"/>
          <w:lang w:val="en-US"/>
        </w:rPr>
        <w:t>1</w:t>
      </w:r>
      <w:r w:rsidRPr="006B7701">
        <w:rPr>
          <w:rFonts w:asciiTheme="minorHAnsi" w:hAnsiTheme="minorHAnsi"/>
          <w:b/>
          <w:sz w:val="20"/>
          <w:szCs w:val="20"/>
          <w:lang w:val="en-US"/>
        </w:rPr>
        <w:t>.</w:t>
      </w:r>
      <w:proofErr w:type="gramEnd"/>
      <w:r>
        <w:rPr>
          <w:rFonts w:asciiTheme="minorHAnsi" w:hAnsiTheme="minorHAnsi"/>
          <w:sz w:val="20"/>
          <w:szCs w:val="20"/>
          <w:lang w:val="en-US"/>
        </w:rPr>
        <w:t xml:space="preserve"> </w:t>
      </w:r>
      <w:r w:rsidRPr="006B7701">
        <w:rPr>
          <w:rFonts w:asciiTheme="minorHAnsi" w:hAnsiTheme="minorHAnsi"/>
          <w:sz w:val="20"/>
          <w:szCs w:val="20"/>
          <w:lang w:val="en-US"/>
        </w:rPr>
        <w:t>Gaussian Process (GP) highest posterior density surface map of log-total nitrogen (TN) concentrations (log-</w:t>
      </w:r>
      <w:proofErr w:type="spellStart"/>
      <w:r w:rsidRPr="006B7701">
        <w:rPr>
          <w:rFonts w:asciiTheme="minorHAnsi" w:hAnsiTheme="minorHAnsi"/>
          <w:sz w:val="20"/>
          <w:szCs w:val="20"/>
          <w:lang w:val="en-US"/>
        </w:rPr>
        <w:t>μm</w:t>
      </w:r>
      <w:proofErr w:type="spellEnd"/>
      <w:r w:rsidRPr="006B7701">
        <w:rPr>
          <w:rFonts w:asciiTheme="minorHAnsi" w:hAnsiTheme="minorHAnsi"/>
          <w:sz w:val="20"/>
          <w:szCs w:val="20"/>
          <w:lang w:val="en-US"/>
        </w:rPr>
        <w:t>) in subsequent wet seasons (Q2</w:t>
      </w:r>
      <w:proofErr w:type="gramStart"/>
      <w:r w:rsidRPr="006B7701">
        <w:rPr>
          <w:rFonts w:asciiTheme="minorHAnsi" w:hAnsiTheme="minorHAnsi"/>
          <w:sz w:val="20"/>
          <w:szCs w:val="20"/>
          <w:lang w:val="en-US"/>
        </w:rPr>
        <w:t>:Jan</w:t>
      </w:r>
      <w:proofErr w:type="gramEnd"/>
      <w:r w:rsidRPr="006B7701">
        <w:rPr>
          <w:rFonts w:asciiTheme="minorHAnsi" w:hAnsiTheme="minorHAnsi"/>
          <w:sz w:val="20"/>
          <w:szCs w:val="20"/>
          <w:lang w:val="en-US"/>
        </w:rPr>
        <w:t>-Ma</w:t>
      </w:r>
      <w:r>
        <w:rPr>
          <w:rFonts w:asciiTheme="minorHAnsi" w:hAnsiTheme="minorHAnsi"/>
          <w:sz w:val="20"/>
          <w:szCs w:val="20"/>
          <w:lang w:val="en-US"/>
        </w:rPr>
        <w:t>r) in the Mack</w:t>
      </w:r>
      <w:r w:rsidR="006C160A">
        <w:rPr>
          <w:rFonts w:asciiTheme="minorHAnsi" w:hAnsiTheme="minorHAnsi"/>
          <w:sz w:val="20"/>
          <w:szCs w:val="20"/>
          <w:lang w:val="en-US"/>
        </w:rPr>
        <w:t>ay-Whitsunday R</w:t>
      </w:r>
      <w:r>
        <w:rPr>
          <w:rFonts w:asciiTheme="minorHAnsi" w:hAnsiTheme="minorHAnsi"/>
          <w:sz w:val="20"/>
          <w:szCs w:val="20"/>
          <w:lang w:val="en-US"/>
        </w:rPr>
        <w:t>e</w:t>
      </w:r>
      <w:r w:rsidRPr="006B7701">
        <w:rPr>
          <w:rFonts w:asciiTheme="minorHAnsi" w:hAnsiTheme="minorHAnsi"/>
          <w:sz w:val="20"/>
          <w:szCs w:val="20"/>
          <w:lang w:val="en-US"/>
        </w:rPr>
        <w:t>gion, 2006-2014. Posterior densities were built up from summaries of 1000 potential TN maps. Grey dots are observed data locati</w:t>
      </w:r>
      <w:r>
        <w:rPr>
          <w:rFonts w:asciiTheme="minorHAnsi" w:hAnsiTheme="minorHAnsi"/>
          <w:sz w:val="20"/>
          <w:szCs w:val="20"/>
          <w:lang w:val="en-US"/>
        </w:rPr>
        <w:t>ons in each year.</w:t>
      </w:r>
    </w:p>
    <w:p w:rsidR="00335F2C" w:rsidRPr="006B7701" w:rsidRDefault="00335F2C" w:rsidP="00335F2C">
      <w:pPr>
        <w:pStyle w:val="NormalWeb"/>
        <w:spacing w:after="200" w:afterAutospacing="0" w:line="276" w:lineRule="auto"/>
        <w:rPr>
          <w:rFonts w:asciiTheme="minorHAnsi" w:hAnsiTheme="minorHAnsi"/>
          <w:sz w:val="22"/>
          <w:szCs w:val="22"/>
        </w:rPr>
      </w:pPr>
      <w:r w:rsidRPr="006B7701">
        <w:rPr>
          <w:rFonts w:asciiTheme="minorHAnsi" w:hAnsiTheme="minorHAnsi"/>
          <w:sz w:val="22"/>
          <w:szCs w:val="22"/>
        </w:rPr>
        <w:t xml:space="preserve">In 2008, dedicated sampling by </w:t>
      </w:r>
      <w:proofErr w:type="spellStart"/>
      <w:r w:rsidRPr="006B7701">
        <w:rPr>
          <w:rFonts w:asciiTheme="minorHAnsi" w:hAnsiTheme="minorHAnsi"/>
          <w:sz w:val="22"/>
          <w:szCs w:val="22"/>
        </w:rPr>
        <w:t>Trop</w:t>
      </w:r>
      <w:r>
        <w:rPr>
          <w:rFonts w:asciiTheme="minorHAnsi" w:hAnsiTheme="minorHAnsi"/>
          <w:sz w:val="22"/>
          <w:szCs w:val="22"/>
        </w:rPr>
        <w:t>Water</w:t>
      </w:r>
      <w:proofErr w:type="spellEnd"/>
      <w:r>
        <w:rPr>
          <w:rFonts w:asciiTheme="minorHAnsi" w:hAnsiTheme="minorHAnsi"/>
          <w:sz w:val="22"/>
          <w:szCs w:val="22"/>
        </w:rPr>
        <w:t xml:space="preserve"> in the Mackay-Whitsunday R</w:t>
      </w:r>
      <w:r w:rsidRPr="006B7701">
        <w:rPr>
          <w:rFonts w:asciiTheme="minorHAnsi" w:hAnsiTheme="minorHAnsi"/>
          <w:sz w:val="22"/>
          <w:szCs w:val="22"/>
        </w:rPr>
        <w:t xml:space="preserve">egion resulted in 69 observations along the coast during the wet season. Using the 2007 posterior information and adding these 2008 data to the model has a dramatic effect on the estimated distribution of TN in the region, with a clear gradient increasing from north to south and decreasing from inshore to offshore in the Whitsundays (Figure </w:t>
      </w:r>
      <w:r>
        <w:rPr>
          <w:rFonts w:asciiTheme="minorHAnsi" w:hAnsiTheme="minorHAnsi"/>
          <w:sz w:val="22"/>
          <w:szCs w:val="22"/>
        </w:rPr>
        <w:t>1</w:t>
      </w:r>
      <w:r w:rsidRPr="006B7701">
        <w:rPr>
          <w:rFonts w:asciiTheme="minorHAnsi" w:hAnsiTheme="minorHAnsi"/>
          <w:sz w:val="22"/>
          <w:szCs w:val="22"/>
        </w:rPr>
        <w:t xml:space="preserve">1, 2008). Most dramatically, the uncertainty in estimated TN drops substantially, directly in line with where the 2008 observations were made (Figure </w:t>
      </w:r>
      <w:r>
        <w:rPr>
          <w:rFonts w:asciiTheme="minorHAnsi" w:hAnsiTheme="minorHAnsi"/>
          <w:sz w:val="22"/>
          <w:szCs w:val="22"/>
        </w:rPr>
        <w:t>1</w:t>
      </w:r>
      <w:r w:rsidRPr="006B7701">
        <w:rPr>
          <w:rFonts w:asciiTheme="minorHAnsi" w:hAnsiTheme="minorHAnsi"/>
          <w:sz w:val="22"/>
          <w:szCs w:val="22"/>
        </w:rPr>
        <w:t xml:space="preserve">1, 2008). It is worth noting here that the integration of TN data from each data source happens directly within the GP scheme; as there are no </w:t>
      </w:r>
      <w:r w:rsidRPr="006B7701">
        <w:rPr>
          <w:rStyle w:val="Emphasis"/>
          <w:rFonts w:asciiTheme="minorHAnsi" w:eastAsiaTheme="majorEastAsia" w:hAnsiTheme="minorHAnsi"/>
          <w:sz w:val="22"/>
          <w:szCs w:val="22"/>
        </w:rPr>
        <w:t>a priori</w:t>
      </w:r>
      <w:r w:rsidRPr="006B7701">
        <w:rPr>
          <w:rFonts w:asciiTheme="minorHAnsi" w:hAnsiTheme="minorHAnsi"/>
          <w:sz w:val="22"/>
          <w:szCs w:val="22"/>
        </w:rPr>
        <w:t xml:space="preserve"> reasons to favour one sampling method over another the data integrate naturally and their information is combined according to Bayesian probability. Should inter-method difference</w:t>
      </w:r>
      <w:r>
        <w:rPr>
          <w:rFonts w:asciiTheme="minorHAnsi" w:hAnsiTheme="minorHAnsi"/>
          <w:sz w:val="22"/>
          <w:szCs w:val="22"/>
        </w:rPr>
        <w:t>s</w:t>
      </w:r>
      <w:r w:rsidRPr="006B7701">
        <w:rPr>
          <w:rFonts w:asciiTheme="minorHAnsi" w:hAnsiTheme="minorHAnsi"/>
          <w:sz w:val="22"/>
          <w:szCs w:val="22"/>
        </w:rPr>
        <w:t xml:space="preserve"> be identified or known, where one or another method is biased in some way</w:t>
      </w:r>
      <w:r>
        <w:rPr>
          <w:rFonts w:asciiTheme="minorHAnsi" w:hAnsiTheme="minorHAnsi"/>
          <w:sz w:val="22"/>
          <w:szCs w:val="22"/>
        </w:rPr>
        <w:t>,</w:t>
      </w:r>
      <w:r w:rsidRPr="006B7701">
        <w:rPr>
          <w:rFonts w:asciiTheme="minorHAnsi" w:hAnsiTheme="minorHAnsi"/>
          <w:sz w:val="22"/>
          <w:szCs w:val="22"/>
        </w:rPr>
        <w:t xml:space="preserve"> then method-specific effects can be added to the model. However here we have no information that bias in TN measurements is present </w:t>
      </w:r>
      <w:r>
        <w:rPr>
          <w:rFonts w:asciiTheme="minorHAnsi" w:hAnsiTheme="minorHAnsi"/>
          <w:sz w:val="22"/>
          <w:szCs w:val="22"/>
        </w:rPr>
        <w:t>in the</w:t>
      </w:r>
      <w:r w:rsidRPr="006B7701">
        <w:rPr>
          <w:rFonts w:asciiTheme="minorHAnsi" w:hAnsiTheme="minorHAnsi"/>
          <w:sz w:val="22"/>
          <w:szCs w:val="22"/>
        </w:rPr>
        <w:t xml:space="preserve"> methods.</w:t>
      </w:r>
    </w:p>
    <w:p w:rsidR="00587761" w:rsidRPr="006B7701" w:rsidRDefault="00587761" w:rsidP="006B7701">
      <w:pPr>
        <w:pStyle w:val="NormalWeb"/>
        <w:spacing w:after="200" w:afterAutospacing="0" w:line="276" w:lineRule="auto"/>
        <w:rPr>
          <w:rFonts w:asciiTheme="minorHAnsi" w:hAnsiTheme="minorHAnsi"/>
          <w:sz w:val="22"/>
          <w:szCs w:val="22"/>
        </w:rPr>
      </w:pPr>
    </w:p>
    <w:p w:rsidR="00587761" w:rsidRDefault="00587761" w:rsidP="00587761">
      <w:pPr>
        <w:pStyle w:val="NormalWeb"/>
      </w:pPr>
      <w:r>
        <w:rPr>
          <w:noProof/>
        </w:rPr>
        <w:lastRenderedPageBreak/>
        <w:drawing>
          <wp:inline distT="0" distB="0" distL="0" distR="0">
            <wp:extent cx="4572000" cy="4572000"/>
            <wp:effectExtent l="0" t="0" r="0" b="0"/>
            <wp:docPr id="31" name="Picture 31" descr="cid:425caeba-70f4-46fd-b66c-a6ac25652be5@unimelb.edu.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425caeba-70f4-46fd-b66c-a6ac25652be5@unimelb.edu.au"/>
                    <pic:cNvPicPr>
                      <a:picLocks noChangeAspect="1" noChangeArrowheads="1"/>
                    </pic:cNvPicPr>
                  </pic:nvPicPr>
                  <pic:blipFill>
                    <a:blip r:embed="rId59" r:link="rId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4572000"/>
                    </a:xfrm>
                    <a:prstGeom prst="rect">
                      <a:avLst/>
                    </a:prstGeom>
                    <a:noFill/>
                    <a:ln>
                      <a:noFill/>
                    </a:ln>
                  </pic:spPr>
                </pic:pic>
              </a:graphicData>
            </a:graphic>
          </wp:inline>
        </w:drawing>
      </w:r>
    </w:p>
    <w:p w:rsidR="00587761" w:rsidRPr="00587761" w:rsidRDefault="00587761" w:rsidP="00587761">
      <w:pPr>
        <w:pStyle w:val="NormalWeb"/>
        <w:spacing w:line="276" w:lineRule="auto"/>
        <w:rPr>
          <w:rFonts w:asciiTheme="minorHAnsi" w:hAnsiTheme="minorHAnsi"/>
          <w:sz w:val="20"/>
          <w:szCs w:val="20"/>
          <w:lang w:val="en-US"/>
        </w:rPr>
      </w:pPr>
      <w:proofErr w:type="gramStart"/>
      <w:r w:rsidRPr="006B7701">
        <w:rPr>
          <w:rFonts w:asciiTheme="minorHAnsi" w:hAnsiTheme="minorHAnsi"/>
          <w:b/>
          <w:sz w:val="20"/>
          <w:szCs w:val="20"/>
          <w:lang w:val="en-US"/>
        </w:rPr>
        <w:t xml:space="preserve">Figure </w:t>
      </w:r>
      <w:r>
        <w:rPr>
          <w:rFonts w:asciiTheme="minorHAnsi" w:hAnsiTheme="minorHAnsi"/>
          <w:b/>
          <w:sz w:val="20"/>
          <w:szCs w:val="20"/>
          <w:lang w:val="en-US"/>
        </w:rPr>
        <w:t>1</w:t>
      </w:r>
      <w:r w:rsidRPr="006B7701">
        <w:rPr>
          <w:rFonts w:asciiTheme="minorHAnsi" w:hAnsiTheme="minorHAnsi"/>
          <w:b/>
          <w:sz w:val="20"/>
          <w:szCs w:val="20"/>
          <w:lang w:val="en-US"/>
        </w:rPr>
        <w:t>2.</w:t>
      </w:r>
      <w:proofErr w:type="gramEnd"/>
      <w:r w:rsidRPr="006B7701">
        <w:rPr>
          <w:rFonts w:asciiTheme="minorHAnsi" w:hAnsiTheme="minorHAnsi"/>
          <w:sz w:val="20"/>
          <w:szCs w:val="20"/>
          <w:lang w:val="en-US"/>
        </w:rPr>
        <w:t xml:space="preserve"> Gaussian Process (GP) posterior standard deviation surface map of log-total nitrogen (TN) concentrations (log-</w:t>
      </w:r>
      <w:proofErr w:type="spellStart"/>
      <w:r w:rsidRPr="006B7701">
        <w:rPr>
          <w:rFonts w:asciiTheme="minorHAnsi" w:hAnsiTheme="minorHAnsi"/>
          <w:sz w:val="20"/>
          <w:szCs w:val="20"/>
          <w:lang w:val="en-US"/>
        </w:rPr>
        <w:t>μm</w:t>
      </w:r>
      <w:proofErr w:type="spellEnd"/>
      <w:r w:rsidRPr="006B7701">
        <w:rPr>
          <w:rFonts w:asciiTheme="minorHAnsi" w:hAnsiTheme="minorHAnsi"/>
          <w:sz w:val="20"/>
          <w:szCs w:val="20"/>
          <w:lang w:val="en-US"/>
        </w:rPr>
        <w:t>) in subsequent wet seasons (Q2</w:t>
      </w:r>
      <w:proofErr w:type="gramStart"/>
      <w:r w:rsidRPr="006B7701">
        <w:rPr>
          <w:rFonts w:asciiTheme="minorHAnsi" w:hAnsiTheme="minorHAnsi"/>
          <w:sz w:val="20"/>
          <w:szCs w:val="20"/>
          <w:lang w:val="en-US"/>
        </w:rPr>
        <w:t>:Jan</w:t>
      </w:r>
      <w:proofErr w:type="gramEnd"/>
      <w:r w:rsidR="006C160A">
        <w:rPr>
          <w:rFonts w:asciiTheme="minorHAnsi" w:hAnsiTheme="minorHAnsi"/>
          <w:sz w:val="20"/>
          <w:szCs w:val="20"/>
          <w:lang w:val="en-US"/>
        </w:rPr>
        <w:t>-Mar) in the Mackay-Whitsunday R</w:t>
      </w:r>
      <w:r w:rsidRPr="006B7701">
        <w:rPr>
          <w:rFonts w:asciiTheme="minorHAnsi" w:hAnsiTheme="minorHAnsi"/>
          <w:sz w:val="20"/>
          <w:szCs w:val="20"/>
          <w:lang w:val="en-US"/>
        </w:rPr>
        <w:t>egion, 2006-2014. Posterior densities were built up from summaries of 1000 potential TN maps. Grey dots are observed data locations in each year.</w:t>
      </w:r>
    </w:p>
    <w:p w:rsidR="00587761" w:rsidRDefault="004D12BA" w:rsidP="00587761">
      <w:pPr>
        <w:pStyle w:val="NormalWeb"/>
        <w:spacing w:after="200" w:afterAutospacing="0" w:line="276" w:lineRule="auto"/>
        <w:rPr>
          <w:rFonts w:asciiTheme="minorHAnsi" w:hAnsiTheme="minorHAnsi"/>
          <w:sz w:val="22"/>
          <w:szCs w:val="22"/>
        </w:rPr>
      </w:pPr>
      <w:r w:rsidRPr="006B7701">
        <w:rPr>
          <w:rFonts w:asciiTheme="minorHAnsi" w:hAnsiTheme="minorHAnsi"/>
          <w:sz w:val="22"/>
          <w:szCs w:val="22"/>
        </w:rPr>
        <w:t xml:space="preserve">Carrying the GP model further in time, three </w:t>
      </w:r>
      <w:r w:rsidR="004027FA">
        <w:rPr>
          <w:rFonts w:asciiTheme="minorHAnsi" w:hAnsiTheme="minorHAnsi"/>
          <w:sz w:val="22"/>
          <w:szCs w:val="22"/>
        </w:rPr>
        <w:t>AIMS</w:t>
      </w:r>
      <w:r w:rsidRPr="006B7701">
        <w:rPr>
          <w:rFonts w:asciiTheme="minorHAnsi" w:hAnsiTheme="minorHAnsi"/>
          <w:sz w:val="22"/>
          <w:szCs w:val="22"/>
        </w:rPr>
        <w:t xml:space="preserve"> observations were made in 2009 that, when modelled, lead to nearly the same inferences as in 2008 (Figure</w:t>
      </w:r>
      <w:r w:rsidR="00F548F8">
        <w:rPr>
          <w:rFonts w:asciiTheme="minorHAnsi" w:hAnsiTheme="minorHAnsi"/>
          <w:sz w:val="22"/>
          <w:szCs w:val="22"/>
        </w:rPr>
        <w:t>s</w:t>
      </w:r>
      <w:r w:rsidRPr="006B7701">
        <w:rPr>
          <w:rFonts w:asciiTheme="minorHAnsi" w:hAnsiTheme="minorHAnsi"/>
          <w:sz w:val="22"/>
          <w:szCs w:val="22"/>
        </w:rPr>
        <w:t xml:space="preserve"> </w:t>
      </w:r>
      <w:r w:rsidR="00F548F8">
        <w:rPr>
          <w:rFonts w:asciiTheme="minorHAnsi" w:hAnsiTheme="minorHAnsi"/>
          <w:sz w:val="22"/>
          <w:szCs w:val="22"/>
        </w:rPr>
        <w:t>1</w:t>
      </w:r>
      <w:r w:rsidRPr="006B7701">
        <w:rPr>
          <w:rFonts w:asciiTheme="minorHAnsi" w:hAnsiTheme="minorHAnsi"/>
          <w:sz w:val="22"/>
          <w:szCs w:val="22"/>
        </w:rPr>
        <w:t xml:space="preserve">1 and </w:t>
      </w:r>
      <w:r w:rsidR="00F548F8">
        <w:rPr>
          <w:rFonts w:asciiTheme="minorHAnsi" w:hAnsiTheme="minorHAnsi"/>
          <w:sz w:val="22"/>
          <w:szCs w:val="22"/>
        </w:rPr>
        <w:t>1</w:t>
      </w:r>
      <w:r w:rsidRPr="006B7701">
        <w:rPr>
          <w:rFonts w:asciiTheme="minorHAnsi" w:hAnsiTheme="minorHAnsi"/>
          <w:sz w:val="22"/>
          <w:szCs w:val="22"/>
        </w:rPr>
        <w:t xml:space="preserve">2, 2009). At first this result may seem </w:t>
      </w:r>
      <w:proofErr w:type="gramStart"/>
      <w:r w:rsidRPr="006B7701">
        <w:rPr>
          <w:rFonts w:asciiTheme="minorHAnsi" w:hAnsiTheme="minorHAnsi"/>
          <w:sz w:val="22"/>
          <w:szCs w:val="22"/>
        </w:rPr>
        <w:t>implausible,</w:t>
      </w:r>
      <w:proofErr w:type="gramEnd"/>
      <w:r w:rsidRPr="006B7701">
        <w:rPr>
          <w:rFonts w:asciiTheme="minorHAnsi" w:hAnsiTheme="minorHAnsi"/>
          <w:sz w:val="22"/>
          <w:szCs w:val="22"/>
        </w:rPr>
        <w:t xml:space="preserve"> however what it means is that the model posteriors from 2008 used as priors for 2009 continue to represent the best estimate for TN concentrations in the absence of additional information. In this way, the three observations that provided limited information to overall estimates in 2006 and 2007 also had little effect on TN estimates in 2009. In other words, the data are so sparse in 2009 that the posteriors barely differ from the priors, given the three data points observed, which is suboptimal for </w:t>
      </w:r>
      <w:r w:rsidRPr="006B7701">
        <w:rPr>
          <w:rStyle w:val="Emphasis"/>
          <w:rFonts w:asciiTheme="minorHAnsi" w:eastAsiaTheme="majorEastAsia" w:hAnsiTheme="minorHAnsi"/>
          <w:sz w:val="22"/>
          <w:szCs w:val="22"/>
        </w:rPr>
        <w:t>in situ</w:t>
      </w:r>
      <w:r w:rsidRPr="006B7701">
        <w:rPr>
          <w:rFonts w:asciiTheme="minorHAnsi" w:hAnsiTheme="minorHAnsi"/>
          <w:sz w:val="22"/>
          <w:szCs w:val="22"/>
        </w:rPr>
        <w:t xml:space="preserve"> data. From 2010 to 2014 very little additional information is added from the </w:t>
      </w:r>
      <w:r w:rsidR="004027FA">
        <w:rPr>
          <w:rFonts w:asciiTheme="minorHAnsi" w:hAnsiTheme="minorHAnsi"/>
          <w:sz w:val="22"/>
          <w:szCs w:val="22"/>
        </w:rPr>
        <w:t>AIMS</w:t>
      </w:r>
      <w:r w:rsidRPr="006B7701">
        <w:rPr>
          <w:rFonts w:asciiTheme="minorHAnsi" w:hAnsiTheme="minorHAnsi"/>
          <w:sz w:val="22"/>
          <w:szCs w:val="22"/>
        </w:rPr>
        <w:t xml:space="preserve"> observations, demonstrating that what we know about TN concentrations in the Mackay-Whitsundays are almost entirely based o</w:t>
      </w:r>
      <w:r w:rsidR="00587761">
        <w:rPr>
          <w:rFonts w:asciiTheme="minorHAnsi" w:hAnsiTheme="minorHAnsi"/>
          <w:sz w:val="22"/>
          <w:szCs w:val="22"/>
        </w:rPr>
        <w:t xml:space="preserve">n </w:t>
      </w:r>
      <w:proofErr w:type="spellStart"/>
      <w:r w:rsidR="00587761">
        <w:rPr>
          <w:rFonts w:asciiTheme="minorHAnsi" w:hAnsiTheme="minorHAnsi"/>
          <w:sz w:val="22"/>
          <w:szCs w:val="22"/>
        </w:rPr>
        <w:t>TropWater</w:t>
      </w:r>
      <w:proofErr w:type="spellEnd"/>
      <w:r w:rsidR="00587761">
        <w:rPr>
          <w:rFonts w:asciiTheme="minorHAnsi" w:hAnsiTheme="minorHAnsi"/>
          <w:sz w:val="22"/>
          <w:szCs w:val="22"/>
        </w:rPr>
        <w:t xml:space="preserve"> sampling from 2008.</w:t>
      </w:r>
    </w:p>
    <w:p w:rsidR="00335F2C" w:rsidRPr="00587761" w:rsidRDefault="00335F2C" w:rsidP="00587761">
      <w:pPr>
        <w:pStyle w:val="NormalWeb"/>
        <w:spacing w:after="200" w:afterAutospacing="0" w:line="276" w:lineRule="auto"/>
        <w:rPr>
          <w:rFonts w:asciiTheme="minorHAnsi" w:hAnsiTheme="minorHAnsi"/>
          <w:sz w:val="22"/>
          <w:szCs w:val="22"/>
        </w:rPr>
      </w:pPr>
    </w:p>
    <w:p w:rsidR="004D12BA" w:rsidRDefault="004D12BA" w:rsidP="006B7701">
      <w:pPr>
        <w:pStyle w:val="Heading4"/>
      </w:pPr>
      <w:r>
        <w:t>Bayesian Hierarchical Process models for IMP coral-cover analysis and data integration</w:t>
      </w:r>
    </w:p>
    <w:p w:rsidR="004D12BA" w:rsidRPr="006B7701" w:rsidRDefault="004D12BA" w:rsidP="006B7701">
      <w:pPr>
        <w:pStyle w:val="NormalWeb"/>
        <w:spacing w:line="276" w:lineRule="auto"/>
        <w:rPr>
          <w:rFonts w:asciiTheme="minorHAnsi" w:hAnsiTheme="minorHAnsi"/>
          <w:sz w:val="22"/>
          <w:szCs w:val="22"/>
        </w:rPr>
      </w:pPr>
      <w:r w:rsidRPr="006B7701">
        <w:rPr>
          <w:rFonts w:asciiTheme="minorHAnsi" w:hAnsiTheme="minorHAnsi"/>
          <w:sz w:val="22"/>
          <w:szCs w:val="22"/>
        </w:rPr>
        <w:t xml:space="preserve">Although a healthy, functioning GBR consists of a wide diversity of habitat components, hard coral cover is the most prominent, forming the base upon which coral reef ecosystems are formed. Unlike a </w:t>
      </w:r>
      <w:r w:rsidRPr="006B7701">
        <w:rPr>
          <w:rFonts w:asciiTheme="minorHAnsi" w:hAnsiTheme="minorHAnsi"/>
          <w:sz w:val="22"/>
          <w:szCs w:val="22"/>
        </w:rPr>
        <w:lastRenderedPageBreak/>
        <w:t xml:space="preserve">continuous spatial surface for measurements in seawater, hard coral exists patchily, among the almost 3000 individual reefs that make up the GBR ecosystem. Within the GBR, individual reefs are frequently categorised as being inshore, mid-shelf, or offshore, within shelf positions that form distinct layers of ecological function along its reach. This natural hierarchical structure is ecologically important and, as such, should be recognised by models attempting to describe annual changes </w:t>
      </w:r>
      <w:r w:rsidR="00047A0E">
        <w:rPr>
          <w:rFonts w:asciiTheme="minorHAnsi" w:hAnsiTheme="minorHAnsi"/>
          <w:sz w:val="22"/>
          <w:szCs w:val="22"/>
        </w:rPr>
        <w:t xml:space="preserve">and longer-term temporal trends </w:t>
      </w:r>
      <w:r w:rsidRPr="006B7701">
        <w:rPr>
          <w:rFonts w:asciiTheme="minorHAnsi" w:hAnsiTheme="minorHAnsi"/>
          <w:sz w:val="22"/>
          <w:szCs w:val="22"/>
        </w:rPr>
        <w:t>in hard coral cover.</w:t>
      </w:r>
    </w:p>
    <w:p w:rsidR="004D12BA" w:rsidRPr="006B7701" w:rsidRDefault="004D12BA" w:rsidP="006B7701">
      <w:pPr>
        <w:pStyle w:val="NormalWeb"/>
        <w:spacing w:line="276" w:lineRule="auto"/>
        <w:rPr>
          <w:rFonts w:asciiTheme="minorHAnsi" w:hAnsiTheme="minorHAnsi"/>
          <w:sz w:val="22"/>
          <w:szCs w:val="22"/>
          <w:lang w:val="en-US"/>
        </w:rPr>
      </w:pPr>
      <w:r w:rsidRPr="006B7701">
        <w:rPr>
          <w:rFonts w:asciiTheme="minorHAnsi" w:hAnsiTheme="minorHAnsi"/>
          <w:sz w:val="22"/>
          <w:szCs w:val="22"/>
        </w:rPr>
        <w:t>Bayesian Hierarchical linear models (HLMs</w:t>
      </w:r>
      <w:r w:rsidRPr="006B7701">
        <w:rPr>
          <w:rFonts w:asciiTheme="minorHAnsi" w:hAnsiTheme="minorHAnsi"/>
          <w:sz w:val="22"/>
          <w:szCs w:val="22"/>
          <w:lang w:val="en-US"/>
        </w:rPr>
        <w:t xml:space="preserve">; </w:t>
      </w:r>
      <w:proofErr w:type="spellStart"/>
      <w:r w:rsidRPr="006B7701">
        <w:rPr>
          <w:rFonts w:asciiTheme="minorHAnsi" w:hAnsiTheme="minorHAnsi"/>
          <w:sz w:val="22"/>
          <w:szCs w:val="22"/>
          <w:lang w:val="en-US"/>
        </w:rPr>
        <w:t>Gelman</w:t>
      </w:r>
      <w:proofErr w:type="spellEnd"/>
      <w:r w:rsidRPr="006B7701">
        <w:rPr>
          <w:rFonts w:asciiTheme="minorHAnsi" w:hAnsiTheme="minorHAnsi"/>
          <w:sz w:val="22"/>
          <w:szCs w:val="22"/>
          <w:lang w:val="en-US"/>
        </w:rPr>
        <w:t xml:space="preserve"> et al., 2004</w:t>
      </w:r>
      <w:r w:rsidRPr="006B7701">
        <w:rPr>
          <w:rFonts w:asciiTheme="minorHAnsi" w:hAnsiTheme="minorHAnsi"/>
          <w:sz w:val="22"/>
          <w:szCs w:val="22"/>
        </w:rPr>
        <w:t>) are a flexible and robust way of estimating averages and trends among coral reefs. Because Bayesian models include priors, which may be flat (uninformative) or informative, estimates of given variables for individual reefs and sectors can be estimated each year, even if no observations were made. The HLM model structure ’borrows’ information from adjacent reefs and combines this information with a prior to come up with a best estimate in light of the model and the observed data. As with the GP models described above, Bayesian HLMs also have the appealing property that they readily integrate various data sources and thereby reduce the uncertainty in larger scale estimates.</w:t>
      </w:r>
    </w:p>
    <w:p w:rsidR="004D12BA" w:rsidRPr="006B7701" w:rsidRDefault="004D12BA" w:rsidP="006B7701">
      <w:pPr>
        <w:pStyle w:val="NormalWeb"/>
        <w:spacing w:line="276" w:lineRule="auto"/>
        <w:rPr>
          <w:rFonts w:asciiTheme="minorHAnsi" w:hAnsiTheme="minorHAnsi"/>
          <w:sz w:val="22"/>
          <w:szCs w:val="22"/>
        </w:rPr>
      </w:pPr>
      <w:r w:rsidRPr="006B7701">
        <w:rPr>
          <w:rFonts w:asciiTheme="minorHAnsi" w:hAnsiTheme="minorHAnsi"/>
          <w:sz w:val="22"/>
          <w:szCs w:val="22"/>
        </w:rPr>
        <w:t xml:space="preserve">Building a hierarchical model begins with specifying priors for each level (spatial scale) of observation. In the case of something like percent hard coral cover, a binomial model provides a convenient distribution for describing the number of hard coral ’successes’ (i.e. percent cover) out of 100 on a given transect. With this, the parameters in a binomial HLM are most frequently given uninformative flat normal priors on a </w:t>
      </w:r>
      <w:proofErr w:type="spellStart"/>
      <w:r w:rsidRPr="006B7701">
        <w:rPr>
          <w:rFonts w:asciiTheme="minorHAnsi" w:hAnsiTheme="minorHAnsi"/>
          <w:sz w:val="22"/>
          <w:szCs w:val="22"/>
        </w:rPr>
        <w:t>logit</w:t>
      </w:r>
      <w:proofErr w:type="spellEnd"/>
      <w:r w:rsidRPr="006B7701">
        <w:rPr>
          <w:rFonts w:asciiTheme="minorHAnsi" w:hAnsiTheme="minorHAnsi"/>
          <w:sz w:val="22"/>
          <w:szCs w:val="22"/>
        </w:rPr>
        <w:t xml:space="preserve"> scale which, when passed through the appropriate link function, are bounded between zero and one. Including the hierarchical spatial scales relevant for the GBR, an overall (global) estimate is specified as the mean of </w:t>
      </w:r>
      <w:r w:rsidR="00532F48">
        <w:rPr>
          <w:rFonts w:asciiTheme="minorHAnsi" w:hAnsiTheme="minorHAnsi"/>
          <w:sz w:val="22"/>
          <w:szCs w:val="22"/>
        </w:rPr>
        <w:t>shelf-level estimates</w:t>
      </w:r>
      <w:r w:rsidRPr="006B7701">
        <w:rPr>
          <w:rFonts w:asciiTheme="minorHAnsi" w:hAnsiTheme="minorHAnsi"/>
          <w:sz w:val="22"/>
          <w:szCs w:val="22"/>
        </w:rPr>
        <w:t xml:space="preserve"> that are themselves the mean of the reef-level estimates within them. This hierarchal structure permits valid inferences to be made for each spatial scale, which conforms to our intuition about the nested structure of the GBR.</w:t>
      </w:r>
    </w:p>
    <w:p w:rsidR="004D12BA" w:rsidRDefault="004D12BA" w:rsidP="00587761">
      <w:pPr>
        <w:pStyle w:val="Heading4"/>
        <w:spacing w:after="120"/>
      </w:pPr>
      <w:r>
        <w:t>Example: hard coral measurements</w:t>
      </w:r>
    </w:p>
    <w:p w:rsidR="000C6AA0" w:rsidRDefault="004D12BA" w:rsidP="000C6AA0">
      <w:pPr>
        <w:pStyle w:val="NormalWeb"/>
        <w:spacing w:before="0" w:beforeAutospacing="0" w:after="200" w:afterAutospacing="0" w:line="276" w:lineRule="auto"/>
        <w:rPr>
          <w:rFonts w:asciiTheme="minorHAnsi" w:hAnsiTheme="minorHAnsi"/>
          <w:sz w:val="22"/>
          <w:szCs w:val="22"/>
        </w:rPr>
      </w:pPr>
      <w:r w:rsidRPr="006B7701">
        <w:rPr>
          <w:rFonts w:asciiTheme="minorHAnsi" w:hAnsiTheme="minorHAnsi"/>
          <w:sz w:val="22"/>
          <w:szCs w:val="22"/>
        </w:rPr>
        <w:t>As a specific case to help illustrate how HLMs can be used to estimate hard coral coverage let’s look at hard coral measurements mad</w:t>
      </w:r>
      <w:r w:rsidR="006C160A">
        <w:rPr>
          <w:rFonts w:asciiTheme="minorHAnsi" w:hAnsiTheme="minorHAnsi"/>
          <w:sz w:val="22"/>
          <w:szCs w:val="22"/>
        </w:rPr>
        <w:t>e within the Mackay-Whitsunday R</w:t>
      </w:r>
      <w:r w:rsidRPr="006B7701">
        <w:rPr>
          <w:rFonts w:asciiTheme="minorHAnsi" w:hAnsiTheme="minorHAnsi"/>
          <w:sz w:val="22"/>
          <w:szCs w:val="22"/>
        </w:rPr>
        <w:t xml:space="preserve">egion by </w:t>
      </w:r>
      <w:r w:rsidR="004027FA">
        <w:rPr>
          <w:rFonts w:asciiTheme="minorHAnsi" w:hAnsiTheme="minorHAnsi"/>
          <w:sz w:val="22"/>
          <w:szCs w:val="22"/>
        </w:rPr>
        <w:t>the</w:t>
      </w:r>
      <w:r w:rsidRPr="006B7701">
        <w:rPr>
          <w:rFonts w:asciiTheme="minorHAnsi" w:hAnsiTheme="minorHAnsi"/>
          <w:sz w:val="22"/>
          <w:szCs w:val="22"/>
        </w:rPr>
        <w:t xml:space="preserve"> long-term monitoring program (LTMP), </w:t>
      </w:r>
      <w:r w:rsidR="004027FA">
        <w:rPr>
          <w:rFonts w:asciiTheme="minorHAnsi" w:hAnsiTheme="minorHAnsi"/>
          <w:sz w:val="22"/>
          <w:szCs w:val="22"/>
        </w:rPr>
        <w:t>MMP</w:t>
      </w:r>
      <w:r w:rsidRPr="006B7701">
        <w:rPr>
          <w:rFonts w:asciiTheme="minorHAnsi" w:hAnsiTheme="minorHAnsi"/>
          <w:sz w:val="22"/>
          <w:szCs w:val="22"/>
        </w:rPr>
        <w:t>, and researchers at James Cook University (JCU). The data consist of hard coral cover measurements made on fixed transects, primarily among inshore reefs; only the LTMP surveyed coral cover on mid and outer shelf positions. The number of observations per year shows that, in most years, only LTMP data w</w:t>
      </w:r>
      <w:r w:rsidR="00587761">
        <w:rPr>
          <w:rFonts w:asciiTheme="minorHAnsi" w:hAnsiTheme="minorHAnsi"/>
          <w:sz w:val="22"/>
          <w:szCs w:val="22"/>
        </w:rPr>
        <w:t>ere</w:t>
      </w:r>
      <w:r w:rsidRPr="006B7701">
        <w:rPr>
          <w:rFonts w:asciiTheme="minorHAnsi" w:hAnsiTheme="minorHAnsi"/>
          <w:sz w:val="22"/>
          <w:szCs w:val="22"/>
        </w:rPr>
        <w:t xml:space="preserve"> collected (Table </w:t>
      </w:r>
      <w:r w:rsidR="00806215">
        <w:rPr>
          <w:rFonts w:asciiTheme="minorHAnsi" w:hAnsiTheme="minorHAnsi"/>
          <w:sz w:val="22"/>
          <w:szCs w:val="22"/>
        </w:rPr>
        <w:t>5</w:t>
      </w:r>
      <w:r w:rsidRPr="006B7701">
        <w:rPr>
          <w:rFonts w:asciiTheme="minorHAnsi" w:hAnsiTheme="minorHAnsi"/>
          <w:sz w:val="22"/>
          <w:szCs w:val="22"/>
        </w:rPr>
        <w:t>). However there are a few years - notably 2007, 2009, and 2012 - when all three data-</w:t>
      </w:r>
      <w:r w:rsidR="004027FA">
        <w:rPr>
          <w:rFonts w:asciiTheme="minorHAnsi" w:hAnsiTheme="minorHAnsi"/>
          <w:sz w:val="22"/>
          <w:szCs w:val="22"/>
        </w:rPr>
        <w:t>sources</w:t>
      </w:r>
      <w:r w:rsidRPr="006B7701">
        <w:rPr>
          <w:rFonts w:asciiTheme="minorHAnsi" w:hAnsiTheme="minorHAnsi"/>
          <w:sz w:val="22"/>
          <w:szCs w:val="22"/>
        </w:rPr>
        <w:t xml:space="preserve"> surveyed the area.</w:t>
      </w:r>
    </w:p>
    <w:p w:rsidR="00335F2C" w:rsidRPr="006B7701" w:rsidRDefault="00335F2C" w:rsidP="00335F2C">
      <w:pPr>
        <w:pStyle w:val="NormalWeb"/>
        <w:spacing w:after="200" w:afterAutospacing="0" w:line="276" w:lineRule="auto"/>
        <w:rPr>
          <w:rFonts w:asciiTheme="minorHAnsi" w:hAnsiTheme="minorHAnsi"/>
          <w:sz w:val="22"/>
          <w:szCs w:val="22"/>
        </w:rPr>
      </w:pPr>
      <w:r w:rsidRPr="006B7701">
        <w:rPr>
          <w:rFonts w:asciiTheme="minorHAnsi" w:hAnsiTheme="minorHAnsi"/>
          <w:sz w:val="22"/>
          <w:szCs w:val="22"/>
        </w:rPr>
        <w:t>While hard coral cover observations could be quantified sequentially, as they were for the GP surfaces, we generally know more about hard coral cover on individual reefs than water quality, making it more sensible to estimate annual changes based primarily on the year of observation. There is sufficient information available each year to estimate year-specific random effects that characterise region-wide changes in hard coral cover year on year, as might occur with a large-scale disturbance. We can also get overall, shelf-specific, and reef-specific estimates of total coral cover within the Mackay-Whitsunday region from 1999 to 2014, as well as estimates of inter-annual variability that may be of interest.</w:t>
      </w:r>
    </w:p>
    <w:p w:rsidR="00335F2C" w:rsidRPr="006B7701" w:rsidRDefault="00335F2C" w:rsidP="000C6AA0">
      <w:pPr>
        <w:pStyle w:val="NormalWeb"/>
        <w:spacing w:before="0" w:beforeAutospacing="0" w:after="200" w:afterAutospacing="0" w:line="276" w:lineRule="auto"/>
        <w:rPr>
          <w:rFonts w:asciiTheme="minorHAnsi" w:hAnsiTheme="minorHAnsi"/>
          <w:sz w:val="22"/>
          <w:szCs w:val="22"/>
        </w:rPr>
      </w:pPr>
    </w:p>
    <w:p w:rsidR="004D12BA" w:rsidRPr="006B7701" w:rsidRDefault="006B7701" w:rsidP="000435D9">
      <w:pPr>
        <w:pStyle w:val="NormalWeb"/>
        <w:spacing w:after="200" w:afterAutospacing="0" w:line="276" w:lineRule="auto"/>
        <w:rPr>
          <w:rFonts w:asciiTheme="minorHAnsi" w:hAnsiTheme="minorHAnsi"/>
          <w:sz w:val="20"/>
          <w:szCs w:val="20"/>
          <w:lang w:val="en-US"/>
        </w:rPr>
      </w:pPr>
      <w:proofErr w:type="gramStart"/>
      <w:r w:rsidRPr="006B7701">
        <w:rPr>
          <w:rFonts w:asciiTheme="minorHAnsi" w:hAnsiTheme="minorHAnsi"/>
          <w:b/>
          <w:sz w:val="20"/>
          <w:szCs w:val="20"/>
          <w:lang w:val="en-US"/>
        </w:rPr>
        <w:lastRenderedPageBreak/>
        <w:t xml:space="preserve">Table </w:t>
      </w:r>
      <w:r w:rsidR="00806215">
        <w:rPr>
          <w:rFonts w:asciiTheme="minorHAnsi" w:hAnsiTheme="minorHAnsi"/>
          <w:b/>
          <w:sz w:val="20"/>
          <w:szCs w:val="20"/>
          <w:lang w:val="en-US"/>
        </w:rPr>
        <w:t>5</w:t>
      </w:r>
      <w:r w:rsidRPr="006B7701">
        <w:rPr>
          <w:rFonts w:asciiTheme="minorHAnsi" w:hAnsiTheme="minorHAnsi"/>
          <w:b/>
          <w:sz w:val="20"/>
          <w:szCs w:val="20"/>
          <w:lang w:val="en-US"/>
        </w:rPr>
        <w:t>.</w:t>
      </w:r>
      <w:proofErr w:type="gramEnd"/>
      <w:r w:rsidR="004D12BA" w:rsidRPr="006B7701">
        <w:rPr>
          <w:rFonts w:asciiTheme="minorHAnsi" w:hAnsiTheme="minorHAnsi"/>
          <w:sz w:val="20"/>
          <w:szCs w:val="20"/>
          <w:lang w:val="en-US"/>
        </w:rPr>
        <w:t xml:space="preserve"> </w:t>
      </w:r>
      <w:r w:rsidR="004027FA">
        <w:rPr>
          <w:rFonts w:asciiTheme="minorHAnsi" w:hAnsiTheme="minorHAnsi"/>
          <w:sz w:val="20"/>
          <w:szCs w:val="20"/>
          <w:lang w:val="en-US"/>
        </w:rPr>
        <w:t>Data sources</w:t>
      </w:r>
      <w:r w:rsidR="004D12BA" w:rsidRPr="006B7701">
        <w:rPr>
          <w:rFonts w:asciiTheme="minorHAnsi" w:hAnsiTheme="minorHAnsi"/>
          <w:sz w:val="20"/>
          <w:szCs w:val="20"/>
          <w:lang w:val="en-US"/>
        </w:rPr>
        <w:t xml:space="preserve"> and number of hard coral (HC) samples per year.</w:t>
      </w:r>
      <w:r w:rsidR="000435D9">
        <w:rPr>
          <w:rFonts w:asciiTheme="minorHAnsi" w:hAnsiTheme="minorHAnsi"/>
          <w:sz w:val="20"/>
          <w:szCs w:val="20"/>
          <w:lang w:val="en-US"/>
        </w:rPr>
        <w:t xml:space="preserve"> * Analyses assume zero </w:t>
      </w:r>
      <w:proofErr w:type="gramStart"/>
      <w:r w:rsidR="000435D9">
        <w:rPr>
          <w:rFonts w:asciiTheme="minorHAnsi" w:hAnsiTheme="minorHAnsi"/>
          <w:sz w:val="20"/>
          <w:szCs w:val="20"/>
          <w:lang w:val="en-US"/>
        </w:rPr>
        <w:t>counts,</w:t>
      </w:r>
      <w:proofErr w:type="gramEnd"/>
      <w:r w:rsidR="000435D9">
        <w:rPr>
          <w:rFonts w:asciiTheme="minorHAnsi" w:hAnsiTheme="minorHAnsi"/>
          <w:sz w:val="20"/>
          <w:szCs w:val="20"/>
          <w:lang w:val="en-US"/>
        </w:rPr>
        <w:t xml:space="preserve"> however data are not yet available.</w:t>
      </w:r>
    </w:p>
    <w:tbl>
      <w:tblPr>
        <w:tblW w:w="0" w:type="auto"/>
        <w:jc w:val="center"/>
        <w:tblCellSpacing w:w="15" w:type="dxa"/>
        <w:tblLook w:val="04A0"/>
      </w:tblPr>
      <w:tblGrid>
        <w:gridCol w:w="968"/>
        <w:gridCol w:w="968"/>
        <w:gridCol w:w="968"/>
        <w:gridCol w:w="969"/>
      </w:tblGrid>
      <w:tr w:rsidR="004D12BA" w:rsidRPr="006B7701" w:rsidTr="006B7701">
        <w:trPr>
          <w:tblHeader/>
          <w:tblCellSpacing w:w="15" w:type="dxa"/>
          <w:jc w:val="center"/>
        </w:trPr>
        <w:tc>
          <w:tcPr>
            <w:tcW w:w="923" w:type="dxa"/>
            <w:tcBorders>
              <w:top w:val="single" w:sz="4" w:space="0" w:color="auto"/>
              <w:bottom w:val="single" w:sz="4" w:space="0" w:color="auto"/>
            </w:tcBorders>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b/>
                <w:bCs/>
                <w:sz w:val="20"/>
                <w:szCs w:val="20"/>
              </w:rPr>
            </w:pPr>
            <w:r w:rsidRPr="006B7701">
              <w:rPr>
                <w:rFonts w:eastAsia="Times New Roman" w:cs="Times New Roman"/>
                <w:b/>
                <w:bCs/>
                <w:sz w:val="20"/>
                <w:szCs w:val="20"/>
              </w:rPr>
              <w:t>Year</w:t>
            </w:r>
          </w:p>
        </w:tc>
        <w:tc>
          <w:tcPr>
            <w:tcW w:w="938" w:type="dxa"/>
            <w:tcBorders>
              <w:top w:val="single" w:sz="4" w:space="0" w:color="auto"/>
              <w:bottom w:val="single" w:sz="4" w:space="0" w:color="auto"/>
            </w:tcBorders>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b/>
                <w:bCs/>
                <w:sz w:val="20"/>
                <w:szCs w:val="20"/>
              </w:rPr>
            </w:pPr>
            <w:r w:rsidRPr="006B7701">
              <w:rPr>
                <w:rFonts w:eastAsia="Times New Roman" w:cs="Times New Roman"/>
                <w:b/>
                <w:bCs/>
                <w:sz w:val="20"/>
                <w:szCs w:val="20"/>
              </w:rPr>
              <w:t>LTMP</w:t>
            </w:r>
          </w:p>
        </w:tc>
        <w:tc>
          <w:tcPr>
            <w:tcW w:w="938" w:type="dxa"/>
            <w:tcBorders>
              <w:top w:val="single" w:sz="4" w:space="0" w:color="auto"/>
              <w:bottom w:val="single" w:sz="4" w:space="0" w:color="auto"/>
            </w:tcBorders>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b/>
                <w:bCs/>
                <w:sz w:val="20"/>
                <w:szCs w:val="20"/>
              </w:rPr>
            </w:pPr>
            <w:r w:rsidRPr="006B7701">
              <w:rPr>
                <w:rFonts w:eastAsia="Times New Roman" w:cs="Times New Roman"/>
                <w:b/>
                <w:bCs/>
                <w:sz w:val="20"/>
                <w:szCs w:val="20"/>
              </w:rPr>
              <w:t>MMP</w:t>
            </w:r>
          </w:p>
        </w:tc>
        <w:tc>
          <w:tcPr>
            <w:tcW w:w="924" w:type="dxa"/>
            <w:tcBorders>
              <w:top w:val="single" w:sz="4" w:space="0" w:color="auto"/>
              <w:bottom w:val="single" w:sz="4" w:space="0" w:color="auto"/>
            </w:tcBorders>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b/>
                <w:bCs/>
                <w:sz w:val="20"/>
                <w:szCs w:val="20"/>
              </w:rPr>
            </w:pPr>
            <w:r w:rsidRPr="006B7701">
              <w:rPr>
                <w:rFonts w:eastAsia="Times New Roman" w:cs="Times New Roman"/>
                <w:b/>
                <w:bCs/>
                <w:sz w:val="20"/>
                <w:szCs w:val="20"/>
              </w:rPr>
              <w:t>JCU</w:t>
            </w:r>
          </w:p>
        </w:tc>
      </w:tr>
      <w:tr w:rsidR="004D12BA" w:rsidRPr="006B7701" w:rsidTr="006B7701">
        <w:trPr>
          <w:tblCellSpacing w:w="15" w:type="dxa"/>
          <w:jc w:val="center"/>
        </w:trPr>
        <w:tc>
          <w:tcPr>
            <w:tcW w:w="923"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1999</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9</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0</w:t>
            </w:r>
          </w:p>
        </w:tc>
        <w:tc>
          <w:tcPr>
            <w:tcW w:w="924"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0</w:t>
            </w:r>
          </w:p>
        </w:tc>
      </w:tr>
      <w:tr w:rsidR="004D12BA" w:rsidRPr="006B7701" w:rsidTr="006B7701">
        <w:trPr>
          <w:tblCellSpacing w:w="15" w:type="dxa"/>
          <w:jc w:val="center"/>
        </w:trPr>
        <w:tc>
          <w:tcPr>
            <w:tcW w:w="923"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2000</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9</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0</w:t>
            </w:r>
          </w:p>
        </w:tc>
        <w:tc>
          <w:tcPr>
            <w:tcW w:w="924"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0</w:t>
            </w:r>
          </w:p>
        </w:tc>
      </w:tr>
      <w:tr w:rsidR="004D12BA" w:rsidRPr="006B7701" w:rsidTr="006B7701">
        <w:trPr>
          <w:tblCellSpacing w:w="15" w:type="dxa"/>
          <w:jc w:val="center"/>
        </w:trPr>
        <w:tc>
          <w:tcPr>
            <w:tcW w:w="923"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2001</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9</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0</w:t>
            </w:r>
          </w:p>
        </w:tc>
        <w:tc>
          <w:tcPr>
            <w:tcW w:w="924"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0</w:t>
            </w:r>
          </w:p>
        </w:tc>
      </w:tr>
      <w:tr w:rsidR="004D12BA" w:rsidRPr="006B7701" w:rsidTr="006B7701">
        <w:trPr>
          <w:tblCellSpacing w:w="15" w:type="dxa"/>
          <w:jc w:val="center"/>
        </w:trPr>
        <w:tc>
          <w:tcPr>
            <w:tcW w:w="923"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2002</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9</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0</w:t>
            </w:r>
          </w:p>
        </w:tc>
        <w:tc>
          <w:tcPr>
            <w:tcW w:w="924"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0</w:t>
            </w:r>
          </w:p>
        </w:tc>
      </w:tr>
      <w:tr w:rsidR="004D12BA" w:rsidRPr="006B7701" w:rsidTr="006B7701">
        <w:trPr>
          <w:tblCellSpacing w:w="15" w:type="dxa"/>
          <w:jc w:val="center"/>
        </w:trPr>
        <w:tc>
          <w:tcPr>
            <w:tcW w:w="923"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2003</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9</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0</w:t>
            </w:r>
          </w:p>
        </w:tc>
        <w:tc>
          <w:tcPr>
            <w:tcW w:w="924"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145</w:t>
            </w:r>
          </w:p>
        </w:tc>
      </w:tr>
      <w:tr w:rsidR="004D12BA" w:rsidRPr="006B7701" w:rsidTr="006B7701">
        <w:trPr>
          <w:tblCellSpacing w:w="15" w:type="dxa"/>
          <w:jc w:val="center"/>
        </w:trPr>
        <w:tc>
          <w:tcPr>
            <w:tcW w:w="923"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2004</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9</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0</w:t>
            </w:r>
          </w:p>
        </w:tc>
        <w:tc>
          <w:tcPr>
            <w:tcW w:w="924"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60</w:t>
            </w:r>
          </w:p>
        </w:tc>
      </w:tr>
      <w:tr w:rsidR="004D12BA" w:rsidRPr="006B7701" w:rsidTr="006B7701">
        <w:trPr>
          <w:tblCellSpacing w:w="15" w:type="dxa"/>
          <w:jc w:val="center"/>
        </w:trPr>
        <w:tc>
          <w:tcPr>
            <w:tcW w:w="923"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2005</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9</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0</w:t>
            </w:r>
          </w:p>
        </w:tc>
        <w:tc>
          <w:tcPr>
            <w:tcW w:w="924"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0</w:t>
            </w:r>
          </w:p>
        </w:tc>
      </w:tr>
      <w:tr w:rsidR="004D12BA" w:rsidRPr="006B7701" w:rsidTr="006B7701">
        <w:trPr>
          <w:tblCellSpacing w:w="15" w:type="dxa"/>
          <w:jc w:val="center"/>
        </w:trPr>
        <w:tc>
          <w:tcPr>
            <w:tcW w:w="923"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2006</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10</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0</w:t>
            </w:r>
          </w:p>
        </w:tc>
        <w:tc>
          <w:tcPr>
            <w:tcW w:w="924"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0</w:t>
            </w:r>
          </w:p>
        </w:tc>
      </w:tr>
      <w:tr w:rsidR="004D12BA" w:rsidRPr="006B7701" w:rsidTr="006B7701">
        <w:trPr>
          <w:tblCellSpacing w:w="15" w:type="dxa"/>
          <w:jc w:val="center"/>
        </w:trPr>
        <w:tc>
          <w:tcPr>
            <w:tcW w:w="923"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2007</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9</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9</w:t>
            </w:r>
          </w:p>
        </w:tc>
        <w:tc>
          <w:tcPr>
            <w:tcW w:w="924"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205</w:t>
            </w:r>
          </w:p>
        </w:tc>
      </w:tr>
      <w:tr w:rsidR="004D12BA" w:rsidRPr="006B7701" w:rsidTr="006B7701">
        <w:trPr>
          <w:tblCellSpacing w:w="15" w:type="dxa"/>
          <w:jc w:val="center"/>
        </w:trPr>
        <w:tc>
          <w:tcPr>
            <w:tcW w:w="923"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2008</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10</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10</w:t>
            </w:r>
          </w:p>
        </w:tc>
        <w:tc>
          <w:tcPr>
            <w:tcW w:w="924"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0</w:t>
            </w:r>
          </w:p>
        </w:tc>
      </w:tr>
      <w:tr w:rsidR="004D12BA" w:rsidRPr="006B7701" w:rsidTr="006B7701">
        <w:trPr>
          <w:tblCellSpacing w:w="15" w:type="dxa"/>
          <w:jc w:val="center"/>
        </w:trPr>
        <w:tc>
          <w:tcPr>
            <w:tcW w:w="923"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2009</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9</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9</w:t>
            </w:r>
          </w:p>
        </w:tc>
        <w:tc>
          <w:tcPr>
            <w:tcW w:w="924"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205</w:t>
            </w:r>
          </w:p>
        </w:tc>
      </w:tr>
      <w:tr w:rsidR="004D12BA" w:rsidRPr="006B7701" w:rsidTr="006B7701">
        <w:trPr>
          <w:tblCellSpacing w:w="15" w:type="dxa"/>
          <w:jc w:val="center"/>
        </w:trPr>
        <w:tc>
          <w:tcPr>
            <w:tcW w:w="923"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2010</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10</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9</w:t>
            </w:r>
          </w:p>
        </w:tc>
        <w:tc>
          <w:tcPr>
            <w:tcW w:w="924"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0</w:t>
            </w:r>
          </w:p>
        </w:tc>
      </w:tr>
      <w:tr w:rsidR="004D12BA" w:rsidRPr="006B7701" w:rsidTr="006B7701">
        <w:trPr>
          <w:tblCellSpacing w:w="15" w:type="dxa"/>
          <w:jc w:val="center"/>
        </w:trPr>
        <w:tc>
          <w:tcPr>
            <w:tcW w:w="923"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2011</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11</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10</w:t>
            </w:r>
          </w:p>
        </w:tc>
        <w:tc>
          <w:tcPr>
            <w:tcW w:w="924"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0</w:t>
            </w:r>
          </w:p>
        </w:tc>
      </w:tr>
      <w:tr w:rsidR="004D12BA" w:rsidRPr="006B7701" w:rsidTr="006B7701">
        <w:trPr>
          <w:tblCellSpacing w:w="15" w:type="dxa"/>
          <w:jc w:val="center"/>
        </w:trPr>
        <w:tc>
          <w:tcPr>
            <w:tcW w:w="923"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2012</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8</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8</w:t>
            </w:r>
          </w:p>
        </w:tc>
        <w:tc>
          <w:tcPr>
            <w:tcW w:w="924"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205</w:t>
            </w:r>
          </w:p>
        </w:tc>
      </w:tr>
      <w:tr w:rsidR="004D12BA" w:rsidRPr="006B7701" w:rsidTr="006B7701">
        <w:trPr>
          <w:tblCellSpacing w:w="15" w:type="dxa"/>
          <w:jc w:val="center"/>
        </w:trPr>
        <w:tc>
          <w:tcPr>
            <w:tcW w:w="923"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2013</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0</w:t>
            </w:r>
          </w:p>
        </w:tc>
        <w:tc>
          <w:tcPr>
            <w:tcW w:w="938"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10</w:t>
            </w:r>
          </w:p>
        </w:tc>
        <w:tc>
          <w:tcPr>
            <w:tcW w:w="924" w:type="dxa"/>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0</w:t>
            </w:r>
          </w:p>
        </w:tc>
      </w:tr>
      <w:tr w:rsidR="004D12BA" w:rsidRPr="006B7701" w:rsidTr="006B7701">
        <w:trPr>
          <w:tblCellSpacing w:w="15" w:type="dxa"/>
          <w:jc w:val="center"/>
        </w:trPr>
        <w:tc>
          <w:tcPr>
            <w:tcW w:w="923" w:type="dxa"/>
            <w:tcBorders>
              <w:bottom w:val="single" w:sz="4" w:space="0" w:color="auto"/>
            </w:tcBorders>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2014</w:t>
            </w:r>
          </w:p>
        </w:tc>
        <w:tc>
          <w:tcPr>
            <w:tcW w:w="938" w:type="dxa"/>
            <w:tcBorders>
              <w:bottom w:val="single" w:sz="4" w:space="0" w:color="auto"/>
            </w:tcBorders>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0</w:t>
            </w:r>
            <w:r w:rsidR="000435D9">
              <w:rPr>
                <w:rFonts w:eastAsia="Times New Roman" w:cs="Times New Roman"/>
                <w:sz w:val="20"/>
                <w:szCs w:val="20"/>
              </w:rPr>
              <w:t>*</w:t>
            </w:r>
          </w:p>
        </w:tc>
        <w:tc>
          <w:tcPr>
            <w:tcW w:w="938" w:type="dxa"/>
            <w:tcBorders>
              <w:bottom w:val="single" w:sz="4" w:space="0" w:color="auto"/>
            </w:tcBorders>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0</w:t>
            </w:r>
            <w:r w:rsidR="000435D9">
              <w:rPr>
                <w:rFonts w:eastAsia="Times New Roman" w:cs="Times New Roman"/>
                <w:sz w:val="20"/>
                <w:szCs w:val="20"/>
              </w:rPr>
              <w:t>*</w:t>
            </w:r>
          </w:p>
        </w:tc>
        <w:tc>
          <w:tcPr>
            <w:tcW w:w="924" w:type="dxa"/>
            <w:tcBorders>
              <w:bottom w:val="single" w:sz="4" w:space="0" w:color="auto"/>
            </w:tcBorders>
            <w:tcMar>
              <w:top w:w="15" w:type="dxa"/>
              <w:left w:w="15" w:type="dxa"/>
              <w:bottom w:w="15" w:type="dxa"/>
              <w:right w:w="15" w:type="dxa"/>
            </w:tcMar>
            <w:vAlign w:val="center"/>
            <w:hideMark/>
          </w:tcPr>
          <w:p w:rsidR="004D12BA" w:rsidRPr="006B7701" w:rsidRDefault="004D12BA" w:rsidP="006B7701">
            <w:pPr>
              <w:spacing w:after="0"/>
              <w:jc w:val="center"/>
              <w:rPr>
                <w:rFonts w:eastAsia="Times New Roman" w:cs="Times New Roman"/>
                <w:sz w:val="20"/>
                <w:szCs w:val="20"/>
              </w:rPr>
            </w:pPr>
            <w:r w:rsidRPr="006B7701">
              <w:rPr>
                <w:rFonts w:eastAsia="Times New Roman" w:cs="Times New Roman"/>
                <w:sz w:val="20"/>
                <w:szCs w:val="20"/>
              </w:rPr>
              <w:t>205</w:t>
            </w:r>
          </w:p>
        </w:tc>
      </w:tr>
    </w:tbl>
    <w:p w:rsidR="004D12BA" w:rsidRDefault="004D12BA" w:rsidP="006B7701">
      <w:pPr>
        <w:pStyle w:val="NormalWeb"/>
        <w:spacing w:after="200" w:afterAutospacing="0" w:line="276" w:lineRule="auto"/>
        <w:rPr>
          <w:rFonts w:asciiTheme="minorHAnsi" w:hAnsiTheme="minorHAnsi"/>
          <w:sz w:val="22"/>
          <w:szCs w:val="22"/>
        </w:rPr>
      </w:pPr>
      <w:r w:rsidRPr="006B7701">
        <w:rPr>
          <w:rFonts w:asciiTheme="minorHAnsi" w:hAnsiTheme="minorHAnsi"/>
          <w:sz w:val="22"/>
          <w:szCs w:val="22"/>
        </w:rPr>
        <w:t>Average hard coral cover acros</w:t>
      </w:r>
      <w:r w:rsidR="006C160A">
        <w:rPr>
          <w:rFonts w:asciiTheme="minorHAnsi" w:hAnsiTheme="minorHAnsi"/>
          <w:sz w:val="22"/>
          <w:szCs w:val="22"/>
        </w:rPr>
        <w:t>s the entire Mackay-Whitsunday R</w:t>
      </w:r>
      <w:r w:rsidRPr="006B7701">
        <w:rPr>
          <w:rFonts w:asciiTheme="minorHAnsi" w:hAnsiTheme="minorHAnsi"/>
          <w:sz w:val="22"/>
          <w:szCs w:val="22"/>
        </w:rPr>
        <w:t xml:space="preserve">egion was 31%, albeit with uncertainty intervals that spanned the entire 0 to 100 % hard coral cover range, due to the small number of shelf positions (three) contributing to its estimation. Despite the uncertainty in this overall estimate, average cover within individual shelf positions was well estimated, varying from a high of 45% within the inner shelf areas to a low of 22% in the outer shelf areas (Figure </w:t>
      </w:r>
      <w:r w:rsidR="00F548F8">
        <w:rPr>
          <w:rFonts w:asciiTheme="minorHAnsi" w:hAnsiTheme="minorHAnsi"/>
          <w:sz w:val="22"/>
          <w:szCs w:val="22"/>
        </w:rPr>
        <w:t>1</w:t>
      </w:r>
      <w:r w:rsidR="000435D9">
        <w:rPr>
          <w:rFonts w:asciiTheme="minorHAnsi" w:hAnsiTheme="minorHAnsi"/>
          <w:sz w:val="22"/>
          <w:szCs w:val="22"/>
        </w:rPr>
        <w:t xml:space="preserve">3). </w:t>
      </w:r>
      <w:r w:rsidRPr="006B7701">
        <w:rPr>
          <w:rFonts w:asciiTheme="minorHAnsi" w:hAnsiTheme="minorHAnsi"/>
          <w:sz w:val="22"/>
          <w:szCs w:val="22"/>
        </w:rPr>
        <w:t xml:space="preserve">Inter-reef variation in hard coral cover was high, ranging from a low of 15% on Hyde Reef, on the outer shelf, to a high of 60% on inshore Hayman Island (Figure </w:t>
      </w:r>
      <w:r w:rsidR="00F548F8">
        <w:rPr>
          <w:rFonts w:asciiTheme="minorHAnsi" w:hAnsiTheme="minorHAnsi"/>
          <w:sz w:val="22"/>
          <w:szCs w:val="22"/>
        </w:rPr>
        <w:t>1</w:t>
      </w:r>
      <w:r w:rsidRPr="006B7701">
        <w:rPr>
          <w:rFonts w:asciiTheme="minorHAnsi" w:hAnsiTheme="minorHAnsi"/>
          <w:sz w:val="22"/>
          <w:szCs w:val="22"/>
        </w:rPr>
        <w:t>4).</w:t>
      </w:r>
    </w:p>
    <w:p w:rsidR="00335F2C" w:rsidRDefault="00335F2C" w:rsidP="006B7701">
      <w:pPr>
        <w:pStyle w:val="NormalWeb"/>
        <w:spacing w:after="200" w:afterAutospacing="0" w:line="276" w:lineRule="auto"/>
        <w:rPr>
          <w:rFonts w:asciiTheme="minorHAnsi" w:hAnsiTheme="minorHAnsi"/>
          <w:sz w:val="22"/>
          <w:szCs w:val="22"/>
        </w:rPr>
      </w:pPr>
      <w:r w:rsidRPr="006B7701">
        <w:rPr>
          <w:rFonts w:asciiTheme="minorHAnsi" w:hAnsiTheme="minorHAnsi"/>
          <w:sz w:val="22"/>
          <w:szCs w:val="22"/>
        </w:rPr>
        <w:t>While these within and among-reef, and among-sector differences provide a relatively robust inference about the state of inner, mid, and outer hard coral cover in the</w:t>
      </w:r>
      <w:r>
        <w:rPr>
          <w:rFonts w:asciiTheme="minorHAnsi" w:hAnsiTheme="minorHAnsi"/>
          <w:sz w:val="22"/>
          <w:szCs w:val="22"/>
        </w:rPr>
        <w:t xml:space="preserve"> Mackay-Whitsunday R</w:t>
      </w:r>
      <w:r w:rsidRPr="006B7701">
        <w:rPr>
          <w:rFonts w:asciiTheme="minorHAnsi" w:hAnsiTheme="minorHAnsi"/>
          <w:sz w:val="22"/>
          <w:szCs w:val="22"/>
        </w:rPr>
        <w:t xml:space="preserve">egion, they include considerably more data for the inshore than the other two shelf positions, which are surveyed only by </w:t>
      </w:r>
      <w:r>
        <w:rPr>
          <w:rFonts w:asciiTheme="minorHAnsi" w:hAnsiTheme="minorHAnsi"/>
          <w:sz w:val="22"/>
          <w:szCs w:val="22"/>
        </w:rPr>
        <w:t>the</w:t>
      </w:r>
      <w:r w:rsidRPr="006B7701">
        <w:rPr>
          <w:rFonts w:asciiTheme="minorHAnsi" w:hAnsiTheme="minorHAnsi"/>
          <w:sz w:val="22"/>
          <w:szCs w:val="22"/>
        </w:rPr>
        <w:t xml:space="preserve"> LTMP. The greater level of information about the inshore reefs becomes clear when looking at estimated shelf-scale averages through time (Figure </w:t>
      </w:r>
      <w:r>
        <w:rPr>
          <w:rFonts w:asciiTheme="minorHAnsi" w:hAnsiTheme="minorHAnsi"/>
          <w:sz w:val="22"/>
          <w:szCs w:val="22"/>
        </w:rPr>
        <w:t>1</w:t>
      </w:r>
      <w:r w:rsidRPr="006B7701">
        <w:rPr>
          <w:rFonts w:asciiTheme="minorHAnsi" w:hAnsiTheme="minorHAnsi"/>
          <w:sz w:val="22"/>
          <w:szCs w:val="22"/>
        </w:rPr>
        <w:t>5). Here, the much higher data density is apparent among inshore reefs, with markedly narrower confidence bounds in most years.</w:t>
      </w:r>
    </w:p>
    <w:p w:rsidR="00335F2C" w:rsidRPr="006B7701" w:rsidRDefault="00335F2C" w:rsidP="006B7701">
      <w:pPr>
        <w:pStyle w:val="NormalWeb"/>
        <w:spacing w:after="200" w:afterAutospacing="0" w:line="276" w:lineRule="auto"/>
        <w:rPr>
          <w:rFonts w:asciiTheme="minorHAnsi" w:hAnsiTheme="minorHAnsi"/>
          <w:sz w:val="22"/>
          <w:szCs w:val="22"/>
        </w:rPr>
      </w:pPr>
      <w:r w:rsidRPr="006B7701">
        <w:rPr>
          <w:rFonts w:asciiTheme="minorHAnsi" w:hAnsiTheme="minorHAnsi"/>
          <w:sz w:val="22"/>
          <w:szCs w:val="22"/>
        </w:rPr>
        <w:t xml:space="preserve">Knowing this, what then is the benefit from having integrated the LTMP, MMP, and JCU datasets in quantifying average hard coral cover for the inshore? </w:t>
      </w:r>
      <w:r>
        <w:rPr>
          <w:rFonts w:asciiTheme="minorHAnsi" w:hAnsiTheme="minorHAnsi"/>
          <w:sz w:val="22"/>
          <w:szCs w:val="22"/>
        </w:rPr>
        <w:t>The answer is the advantages of distinctly</w:t>
      </w:r>
      <w:r w:rsidRPr="006B7701">
        <w:rPr>
          <w:rFonts w:asciiTheme="minorHAnsi" w:hAnsiTheme="minorHAnsi"/>
          <w:sz w:val="22"/>
          <w:szCs w:val="22"/>
        </w:rPr>
        <w:t xml:space="preserve"> stronger inference. </w:t>
      </w:r>
      <w:r>
        <w:rPr>
          <w:rFonts w:asciiTheme="minorHAnsi" w:hAnsiTheme="minorHAnsi"/>
          <w:sz w:val="22"/>
          <w:szCs w:val="22"/>
        </w:rPr>
        <w:t xml:space="preserve"> </w:t>
      </w:r>
      <w:r w:rsidRPr="006B7701">
        <w:rPr>
          <w:rFonts w:asciiTheme="minorHAnsi" w:hAnsiTheme="minorHAnsi"/>
          <w:sz w:val="22"/>
          <w:szCs w:val="22"/>
        </w:rPr>
        <w:t>In isolation, the LTMP and MMP datasets provide similar inferences concerning inshore hard coral cover being around 40% in the Mac</w:t>
      </w:r>
      <w:r>
        <w:rPr>
          <w:rFonts w:asciiTheme="minorHAnsi" w:hAnsiTheme="minorHAnsi"/>
          <w:sz w:val="22"/>
          <w:szCs w:val="22"/>
        </w:rPr>
        <w:t>kay-Whitsunday R</w:t>
      </w:r>
      <w:r w:rsidRPr="006B7701">
        <w:rPr>
          <w:rFonts w:asciiTheme="minorHAnsi" w:hAnsiTheme="minorHAnsi"/>
          <w:sz w:val="22"/>
          <w:szCs w:val="22"/>
        </w:rPr>
        <w:t xml:space="preserve">egion, with the JCU data estimating 20% more coral being present, at around 60% (Figure </w:t>
      </w:r>
      <w:r>
        <w:rPr>
          <w:rFonts w:asciiTheme="minorHAnsi" w:hAnsiTheme="minorHAnsi"/>
          <w:sz w:val="22"/>
          <w:szCs w:val="22"/>
        </w:rPr>
        <w:t>1</w:t>
      </w:r>
      <w:r w:rsidRPr="006B7701">
        <w:rPr>
          <w:rFonts w:asciiTheme="minorHAnsi" w:hAnsiTheme="minorHAnsi"/>
          <w:sz w:val="22"/>
          <w:szCs w:val="22"/>
        </w:rPr>
        <w:t>6). Individually, the datasets have relatively broad uncertainty, spanning more than 60 p</w:t>
      </w:r>
      <w:r>
        <w:rPr>
          <w:rFonts w:asciiTheme="minorHAnsi" w:hAnsiTheme="minorHAnsi"/>
          <w:sz w:val="22"/>
          <w:szCs w:val="22"/>
        </w:rPr>
        <w:t xml:space="preserve">oints on the 100 point cover </w:t>
      </w:r>
      <w:r w:rsidRPr="006B7701">
        <w:rPr>
          <w:rFonts w:asciiTheme="minorHAnsi" w:hAnsiTheme="minorHAnsi"/>
          <w:sz w:val="22"/>
          <w:szCs w:val="22"/>
        </w:rPr>
        <w:t xml:space="preserve">scale. By integrating them however, the inference for average hard coral cover among inshore reefs becomes much less </w:t>
      </w:r>
      <w:r w:rsidRPr="006B7701">
        <w:rPr>
          <w:rFonts w:asciiTheme="minorHAnsi" w:hAnsiTheme="minorHAnsi"/>
          <w:sz w:val="22"/>
          <w:szCs w:val="22"/>
        </w:rPr>
        <w:lastRenderedPageBreak/>
        <w:t>uncertain, centred at just over 40%, between the LTMP and</w:t>
      </w:r>
      <w:r>
        <w:rPr>
          <w:rFonts w:asciiTheme="minorHAnsi" w:hAnsiTheme="minorHAnsi"/>
          <w:sz w:val="22"/>
          <w:szCs w:val="22"/>
        </w:rPr>
        <w:t xml:space="preserve"> MMP estimates. The JCU data set contributes less</w:t>
      </w:r>
      <w:r w:rsidRPr="006B7701">
        <w:rPr>
          <w:rFonts w:asciiTheme="minorHAnsi" w:hAnsiTheme="minorHAnsi"/>
          <w:sz w:val="22"/>
          <w:szCs w:val="22"/>
        </w:rPr>
        <w:t xml:space="preserve"> </w:t>
      </w:r>
      <w:r>
        <w:rPr>
          <w:rFonts w:asciiTheme="minorHAnsi" w:hAnsiTheme="minorHAnsi"/>
          <w:sz w:val="22"/>
          <w:szCs w:val="22"/>
        </w:rPr>
        <w:t>than</w:t>
      </w:r>
      <w:r w:rsidRPr="006B7701">
        <w:rPr>
          <w:rFonts w:asciiTheme="minorHAnsi" w:hAnsiTheme="minorHAnsi"/>
          <w:sz w:val="22"/>
          <w:szCs w:val="22"/>
        </w:rPr>
        <w:t xml:space="preserve"> the other data sets </w:t>
      </w:r>
      <w:r>
        <w:rPr>
          <w:rFonts w:asciiTheme="minorHAnsi" w:hAnsiTheme="minorHAnsi"/>
          <w:sz w:val="22"/>
          <w:szCs w:val="22"/>
        </w:rPr>
        <w:t>because of its</w:t>
      </w:r>
      <w:r w:rsidRPr="006B7701">
        <w:rPr>
          <w:rFonts w:asciiTheme="minorHAnsi" w:hAnsiTheme="minorHAnsi"/>
          <w:sz w:val="22"/>
          <w:szCs w:val="22"/>
        </w:rPr>
        <w:t xml:space="preserve"> greater associated uncertainty.</w:t>
      </w:r>
    </w:p>
    <w:p w:rsidR="00AB775A" w:rsidRDefault="00AB775A" w:rsidP="00587761">
      <w:pPr>
        <w:pStyle w:val="NormalWeb"/>
        <w:jc w:val="center"/>
        <w:rPr>
          <w:noProof/>
        </w:rPr>
      </w:pPr>
      <w:r>
        <w:rPr>
          <w:noProof/>
        </w:rPr>
        <w:drawing>
          <wp:inline distT="0" distB="0" distL="0" distR="0">
            <wp:extent cx="4561200" cy="3193200"/>
            <wp:effectExtent l="0" t="0" r="0" b="7620"/>
            <wp:docPr id="21511" name="Picture 21511" descr="cid:eb4c22a9-6c8d-408f-bc99-45b9f2cc3ffd@unimelb.edu.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id:eb4c22a9-6c8d-408f-bc99-45b9f2cc3ffd@unimelb.edu.au"/>
                    <pic:cNvPicPr>
                      <a:picLocks noChangeAspect="1" noChangeArrowheads="1"/>
                    </pic:cNvPicPr>
                  </pic:nvPicPr>
                  <pic:blipFill>
                    <a:blip r:embed="rId61" r:link="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1200" cy="3193200"/>
                    </a:xfrm>
                    <a:prstGeom prst="rect">
                      <a:avLst/>
                    </a:prstGeom>
                    <a:noFill/>
                    <a:ln>
                      <a:noFill/>
                    </a:ln>
                  </pic:spPr>
                </pic:pic>
              </a:graphicData>
            </a:graphic>
          </wp:inline>
        </w:drawing>
      </w:r>
    </w:p>
    <w:p w:rsidR="004D12BA" w:rsidRPr="006F22C5" w:rsidRDefault="006B7701" w:rsidP="006F22C5">
      <w:pPr>
        <w:pStyle w:val="NormalWeb"/>
      </w:pPr>
      <w:proofErr w:type="gramStart"/>
      <w:r w:rsidRPr="006B7701">
        <w:rPr>
          <w:rFonts w:asciiTheme="minorHAnsi" w:hAnsiTheme="minorHAnsi"/>
          <w:b/>
          <w:sz w:val="20"/>
          <w:szCs w:val="20"/>
          <w:lang w:val="en-US"/>
        </w:rPr>
        <w:t xml:space="preserve">Figure </w:t>
      </w:r>
      <w:r w:rsidR="00F548F8">
        <w:rPr>
          <w:rFonts w:asciiTheme="minorHAnsi" w:hAnsiTheme="minorHAnsi"/>
          <w:b/>
          <w:sz w:val="20"/>
          <w:szCs w:val="20"/>
          <w:lang w:val="en-US"/>
        </w:rPr>
        <w:t>1</w:t>
      </w:r>
      <w:r w:rsidRPr="006B7701">
        <w:rPr>
          <w:rFonts w:asciiTheme="minorHAnsi" w:hAnsiTheme="minorHAnsi"/>
          <w:b/>
          <w:sz w:val="20"/>
          <w:szCs w:val="20"/>
          <w:lang w:val="en-US"/>
        </w:rPr>
        <w:t>3.</w:t>
      </w:r>
      <w:proofErr w:type="gramEnd"/>
      <w:r w:rsidR="004D12BA" w:rsidRPr="006B7701">
        <w:rPr>
          <w:rFonts w:asciiTheme="minorHAnsi" w:hAnsiTheme="minorHAnsi"/>
          <w:sz w:val="20"/>
          <w:szCs w:val="20"/>
          <w:lang w:val="en-US"/>
        </w:rPr>
        <w:t xml:space="preserve"> </w:t>
      </w:r>
      <w:proofErr w:type="gramStart"/>
      <w:r w:rsidR="004D12BA" w:rsidRPr="006B7701">
        <w:rPr>
          <w:rFonts w:asciiTheme="minorHAnsi" w:hAnsiTheme="minorHAnsi"/>
          <w:sz w:val="20"/>
          <w:szCs w:val="20"/>
          <w:lang w:val="en-US"/>
        </w:rPr>
        <w:t>Bayesian hierarchical linear model (HLM) posterior densities of shelf-scale percent hard coral cover</w:t>
      </w:r>
      <w:r w:rsidR="006C160A">
        <w:rPr>
          <w:rFonts w:asciiTheme="minorHAnsi" w:hAnsiTheme="minorHAnsi"/>
          <w:sz w:val="20"/>
          <w:szCs w:val="20"/>
          <w:lang w:val="en-US"/>
        </w:rPr>
        <w:t xml:space="preserve"> (HC) in the Mackay-Whitsunday R</w:t>
      </w:r>
      <w:r w:rsidR="004D12BA" w:rsidRPr="006B7701">
        <w:rPr>
          <w:rFonts w:asciiTheme="minorHAnsi" w:hAnsiTheme="minorHAnsi"/>
          <w:sz w:val="20"/>
          <w:szCs w:val="20"/>
          <w:lang w:val="en-US"/>
        </w:rPr>
        <w:t>egion, 1999-2014.</w:t>
      </w:r>
      <w:proofErr w:type="gramEnd"/>
    </w:p>
    <w:p w:rsidR="00587761" w:rsidRPr="006F22C5" w:rsidRDefault="00587761" w:rsidP="00587761">
      <w:pPr>
        <w:pStyle w:val="NormalWeb"/>
        <w:spacing w:after="200" w:afterAutospacing="0" w:line="276" w:lineRule="auto"/>
        <w:rPr>
          <w:rFonts w:asciiTheme="minorHAnsi" w:hAnsiTheme="minorHAnsi"/>
          <w:b/>
          <w:sz w:val="20"/>
          <w:szCs w:val="20"/>
          <w:lang w:val="en-US"/>
        </w:rPr>
      </w:pPr>
      <w:r>
        <w:rPr>
          <w:noProof/>
        </w:rPr>
        <w:drawing>
          <wp:inline distT="0" distB="0" distL="0" distR="0">
            <wp:extent cx="5836920" cy="4085844"/>
            <wp:effectExtent l="0" t="0" r="0" b="0"/>
            <wp:docPr id="21509" name="Picture 21509" descr="cid:f577213c-02b8-4da2-a8e9-37175774d20a@unimelb.edu.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f577213c-02b8-4da2-a8e9-37175774d20a@unimelb.edu.au"/>
                    <pic:cNvPicPr>
                      <a:picLocks noChangeAspect="1" noChangeArrowheads="1"/>
                    </pic:cNvPicPr>
                  </pic:nvPicPr>
                  <pic:blipFill>
                    <a:blip r:embed="rId63" r:link="rId6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6920" cy="4085844"/>
                    </a:xfrm>
                    <a:prstGeom prst="rect">
                      <a:avLst/>
                    </a:prstGeom>
                    <a:noFill/>
                    <a:ln>
                      <a:noFill/>
                    </a:ln>
                  </pic:spPr>
                </pic:pic>
              </a:graphicData>
            </a:graphic>
          </wp:inline>
        </w:drawing>
      </w:r>
      <w:proofErr w:type="gramStart"/>
      <w:r w:rsidRPr="006B7701">
        <w:rPr>
          <w:rFonts w:asciiTheme="minorHAnsi" w:hAnsiTheme="minorHAnsi"/>
          <w:b/>
          <w:sz w:val="20"/>
          <w:szCs w:val="20"/>
          <w:lang w:val="en-US"/>
        </w:rPr>
        <w:t xml:space="preserve">Figure </w:t>
      </w:r>
      <w:r>
        <w:rPr>
          <w:rFonts w:asciiTheme="minorHAnsi" w:hAnsiTheme="minorHAnsi"/>
          <w:b/>
          <w:sz w:val="20"/>
          <w:szCs w:val="20"/>
          <w:lang w:val="en-US"/>
        </w:rPr>
        <w:t>1</w:t>
      </w:r>
      <w:r w:rsidRPr="006B7701">
        <w:rPr>
          <w:rFonts w:asciiTheme="minorHAnsi" w:hAnsiTheme="minorHAnsi"/>
          <w:b/>
          <w:sz w:val="20"/>
          <w:szCs w:val="20"/>
          <w:lang w:val="en-US"/>
        </w:rPr>
        <w:t>4.</w:t>
      </w:r>
      <w:proofErr w:type="gramEnd"/>
      <w:r w:rsidRPr="006B7701">
        <w:rPr>
          <w:rFonts w:asciiTheme="minorHAnsi" w:hAnsiTheme="minorHAnsi"/>
          <w:sz w:val="20"/>
          <w:szCs w:val="20"/>
          <w:lang w:val="en-US"/>
        </w:rPr>
        <w:t xml:space="preserve"> </w:t>
      </w:r>
      <w:proofErr w:type="gramStart"/>
      <w:r w:rsidRPr="006B7701">
        <w:rPr>
          <w:rFonts w:asciiTheme="minorHAnsi" w:hAnsiTheme="minorHAnsi"/>
          <w:sz w:val="20"/>
          <w:szCs w:val="20"/>
          <w:lang w:val="en-US"/>
        </w:rPr>
        <w:t>Bayesian hierarchical linear model (HLM) posterior densities of reef-scale percent hard coral cover</w:t>
      </w:r>
      <w:r w:rsidR="006C160A">
        <w:rPr>
          <w:rFonts w:asciiTheme="minorHAnsi" w:hAnsiTheme="minorHAnsi"/>
          <w:sz w:val="20"/>
          <w:szCs w:val="20"/>
          <w:lang w:val="en-US"/>
        </w:rPr>
        <w:t xml:space="preserve"> (HC) in the Mackay-Whitsunday R</w:t>
      </w:r>
      <w:r w:rsidRPr="006B7701">
        <w:rPr>
          <w:rFonts w:asciiTheme="minorHAnsi" w:hAnsiTheme="minorHAnsi"/>
          <w:sz w:val="20"/>
          <w:szCs w:val="20"/>
          <w:lang w:val="en-US"/>
        </w:rPr>
        <w:t>egion, 1999-2014.</w:t>
      </w:r>
      <w:proofErr w:type="gramEnd"/>
    </w:p>
    <w:p w:rsidR="004D12BA" w:rsidRDefault="004D12BA" w:rsidP="004D12BA">
      <w:pPr>
        <w:pStyle w:val="NormalWeb"/>
        <w:rPr>
          <w:lang w:val="en-US"/>
        </w:rPr>
      </w:pPr>
      <w:r>
        <w:rPr>
          <w:noProof/>
        </w:rPr>
        <w:lastRenderedPageBreak/>
        <w:drawing>
          <wp:inline distT="0" distB="0" distL="0" distR="0">
            <wp:extent cx="4755600" cy="356760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5600" cy="3567600"/>
                    </a:xfrm>
                    <a:prstGeom prst="rect">
                      <a:avLst/>
                    </a:prstGeom>
                    <a:noFill/>
                    <a:ln>
                      <a:noFill/>
                    </a:ln>
                  </pic:spPr>
                </pic:pic>
              </a:graphicData>
            </a:graphic>
          </wp:inline>
        </w:drawing>
      </w:r>
    </w:p>
    <w:p w:rsidR="004D12BA" w:rsidRPr="000C6AA0" w:rsidRDefault="006B7701" w:rsidP="006B7701">
      <w:pPr>
        <w:pStyle w:val="NormalWeb"/>
        <w:spacing w:after="200" w:afterAutospacing="0" w:line="276" w:lineRule="auto"/>
        <w:rPr>
          <w:rFonts w:asciiTheme="minorHAnsi" w:hAnsiTheme="minorHAnsi"/>
          <w:sz w:val="20"/>
          <w:szCs w:val="20"/>
          <w:lang w:val="en-US"/>
        </w:rPr>
      </w:pPr>
      <w:proofErr w:type="gramStart"/>
      <w:r w:rsidRPr="006B7701">
        <w:rPr>
          <w:rFonts w:asciiTheme="minorHAnsi" w:hAnsiTheme="minorHAnsi"/>
          <w:b/>
          <w:sz w:val="20"/>
          <w:szCs w:val="20"/>
          <w:lang w:val="en-US"/>
        </w:rPr>
        <w:t xml:space="preserve">Figure </w:t>
      </w:r>
      <w:r w:rsidR="00F548F8">
        <w:rPr>
          <w:rFonts w:asciiTheme="minorHAnsi" w:hAnsiTheme="minorHAnsi"/>
          <w:b/>
          <w:sz w:val="20"/>
          <w:szCs w:val="20"/>
          <w:lang w:val="en-US"/>
        </w:rPr>
        <w:t>1</w:t>
      </w:r>
      <w:r w:rsidRPr="006B7701">
        <w:rPr>
          <w:rFonts w:asciiTheme="minorHAnsi" w:hAnsiTheme="minorHAnsi"/>
          <w:b/>
          <w:sz w:val="20"/>
          <w:szCs w:val="20"/>
          <w:lang w:val="en-US"/>
        </w:rPr>
        <w:t>5.</w:t>
      </w:r>
      <w:proofErr w:type="gramEnd"/>
      <w:r w:rsidR="004D12BA" w:rsidRPr="006B7701">
        <w:rPr>
          <w:rFonts w:asciiTheme="minorHAnsi" w:hAnsiTheme="minorHAnsi"/>
          <w:sz w:val="20"/>
          <w:szCs w:val="20"/>
          <w:lang w:val="en-US"/>
        </w:rPr>
        <w:t xml:space="preserve"> </w:t>
      </w:r>
      <w:proofErr w:type="gramStart"/>
      <w:r w:rsidR="004D12BA" w:rsidRPr="006B7701">
        <w:rPr>
          <w:rFonts w:asciiTheme="minorHAnsi" w:hAnsiTheme="minorHAnsi"/>
          <w:sz w:val="20"/>
          <w:szCs w:val="20"/>
          <w:lang w:val="en-US"/>
        </w:rPr>
        <w:t>Bayesian hierarchical linear model (HLM) posterior densities of inshore, mid, and outer shelf percent hard coral cover</w:t>
      </w:r>
      <w:r w:rsidR="006C160A">
        <w:rPr>
          <w:rFonts w:asciiTheme="minorHAnsi" w:hAnsiTheme="minorHAnsi"/>
          <w:sz w:val="20"/>
          <w:szCs w:val="20"/>
          <w:lang w:val="en-US"/>
        </w:rPr>
        <w:t xml:space="preserve"> (HC) in the Mackay-Whitsunday R</w:t>
      </w:r>
      <w:r w:rsidR="004D12BA" w:rsidRPr="006B7701">
        <w:rPr>
          <w:rFonts w:asciiTheme="minorHAnsi" w:hAnsiTheme="minorHAnsi"/>
          <w:sz w:val="20"/>
          <w:szCs w:val="20"/>
          <w:lang w:val="en-US"/>
        </w:rPr>
        <w:t>egion annually (1999-2014).</w:t>
      </w:r>
      <w:proofErr w:type="gramEnd"/>
    </w:p>
    <w:p w:rsidR="004D12BA" w:rsidRPr="006B7701" w:rsidRDefault="00AB775A" w:rsidP="006B7701">
      <w:pPr>
        <w:pStyle w:val="NormalWeb"/>
        <w:spacing w:after="200" w:afterAutospacing="0" w:line="276" w:lineRule="auto"/>
        <w:rPr>
          <w:rFonts w:asciiTheme="minorHAnsi" w:hAnsiTheme="minorHAnsi"/>
          <w:sz w:val="20"/>
          <w:szCs w:val="20"/>
        </w:rPr>
      </w:pPr>
      <w:r>
        <w:rPr>
          <w:noProof/>
        </w:rPr>
        <w:drawing>
          <wp:inline distT="0" distB="0" distL="0" distR="0">
            <wp:extent cx="4867200" cy="3405600"/>
            <wp:effectExtent l="0" t="0" r="0" b="4445"/>
            <wp:docPr id="21513" name="Picture 21513" descr="cid:b2756f27-05c0-4602-a738-3192eeffb6ab@unimelb.edu.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id:b2756f27-05c0-4602-a738-3192eeffb6ab@unimelb.edu.au"/>
                    <pic:cNvPicPr>
                      <a:picLocks noChangeAspect="1" noChangeArrowheads="1"/>
                    </pic:cNvPicPr>
                  </pic:nvPicPr>
                  <pic:blipFill>
                    <a:blip r:embed="rId66" r:link="rId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7200" cy="3405600"/>
                    </a:xfrm>
                    <a:prstGeom prst="rect">
                      <a:avLst/>
                    </a:prstGeom>
                    <a:noFill/>
                    <a:ln>
                      <a:noFill/>
                    </a:ln>
                  </pic:spPr>
                </pic:pic>
              </a:graphicData>
            </a:graphic>
          </wp:inline>
        </w:drawing>
      </w:r>
    </w:p>
    <w:p w:rsidR="00E425A4" w:rsidRPr="00F548F8" w:rsidRDefault="006B7701" w:rsidP="00F548F8">
      <w:pPr>
        <w:pStyle w:val="NormalWeb"/>
        <w:spacing w:after="200" w:afterAutospacing="0" w:line="276" w:lineRule="auto"/>
        <w:rPr>
          <w:rFonts w:asciiTheme="minorHAnsi" w:hAnsiTheme="minorHAnsi"/>
          <w:sz w:val="20"/>
          <w:szCs w:val="20"/>
          <w:lang w:val="en-US"/>
        </w:rPr>
      </w:pPr>
      <w:proofErr w:type="gramStart"/>
      <w:r w:rsidRPr="006B7701">
        <w:rPr>
          <w:rFonts w:asciiTheme="minorHAnsi" w:hAnsiTheme="minorHAnsi"/>
          <w:b/>
          <w:sz w:val="20"/>
          <w:szCs w:val="20"/>
          <w:lang w:val="en-US"/>
        </w:rPr>
        <w:t xml:space="preserve">Figure </w:t>
      </w:r>
      <w:r w:rsidR="00F548F8">
        <w:rPr>
          <w:rFonts w:asciiTheme="minorHAnsi" w:hAnsiTheme="minorHAnsi"/>
          <w:b/>
          <w:sz w:val="20"/>
          <w:szCs w:val="20"/>
          <w:lang w:val="en-US"/>
        </w:rPr>
        <w:t>1</w:t>
      </w:r>
      <w:r w:rsidRPr="006B7701">
        <w:rPr>
          <w:rFonts w:asciiTheme="minorHAnsi" w:hAnsiTheme="minorHAnsi"/>
          <w:b/>
          <w:sz w:val="20"/>
          <w:szCs w:val="20"/>
          <w:lang w:val="en-US"/>
        </w:rPr>
        <w:t>6.</w:t>
      </w:r>
      <w:proofErr w:type="gramEnd"/>
      <w:r w:rsidR="004D12BA" w:rsidRPr="006B7701">
        <w:rPr>
          <w:rFonts w:asciiTheme="minorHAnsi" w:hAnsiTheme="minorHAnsi"/>
          <w:sz w:val="20"/>
          <w:szCs w:val="20"/>
          <w:lang w:val="en-US"/>
        </w:rPr>
        <w:t xml:space="preserve"> Bayesian hierarchical linear model (HLM) posterior densities of inshore percent hard coral cover</w:t>
      </w:r>
      <w:r w:rsidR="006C160A">
        <w:rPr>
          <w:rFonts w:asciiTheme="minorHAnsi" w:hAnsiTheme="minorHAnsi"/>
          <w:sz w:val="20"/>
          <w:szCs w:val="20"/>
          <w:lang w:val="en-US"/>
        </w:rPr>
        <w:t xml:space="preserve"> (HC) in the Mackay-Whitsunday R</w:t>
      </w:r>
      <w:r w:rsidR="004D12BA" w:rsidRPr="006B7701">
        <w:rPr>
          <w:rFonts w:asciiTheme="minorHAnsi" w:hAnsiTheme="minorHAnsi"/>
          <w:sz w:val="20"/>
          <w:szCs w:val="20"/>
          <w:lang w:val="en-US"/>
        </w:rPr>
        <w:t>egion (1999-2014) as es</w:t>
      </w:r>
      <w:r w:rsidR="004027FA">
        <w:rPr>
          <w:rFonts w:asciiTheme="minorHAnsi" w:hAnsiTheme="minorHAnsi"/>
          <w:sz w:val="20"/>
          <w:szCs w:val="20"/>
          <w:lang w:val="en-US"/>
        </w:rPr>
        <w:t>timated using data from the</w:t>
      </w:r>
      <w:r w:rsidR="004D12BA" w:rsidRPr="006B7701">
        <w:rPr>
          <w:rFonts w:asciiTheme="minorHAnsi" w:hAnsiTheme="minorHAnsi"/>
          <w:sz w:val="20"/>
          <w:szCs w:val="20"/>
          <w:lang w:val="en-US"/>
        </w:rPr>
        <w:t xml:space="preserve"> Long-Term M</w:t>
      </w:r>
      <w:r w:rsidR="004027FA">
        <w:rPr>
          <w:rFonts w:asciiTheme="minorHAnsi" w:hAnsiTheme="minorHAnsi"/>
          <w:sz w:val="20"/>
          <w:szCs w:val="20"/>
          <w:lang w:val="en-US"/>
        </w:rPr>
        <w:t>onitoring Program (LTMP),</w:t>
      </w:r>
      <w:r w:rsidR="004D12BA" w:rsidRPr="006B7701">
        <w:rPr>
          <w:rFonts w:asciiTheme="minorHAnsi" w:hAnsiTheme="minorHAnsi"/>
          <w:sz w:val="20"/>
          <w:szCs w:val="20"/>
          <w:lang w:val="en-US"/>
        </w:rPr>
        <w:t xml:space="preserve"> Marine Monitoring Program (MMP), researchers at James Cook University (JCU), a</w:t>
      </w:r>
      <w:r w:rsidR="00F548F8">
        <w:rPr>
          <w:rFonts w:asciiTheme="minorHAnsi" w:hAnsiTheme="minorHAnsi"/>
          <w:sz w:val="20"/>
          <w:szCs w:val="20"/>
          <w:lang w:val="en-US"/>
        </w:rPr>
        <w:t>nd all data providers combined.</w:t>
      </w:r>
    </w:p>
    <w:p w:rsidR="000C6AA0" w:rsidRDefault="000C6AA0" w:rsidP="00E425A4">
      <w:pPr>
        <w:spacing w:after="0"/>
        <w:rPr>
          <w:i/>
        </w:rPr>
      </w:pPr>
    </w:p>
    <w:p w:rsidR="000C6AA0" w:rsidRPr="000C6AA0" w:rsidRDefault="000C6AA0" w:rsidP="000C6AA0">
      <w:pPr>
        <w:spacing w:after="0"/>
      </w:pPr>
      <w:r w:rsidRPr="000C6AA0">
        <w:t xml:space="preserve">On the basis of </w:t>
      </w:r>
      <w:r>
        <w:t>our</w:t>
      </w:r>
      <w:r w:rsidRPr="000C6AA0">
        <w:t xml:space="preserve"> analyses, our view is that </w:t>
      </w:r>
      <w:r w:rsidRPr="000C6AA0">
        <w:rPr>
          <w:rFonts w:ascii="Calibri" w:hAnsi="Calibri" w:cs="Calibri"/>
        </w:rPr>
        <w:t xml:space="preserve">Gaussian predictive process models offer a promising method for statistically valid integration of water quality observations across two or more datasets.  </w:t>
      </w:r>
      <w:r w:rsidRPr="000C6AA0">
        <w:t xml:space="preserve">However, the prospects for improved clarity through integration of data as it is currently captured under various monitoring programs should not be overstated.  Ambient water quality variables are of secondary relevance to LTSP2050 because, at the time of writing, water quality targets are articulated primarily as end of catchment loads.  In any case, there are few instances where multiple datasets capture observations for the same variable.  The example of Total Nitrogen used here is one of only a handful of variables that are common to two or more datasets. Opportunities for insight via integration across datasets may be more substantial for seagrass and coral. </w:t>
      </w:r>
    </w:p>
    <w:p w:rsidR="000C6AA0" w:rsidRPr="000C6AA0" w:rsidRDefault="000C6AA0" w:rsidP="000C6AA0">
      <w:pPr>
        <w:spacing w:after="0"/>
      </w:pPr>
    </w:p>
    <w:p w:rsidR="000C6AA0" w:rsidRDefault="000C6AA0" w:rsidP="000C6AA0">
      <w:pPr>
        <w:spacing w:after="0"/>
      </w:pPr>
      <w:r w:rsidRPr="000C6AA0">
        <w:t xml:space="preserve">The gains in precision available through integration of multiple datasets should not be ignored.  </w:t>
      </w:r>
      <w:r w:rsidRPr="000C6AA0">
        <w:rPr>
          <w:rFonts w:ascii="Calibri" w:hAnsi="Calibri" w:cs="Calibri"/>
        </w:rPr>
        <w:t xml:space="preserve">Gaussian predictive process models and </w:t>
      </w:r>
      <w:r w:rsidRPr="000C6AA0">
        <w:t>Bayesian hierarchical models provide the analytical rigor for securing these gains.  We note that gains may be magnified via re-allocation of current monitoring effort.  But these analyses do not in and of themselves tell us how much monitoring effort is adequate.  We revisit this question in section 4.2, after considering models and their relevance in section 4.1.</w:t>
      </w:r>
    </w:p>
    <w:p w:rsidR="00587761" w:rsidRDefault="00587761" w:rsidP="000C6AA0">
      <w:pPr>
        <w:spacing w:after="0"/>
        <w:rPr>
          <w:i/>
        </w:rPr>
      </w:pPr>
    </w:p>
    <w:p w:rsidR="00601B4B" w:rsidRDefault="002C0526" w:rsidP="009A5F39">
      <w:pPr>
        <w:pStyle w:val="Heading1"/>
      </w:pPr>
      <w:bookmarkStart w:id="17" w:name="_Toc406768046"/>
      <w:r>
        <w:t>4.0 Integration</w:t>
      </w:r>
      <w:r w:rsidR="00510A5C">
        <w:t xml:space="preserve"> of models and monitoring</w:t>
      </w:r>
      <w:r w:rsidR="008C3875">
        <w:t xml:space="preserve"> data</w:t>
      </w:r>
      <w:bookmarkEnd w:id="17"/>
    </w:p>
    <w:p w:rsidR="008601E9" w:rsidRDefault="00490F2E" w:rsidP="00BE5BF0">
      <w:pPr>
        <w:pStyle w:val="Heading3"/>
      </w:pPr>
      <w:bookmarkStart w:id="18" w:name="_Toc406768047"/>
      <w:r w:rsidRPr="00C759BB">
        <w:t xml:space="preserve">4.1 </w:t>
      </w:r>
      <w:r w:rsidR="008601E9" w:rsidRPr="00C759BB">
        <w:t>Models</w:t>
      </w:r>
      <w:bookmarkEnd w:id="18"/>
    </w:p>
    <w:p w:rsidR="00C759BB" w:rsidRPr="00C759BB" w:rsidRDefault="00C759BB" w:rsidP="00C759BB">
      <w:pPr>
        <w:spacing w:after="0"/>
      </w:pPr>
      <w:r w:rsidRPr="00C759BB">
        <w:t xml:space="preserve">Monitoring provides a rear view of status and trends. While monitoring helps build system understanding, monitoring data per se have no capacity to produce forecasts. To develop an understanding of risks associated with different scenarios requires coupling of targeted monitoring with modelling across the environmental, ecological, social and economic space.  Specifically, simulations driven by scenario testing can be used to enable managers to better understand alternative management strategies: both by identifying the different consequences of known strategies but also exploring innovative or untried ones. Ongoing interaction between monitoring and modelling is essential to inform long-term adaptive management strategies, planning, target-setting, and decision-making. Also, modelling provides high-order reporting on system function of activities of interest in the GBRWHA </w:t>
      </w:r>
    </w:p>
    <w:p w:rsidR="00C759BB" w:rsidRPr="00C759BB" w:rsidRDefault="00C759BB" w:rsidP="00C759BB">
      <w:pPr>
        <w:spacing w:after="0"/>
      </w:pPr>
    </w:p>
    <w:p w:rsidR="00C759BB" w:rsidRPr="00C759BB" w:rsidRDefault="00C759BB" w:rsidP="00C759BB">
      <w:pPr>
        <w:spacing w:after="0"/>
      </w:pPr>
      <w:r w:rsidRPr="00C759BB">
        <w:t xml:space="preserve">In essence, while monitoring provides a rear view, modelling adds </w:t>
      </w:r>
      <w:r w:rsidR="00A06082">
        <w:t xml:space="preserve">a </w:t>
      </w:r>
      <w:r w:rsidRPr="00C759BB">
        <w:t>windscreen and GPS, i.e. the capacity to work proactively towards achieving targets given a suite of management alternat</w:t>
      </w:r>
      <w:r w:rsidR="00050EA6">
        <w:t>ive</w:t>
      </w:r>
      <w:r w:rsidRPr="00C759BB">
        <w:t xml:space="preserve">s and </w:t>
      </w:r>
      <w:r w:rsidR="002C0526" w:rsidRPr="00C759BB">
        <w:t xml:space="preserve">scenarios. </w:t>
      </w:r>
      <w:r w:rsidRPr="00C759BB">
        <w:t>The interaction between monitoring, modelling and management can be illustrated as an adaptive loop with</w:t>
      </w:r>
      <w:r w:rsidR="00050EA6">
        <w:t>in the broader framework of Figure</w:t>
      </w:r>
      <w:r w:rsidRPr="00C759BB">
        <w:t xml:space="preserve"> 1. </w:t>
      </w:r>
    </w:p>
    <w:p w:rsidR="00C759BB" w:rsidRPr="00C759BB" w:rsidRDefault="00C759BB" w:rsidP="00C759BB">
      <w:pPr>
        <w:spacing w:after="0"/>
      </w:pPr>
    </w:p>
    <w:p w:rsidR="00C759BB" w:rsidRPr="00C759BB" w:rsidRDefault="00C759BB" w:rsidP="00050EA6">
      <w:pPr>
        <w:spacing w:after="0"/>
        <w:jc w:val="center"/>
      </w:pPr>
      <w:r w:rsidRPr="00C759BB">
        <w:rPr>
          <w:noProof/>
          <w:lang w:eastAsia="en-AU"/>
        </w:rPr>
        <w:drawing>
          <wp:inline distT="0" distB="0" distL="0" distR="0">
            <wp:extent cx="2732400" cy="110160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2400" cy="1101600"/>
                    </a:xfrm>
                    <a:prstGeom prst="rect">
                      <a:avLst/>
                    </a:prstGeom>
                    <a:noFill/>
                  </pic:spPr>
                </pic:pic>
              </a:graphicData>
            </a:graphic>
          </wp:inline>
        </w:drawing>
      </w:r>
    </w:p>
    <w:p w:rsidR="00C759BB" w:rsidRPr="00C759BB" w:rsidRDefault="00C759BB" w:rsidP="00C759BB">
      <w:pPr>
        <w:spacing w:after="0"/>
      </w:pPr>
    </w:p>
    <w:p w:rsidR="00C759BB" w:rsidRPr="00C759BB" w:rsidRDefault="00C759BB" w:rsidP="00C759BB">
      <w:pPr>
        <w:spacing w:after="0"/>
      </w:pPr>
    </w:p>
    <w:p w:rsidR="00C759BB" w:rsidRPr="00C759BB" w:rsidRDefault="00C759BB" w:rsidP="00C759BB">
      <w:pPr>
        <w:spacing w:after="0"/>
      </w:pPr>
      <w:r w:rsidRPr="00C759BB">
        <w:t>A large number of biophysical models have been developed for different subcomponents of the larger GBR system and adjacent catchments</w:t>
      </w:r>
      <w:r w:rsidR="00050EA6">
        <w:t>,</w:t>
      </w:r>
      <w:r w:rsidRPr="00C759BB">
        <w:t xml:space="preserve"> and the Coral Sea. For example, modelling associated with the Paddock to Reef Program under Reef Plan/Reef Rescue represents a major investment by the Commonwealth and Queensland governments, and now has significant capacity to link land-use practices to nutrient, sediment and pesticide exports via rivers to the GBR lagoon (e.g. </w:t>
      </w:r>
      <w:proofErr w:type="spellStart"/>
      <w:r w:rsidRPr="00C759BB">
        <w:t>Thorburn</w:t>
      </w:r>
      <w:proofErr w:type="spellEnd"/>
      <w:r w:rsidRPr="00C759BB">
        <w:t xml:space="preserve"> </w:t>
      </w:r>
      <w:r w:rsidR="002107EE">
        <w:t xml:space="preserve">et al. </w:t>
      </w:r>
      <w:r w:rsidRPr="00C759BB">
        <w:t xml:space="preserve">2013). Also, </w:t>
      </w:r>
      <w:proofErr w:type="spellStart"/>
      <w:r w:rsidRPr="00C759BB">
        <w:t>eReefs</w:t>
      </w:r>
      <w:proofErr w:type="spellEnd"/>
      <w:r w:rsidRPr="00C759BB">
        <w:t xml:space="preserve"> and associated projects (CSIRO, BO</w:t>
      </w:r>
      <w:r w:rsidR="00050EA6">
        <w:t xml:space="preserve">M, AIMS, </w:t>
      </w:r>
      <w:proofErr w:type="spellStart"/>
      <w:r w:rsidR="00050EA6">
        <w:t>TropWater</w:t>
      </w:r>
      <w:proofErr w:type="spellEnd"/>
      <w:r w:rsidR="00050EA6">
        <w:t xml:space="preserve">, </w:t>
      </w:r>
      <w:proofErr w:type="gramStart"/>
      <w:r w:rsidR="00050EA6">
        <w:t>UQ</w:t>
      </w:r>
      <w:proofErr w:type="gramEnd"/>
      <w:r w:rsidR="00050EA6">
        <w:t>) provide</w:t>
      </w:r>
      <w:r w:rsidRPr="00C759BB">
        <w:t xml:space="preserve"> new capacity to model the behaviour of receiving waters, and thereby link land influences to ecological risks in marine habitats from the Queensland coastline to the outer Great Barrier Reef. Numerous ecological response models exist for seagrass meadows (e.g. Collier et al. 2012), and for coral reefs (</w:t>
      </w:r>
      <w:proofErr w:type="spellStart"/>
      <w:r w:rsidRPr="00C759BB">
        <w:t>Mumby</w:t>
      </w:r>
      <w:proofErr w:type="spellEnd"/>
      <w:r w:rsidRPr="00C759BB">
        <w:t xml:space="preserve"> et al. 2007; Anthony et al. 2011) and population models for dependent species such as dugongs and turtles and a suite of threatened species (</w:t>
      </w:r>
      <w:proofErr w:type="spellStart"/>
      <w:r w:rsidRPr="00C759BB">
        <w:t>Grech</w:t>
      </w:r>
      <w:proofErr w:type="spellEnd"/>
      <w:r w:rsidRPr="00C759BB">
        <w:t xml:space="preserve"> et al 2007, </w:t>
      </w:r>
      <w:proofErr w:type="spellStart"/>
      <w:r w:rsidRPr="00C759BB">
        <w:t>Chaloupka</w:t>
      </w:r>
      <w:proofErr w:type="spellEnd"/>
      <w:r w:rsidRPr="00C759BB">
        <w:t xml:space="preserve"> et al. 2008), initiatives that are all relevant in an integrated monitoring framework.  </w:t>
      </w:r>
    </w:p>
    <w:p w:rsidR="00C759BB" w:rsidRPr="00C759BB" w:rsidRDefault="00C759BB" w:rsidP="00C759BB">
      <w:pPr>
        <w:spacing w:after="0"/>
      </w:pPr>
    </w:p>
    <w:p w:rsidR="00C759BB" w:rsidRPr="00C759BB" w:rsidRDefault="00C759BB" w:rsidP="00C759BB">
      <w:pPr>
        <w:spacing w:after="0"/>
      </w:pPr>
      <w:r w:rsidRPr="00C759BB">
        <w:t xml:space="preserve">To facilitate competent synthesis of existing, and often disparate, modelling initiatives under an integrated monitoring program for the GBRWHA, this </w:t>
      </w:r>
      <w:r w:rsidR="00C7613D">
        <w:t>report</w:t>
      </w:r>
      <w:r w:rsidRPr="00C759BB">
        <w:t xml:space="preserve"> proposes a synoptic Bayesian network approach that captures the results of all underlying models.  Specifically, Bayesian networks will be used as a dashboard environment for the purpose of bringing together and interrogating synoptic information from models and data across all drivers, pressures, activities and impacts on </w:t>
      </w:r>
      <w:r w:rsidR="00F155E0">
        <w:t xml:space="preserve">the </w:t>
      </w:r>
      <w:r w:rsidRPr="00C759BB">
        <w:t xml:space="preserve">state of values for two key ecosystem types: seagrass meadows and coral reefs, and their key dependent species. Importantly, the Bayesian network approach (1) </w:t>
      </w:r>
      <w:r w:rsidR="00F155E0" w:rsidRPr="00C759BB">
        <w:t xml:space="preserve">enables </w:t>
      </w:r>
      <w:r w:rsidRPr="00C759BB">
        <w:t xml:space="preserve">formal inclusion of </w:t>
      </w:r>
      <w:r w:rsidR="00F155E0">
        <w:t>probabilistic</w:t>
      </w:r>
      <w:r w:rsidRPr="00C759BB">
        <w:t xml:space="preserve"> uncertainty </w:t>
      </w:r>
      <w:r w:rsidR="00F155E0">
        <w:t>in</w:t>
      </w:r>
      <w:r w:rsidRPr="00C759BB">
        <w:t xml:space="preserve"> quantitative models, (2) has fidelity to conceptual models of processes in complex ecosystems, (3) accounts for cumulative impacts, (4) enables inclusion of social and economic drivers and benefits, (5) allows for interrogation of the interdependency of targets, and (6)</w:t>
      </w:r>
      <w:r w:rsidR="00F155E0">
        <w:t xml:space="preserve"> can be represented spatially. </w:t>
      </w:r>
    </w:p>
    <w:p w:rsidR="00C759BB" w:rsidRPr="00C759BB" w:rsidRDefault="00C759BB" w:rsidP="00C759BB">
      <w:pPr>
        <w:spacing w:after="0"/>
      </w:pPr>
    </w:p>
    <w:p w:rsidR="00C759BB" w:rsidRPr="00C759BB" w:rsidRDefault="00C759BB" w:rsidP="00F155E0">
      <w:pPr>
        <w:pStyle w:val="Heading4"/>
        <w:spacing w:after="120"/>
      </w:pPr>
      <w:r w:rsidRPr="00C759BB">
        <w:t>Focus ecosystems and key dependent species</w:t>
      </w:r>
    </w:p>
    <w:p w:rsidR="00C759BB" w:rsidRPr="00C759BB" w:rsidRDefault="00C759BB" w:rsidP="001B314A">
      <w:r w:rsidRPr="00C759BB">
        <w:t xml:space="preserve">The </w:t>
      </w:r>
      <w:r w:rsidR="00C7613D">
        <w:t>report</w:t>
      </w:r>
      <w:r w:rsidRPr="00C759BB">
        <w:t xml:space="preserve"> focuses on seagrass meadows and coral reefs as key habitats, and on a select set of key dependent species. Seagrass meadows in the GBRWHA provide critical resources for species of high conservation value, in particular dugongs and green turtles. Coral reefs on the GBR are some of the richest and most diverse in world. Together, coral reefs and seagrass ecosystems underpin key </w:t>
      </w:r>
      <w:r w:rsidR="005573AD">
        <w:t>MNES</w:t>
      </w:r>
      <w:r w:rsidRPr="00C759BB">
        <w:t xml:space="preserve"> and contribute to the </w:t>
      </w:r>
      <w:r w:rsidR="005573AD">
        <w:t>OUV</w:t>
      </w:r>
      <w:r w:rsidR="00F155E0">
        <w:t xml:space="preserve"> </w:t>
      </w:r>
      <w:r w:rsidRPr="00C759BB">
        <w:t xml:space="preserve">of the GBRWHA. </w:t>
      </w:r>
    </w:p>
    <w:p w:rsidR="00C759BB" w:rsidRPr="00C759BB" w:rsidRDefault="00C759BB" w:rsidP="001B314A">
      <w:r w:rsidRPr="00C759BB">
        <w:t xml:space="preserve">The key linkages between environmental exposure and values underpinning ecosystem values have been </w:t>
      </w:r>
      <w:r w:rsidR="00F155E0">
        <w:t>coarsely</w:t>
      </w:r>
      <w:r w:rsidRPr="00C759BB">
        <w:t xml:space="preserve"> assessed through a series of expert workshops, and incorporated into the component qualitative models. Several scenarios are presented based upon provisional management objectives to explore the sensitivities of ecosystem values to key impacts, activities and drivers.</w:t>
      </w:r>
    </w:p>
    <w:p w:rsidR="00C759BB" w:rsidRPr="00C759BB" w:rsidRDefault="00C759BB" w:rsidP="001B314A">
      <w:pPr>
        <w:pStyle w:val="Default"/>
        <w:spacing w:line="276" w:lineRule="auto"/>
        <w:rPr>
          <w:rFonts w:asciiTheme="minorHAnsi" w:hAnsiTheme="minorHAnsi"/>
          <w:sz w:val="22"/>
          <w:szCs w:val="22"/>
        </w:rPr>
      </w:pPr>
      <w:r w:rsidRPr="00C759BB">
        <w:rPr>
          <w:rFonts w:asciiTheme="minorHAnsi" w:hAnsiTheme="minorHAnsi"/>
          <w:sz w:val="22"/>
          <w:szCs w:val="22"/>
        </w:rPr>
        <w:t xml:space="preserve">Coral reefs and </w:t>
      </w:r>
      <w:proofErr w:type="spellStart"/>
      <w:r w:rsidRPr="00C759BB">
        <w:rPr>
          <w:rFonts w:asciiTheme="minorHAnsi" w:hAnsiTheme="minorHAnsi"/>
          <w:sz w:val="22"/>
          <w:szCs w:val="22"/>
        </w:rPr>
        <w:t>seagrass</w:t>
      </w:r>
      <w:proofErr w:type="spellEnd"/>
      <w:r w:rsidRPr="00C759BB">
        <w:rPr>
          <w:rFonts w:asciiTheme="minorHAnsi" w:hAnsiTheme="minorHAnsi"/>
          <w:sz w:val="22"/>
          <w:szCs w:val="22"/>
        </w:rPr>
        <w:t xml:space="preserve"> meadows are two of the most critical ecosystems underpinning </w:t>
      </w:r>
      <w:r w:rsidR="00F155E0">
        <w:rPr>
          <w:rFonts w:asciiTheme="minorHAnsi" w:hAnsiTheme="minorHAnsi"/>
          <w:sz w:val="22"/>
          <w:szCs w:val="22"/>
        </w:rPr>
        <w:t>MNES,</w:t>
      </w:r>
      <w:r w:rsidRPr="00C759BB">
        <w:rPr>
          <w:rFonts w:asciiTheme="minorHAnsi" w:hAnsiTheme="minorHAnsi"/>
          <w:sz w:val="22"/>
          <w:szCs w:val="22"/>
        </w:rPr>
        <w:t xml:space="preserve"> including the </w:t>
      </w:r>
      <w:r w:rsidR="00F155E0">
        <w:rPr>
          <w:rFonts w:asciiTheme="minorHAnsi" w:hAnsiTheme="minorHAnsi"/>
          <w:sz w:val="22"/>
          <w:szCs w:val="22"/>
        </w:rPr>
        <w:t>OUV</w:t>
      </w:r>
      <w:r w:rsidRPr="00C759BB">
        <w:rPr>
          <w:rFonts w:asciiTheme="minorHAnsi" w:hAnsiTheme="minorHAnsi"/>
          <w:sz w:val="22"/>
          <w:szCs w:val="22"/>
        </w:rPr>
        <w:t xml:space="preserve"> of the GBRWHA. By taking an ecosystem-level, rather than a species-by-species approach the framework accounts for ecosystem processes and thereby provides a practical context for management.</w:t>
      </w:r>
    </w:p>
    <w:p w:rsidR="00C759BB" w:rsidRPr="00C759BB" w:rsidRDefault="00C759BB" w:rsidP="001B314A">
      <w:pPr>
        <w:pStyle w:val="Default"/>
        <w:spacing w:line="276" w:lineRule="auto"/>
        <w:rPr>
          <w:rFonts w:asciiTheme="minorHAnsi" w:hAnsiTheme="minorHAnsi"/>
          <w:sz w:val="22"/>
          <w:szCs w:val="22"/>
        </w:rPr>
      </w:pPr>
    </w:p>
    <w:p w:rsidR="00C759BB" w:rsidRPr="00C759BB" w:rsidRDefault="00C759BB" w:rsidP="001B314A">
      <w:pPr>
        <w:pStyle w:val="Heading4"/>
        <w:spacing w:after="120"/>
        <w:rPr>
          <w:rFonts w:asciiTheme="minorHAnsi" w:hAnsiTheme="minorHAnsi"/>
        </w:rPr>
      </w:pPr>
      <w:bookmarkStart w:id="19" w:name="_Toc239492458"/>
      <w:r w:rsidRPr="00C759BB">
        <w:rPr>
          <w:rFonts w:asciiTheme="minorHAnsi" w:hAnsiTheme="minorHAnsi"/>
        </w:rPr>
        <w:lastRenderedPageBreak/>
        <w:t>Coral reefs</w:t>
      </w:r>
      <w:bookmarkEnd w:id="19"/>
    </w:p>
    <w:p w:rsidR="00C759BB" w:rsidRPr="00C759BB" w:rsidRDefault="00C759BB" w:rsidP="001B314A">
      <w:pPr>
        <w:pStyle w:val="Default"/>
        <w:spacing w:line="276" w:lineRule="auto"/>
        <w:rPr>
          <w:rFonts w:asciiTheme="minorHAnsi" w:hAnsiTheme="minorHAnsi"/>
          <w:color w:val="000000" w:themeColor="text1"/>
          <w:sz w:val="22"/>
          <w:szCs w:val="22"/>
        </w:rPr>
      </w:pPr>
      <w:r w:rsidRPr="00C759BB">
        <w:rPr>
          <w:rFonts w:asciiTheme="minorHAnsi" w:hAnsiTheme="minorHAnsi"/>
          <w:sz w:val="22"/>
          <w:szCs w:val="22"/>
        </w:rPr>
        <w:t xml:space="preserve">On coral reefs, branching and plating corals, in particular those of the genus </w:t>
      </w:r>
      <w:proofErr w:type="spellStart"/>
      <w:r w:rsidRPr="00C759BB">
        <w:rPr>
          <w:rFonts w:asciiTheme="minorHAnsi" w:hAnsiTheme="minorHAnsi"/>
          <w:i/>
          <w:sz w:val="22"/>
          <w:szCs w:val="22"/>
        </w:rPr>
        <w:t>Acropora</w:t>
      </w:r>
      <w:proofErr w:type="spellEnd"/>
      <w:r w:rsidRPr="00C759BB">
        <w:rPr>
          <w:rFonts w:asciiTheme="minorHAnsi" w:hAnsiTheme="minorHAnsi"/>
          <w:sz w:val="22"/>
          <w:szCs w:val="22"/>
        </w:rPr>
        <w:t xml:space="preserve">, provide key habitats and resources for fish and invertebrates </w:t>
      </w:r>
      <w:r w:rsidR="00FB3343" w:rsidRPr="00C759BB">
        <w:rPr>
          <w:rFonts w:asciiTheme="minorHAnsi" w:hAnsiTheme="minorHAnsi"/>
          <w:sz w:val="22"/>
          <w:szCs w:val="22"/>
        </w:rPr>
        <w:fldChar w:fldCharType="begin">
          <w:fldData xml:space="preserve">PEVuZE5vdGU+PENpdGU+PEF1dGhvcj5Kb25lczwvQXV0aG9yPjxZZWFyPjIwMDQ8L1llYXI+PFJl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</w:fldData>
        </w:fldChar>
      </w:r>
      <w:r w:rsidRPr="00C759BB">
        <w:rPr>
          <w:rFonts w:asciiTheme="minorHAnsi" w:hAnsiTheme="minorHAnsi"/>
          <w:sz w:val="22"/>
          <w:szCs w:val="22"/>
        </w:rPr>
        <w:instrText xml:space="preserve"> ADDIN EN.CITE </w:instrText>
      </w:r>
      <w:r w:rsidR="00FB3343" w:rsidRPr="00C759BB">
        <w:rPr>
          <w:rFonts w:asciiTheme="minorHAnsi" w:hAnsiTheme="minorHAnsi"/>
          <w:sz w:val="22"/>
          <w:szCs w:val="22"/>
        </w:rPr>
        <w:fldChar w:fldCharType="begin">
          <w:fldData xml:space="preserve">PEVuZE5vdGU+PENpdGU+PEF1dGhvcj5Kb25lczwvQXV0aG9yPjxZZWFyPjIwMDQ8L1llYXI+PFJl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</w:fldData>
        </w:fldChar>
      </w:r>
      <w:r w:rsidRPr="00C759BB">
        <w:rPr>
          <w:rFonts w:asciiTheme="minorHAnsi" w:hAnsiTheme="minorHAnsi"/>
          <w:sz w:val="22"/>
          <w:szCs w:val="22"/>
        </w:rPr>
        <w:instrText xml:space="preserve"> ADDIN EN.CITE.DATA </w:instrText>
      </w:r>
      <w:r w:rsidR="00FB3343" w:rsidRPr="00C759BB">
        <w:rPr>
          <w:rFonts w:asciiTheme="minorHAnsi" w:hAnsiTheme="minorHAnsi"/>
          <w:sz w:val="22"/>
          <w:szCs w:val="22"/>
        </w:rPr>
      </w:r>
      <w:r w:rsidR="00FB3343" w:rsidRPr="00C759BB">
        <w:rPr>
          <w:rFonts w:asciiTheme="minorHAnsi" w:hAnsiTheme="minorHAnsi"/>
          <w:sz w:val="22"/>
          <w:szCs w:val="22"/>
        </w:rPr>
        <w:fldChar w:fldCharType="end"/>
      </w:r>
      <w:r w:rsidR="00FB3343" w:rsidRPr="00C759BB">
        <w:rPr>
          <w:rFonts w:asciiTheme="minorHAnsi" w:hAnsiTheme="minorHAnsi"/>
          <w:sz w:val="22"/>
          <w:szCs w:val="22"/>
        </w:rPr>
      </w:r>
      <w:r w:rsidR="00FB3343" w:rsidRPr="00C759BB">
        <w:rPr>
          <w:rFonts w:asciiTheme="minorHAnsi" w:hAnsiTheme="minorHAnsi"/>
          <w:sz w:val="22"/>
          <w:szCs w:val="22"/>
        </w:rPr>
        <w:fldChar w:fldCharType="separate"/>
      </w:r>
      <w:r w:rsidRPr="00C759BB">
        <w:rPr>
          <w:rFonts w:asciiTheme="minorHAnsi" w:hAnsiTheme="minorHAnsi"/>
          <w:noProof/>
          <w:sz w:val="22"/>
          <w:szCs w:val="22"/>
        </w:rPr>
        <w:t>(</w:t>
      </w:r>
      <w:hyperlink w:anchor="_ENREF_69" w:tooltip="Jones, 2004 #1204" w:history="1">
        <w:r w:rsidRPr="00C759BB">
          <w:rPr>
            <w:rFonts w:asciiTheme="minorHAnsi" w:hAnsiTheme="minorHAnsi"/>
            <w:noProof/>
            <w:sz w:val="22"/>
            <w:szCs w:val="22"/>
          </w:rPr>
          <w:t>Jones et al. 2004</w:t>
        </w:r>
      </w:hyperlink>
      <w:proofErr w:type="gramStart"/>
      <w:r w:rsidRPr="00C759BB">
        <w:rPr>
          <w:rFonts w:asciiTheme="minorHAnsi" w:hAnsiTheme="minorHAnsi"/>
          <w:noProof/>
          <w:sz w:val="22"/>
          <w:szCs w:val="22"/>
        </w:rPr>
        <w:t xml:space="preserve">, </w:t>
      </w:r>
      <w:hyperlink w:anchor="_ENREF_93" w:tooltip="Pratchett, 2004 #551" w:history="1">
        <w:r w:rsidRPr="00C759BB">
          <w:rPr>
            <w:rFonts w:asciiTheme="minorHAnsi" w:hAnsiTheme="minorHAnsi"/>
            <w:noProof/>
            <w:sz w:val="22"/>
            <w:szCs w:val="22"/>
          </w:rPr>
          <w:t>Pratchett et al. 2004</w:t>
        </w:r>
      </w:hyperlink>
      <w:r w:rsidRPr="00C759BB">
        <w:rPr>
          <w:rFonts w:asciiTheme="minorHAnsi" w:hAnsiTheme="minorHAnsi"/>
          <w:noProof/>
          <w:sz w:val="22"/>
          <w:szCs w:val="22"/>
        </w:rPr>
        <w:t>,</w:t>
      </w:r>
      <w:proofErr w:type="gramEnd"/>
      <w:r w:rsidRPr="00C759BB">
        <w:rPr>
          <w:rFonts w:asciiTheme="minorHAnsi" w:hAnsiTheme="minorHAnsi"/>
          <w:noProof/>
          <w:sz w:val="22"/>
          <w:szCs w:val="22"/>
        </w:rPr>
        <w:t xml:space="preserve"> </w:t>
      </w:r>
      <w:hyperlink w:anchor="_ENREF_20" w:tooltip="Cole, 2008 #1594" w:history="1">
        <w:r w:rsidRPr="00C759BB">
          <w:rPr>
            <w:rFonts w:asciiTheme="minorHAnsi" w:hAnsiTheme="minorHAnsi"/>
            <w:noProof/>
            <w:sz w:val="22"/>
            <w:szCs w:val="22"/>
          </w:rPr>
          <w:t>Cole et al. 2008</w:t>
        </w:r>
      </w:hyperlink>
      <w:r w:rsidRPr="00C759BB">
        <w:rPr>
          <w:rFonts w:asciiTheme="minorHAnsi" w:hAnsiTheme="minorHAnsi"/>
          <w:noProof/>
          <w:sz w:val="22"/>
          <w:szCs w:val="22"/>
        </w:rPr>
        <w:t>)</w:t>
      </w:r>
      <w:r w:rsidR="00FB3343" w:rsidRPr="00C759BB">
        <w:rPr>
          <w:rFonts w:asciiTheme="minorHAnsi" w:hAnsiTheme="minorHAnsi"/>
          <w:sz w:val="22"/>
          <w:szCs w:val="22"/>
        </w:rPr>
        <w:fldChar w:fldCharType="end"/>
      </w:r>
      <w:r w:rsidRPr="00C759BB">
        <w:rPr>
          <w:rFonts w:asciiTheme="minorHAnsi" w:hAnsiTheme="minorHAnsi"/>
          <w:sz w:val="22"/>
          <w:szCs w:val="22"/>
        </w:rPr>
        <w:t xml:space="preserve">, not unlike trees providing habitats for species in the rainforest. </w:t>
      </w:r>
      <w:r w:rsidRPr="00C759BB">
        <w:rPr>
          <w:rFonts w:asciiTheme="minorHAnsi" w:hAnsiTheme="minorHAnsi"/>
          <w:color w:val="000000" w:themeColor="text1"/>
          <w:sz w:val="22"/>
          <w:szCs w:val="22"/>
        </w:rPr>
        <w:t>S</w:t>
      </w:r>
      <w:r w:rsidRPr="00C759BB">
        <w:rPr>
          <w:rFonts w:asciiTheme="minorHAnsi" w:hAnsiTheme="minorHAnsi"/>
          <w:sz w:val="22"/>
          <w:szCs w:val="22"/>
        </w:rPr>
        <w:t xml:space="preserve">tructural corals are therefore used as a principal ecosystem value underpinning </w:t>
      </w:r>
      <w:r w:rsidR="00F155E0">
        <w:rPr>
          <w:rFonts w:asciiTheme="minorHAnsi" w:hAnsiTheme="minorHAnsi"/>
          <w:sz w:val="22"/>
          <w:szCs w:val="22"/>
        </w:rPr>
        <w:t>MNES in the GBRWHA, and provide</w:t>
      </w:r>
      <w:r w:rsidRPr="00C759BB">
        <w:rPr>
          <w:rFonts w:asciiTheme="minorHAnsi" w:hAnsiTheme="minorHAnsi"/>
          <w:sz w:val="22"/>
          <w:szCs w:val="22"/>
        </w:rPr>
        <w:t xml:space="preserve"> an understanding of how other ecosystem components and processes promote or </w:t>
      </w:r>
      <w:r w:rsidRPr="00C759BB">
        <w:rPr>
          <w:rFonts w:asciiTheme="minorHAnsi" w:hAnsiTheme="minorHAnsi"/>
          <w:color w:val="000000" w:themeColor="text1"/>
          <w:sz w:val="22"/>
          <w:szCs w:val="22"/>
        </w:rPr>
        <w:t xml:space="preserve">hamper the growth and survival of structural corals and the species they support, including fish and invertebrates. </w:t>
      </w:r>
    </w:p>
    <w:p w:rsidR="00C759BB" w:rsidRPr="00C759BB" w:rsidRDefault="00C759BB" w:rsidP="001B314A">
      <w:pPr>
        <w:pStyle w:val="Default"/>
        <w:spacing w:line="276" w:lineRule="auto"/>
        <w:rPr>
          <w:rFonts w:asciiTheme="minorHAnsi" w:hAnsiTheme="minorHAnsi"/>
          <w:color w:val="000000" w:themeColor="text1"/>
          <w:sz w:val="22"/>
          <w:szCs w:val="22"/>
        </w:rPr>
      </w:pPr>
    </w:p>
    <w:p w:rsidR="00C759BB" w:rsidRPr="00C759BB" w:rsidRDefault="00C759BB" w:rsidP="001B314A">
      <w:pPr>
        <w:pStyle w:val="Default"/>
        <w:spacing w:line="276" w:lineRule="auto"/>
        <w:rPr>
          <w:rFonts w:asciiTheme="minorHAnsi" w:hAnsiTheme="minorHAnsi"/>
          <w:color w:val="000000" w:themeColor="text1"/>
          <w:sz w:val="22"/>
          <w:szCs w:val="22"/>
        </w:rPr>
      </w:pPr>
      <w:r w:rsidRPr="00C759BB">
        <w:rPr>
          <w:rFonts w:asciiTheme="minorHAnsi" w:hAnsiTheme="minorHAnsi"/>
          <w:color w:val="000000" w:themeColor="text1"/>
          <w:sz w:val="22"/>
          <w:szCs w:val="22"/>
        </w:rPr>
        <w:t xml:space="preserve">Figure </w:t>
      </w:r>
      <w:r w:rsidR="00F155E0">
        <w:rPr>
          <w:rFonts w:asciiTheme="minorHAnsi" w:hAnsiTheme="minorHAnsi"/>
          <w:color w:val="000000" w:themeColor="text1"/>
          <w:sz w:val="22"/>
          <w:szCs w:val="22"/>
        </w:rPr>
        <w:t>1</w:t>
      </w:r>
      <w:r w:rsidR="00F548F8">
        <w:rPr>
          <w:rFonts w:asciiTheme="minorHAnsi" w:hAnsiTheme="minorHAnsi"/>
          <w:color w:val="000000" w:themeColor="text1"/>
          <w:sz w:val="22"/>
          <w:szCs w:val="22"/>
        </w:rPr>
        <w:t>7</w:t>
      </w:r>
      <w:r w:rsidRPr="00C759BB">
        <w:rPr>
          <w:rFonts w:asciiTheme="minorHAnsi" w:hAnsiTheme="minorHAnsi"/>
          <w:color w:val="000000" w:themeColor="text1"/>
          <w:sz w:val="22"/>
          <w:szCs w:val="22"/>
        </w:rPr>
        <w:t xml:space="preserve"> is a conceptual/qualitative representation of a coral reef model system including causal relationships between drivers, activities, and pressures influencing impacts on the state of key values in the system. The conceptual model is kept parsimonious for the purpose of maintaining clear links between measurable </w:t>
      </w:r>
      <w:proofErr w:type="gramStart"/>
      <w:r w:rsidRPr="00C759BB">
        <w:rPr>
          <w:rFonts w:asciiTheme="minorHAnsi" w:hAnsiTheme="minorHAnsi"/>
          <w:color w:val="000000" w:themeColor="text1"/>
          <w:sz w:val="22"/>
          <w:szCs w:val="22"/>
        </w:rPr>
        <w:t>system</w:t>
      </w:r>
      <w:proofErr w:type="gramEnd"/>
      <w:r w:rsidRPr="00C759BB">
        <w:rPr>
          <w:rFonts w:asciiTheme="minorHAnsi" w:hAnsiTheme="minorHAnsi"/>
          <w:color w:val="000000" w:themeColor="text1"/>
          <w:sz w:val="22"/>
          <w:szCs w:val="22"/>
        </w:rPr>
        <w:t xml:space="preserve"> attributes, management levers and key values.  </w:t>
      </w:r>
    </w:p>
    <w:p w:rsidR="00C759BB" w:rsidRPr="00C759BB" w:rsidRDefault="00C759BB" w:rsidP="001B314A">
      <w:pPr>
        <w:pStyle w:val="Default"/>
        <w:spacing w:line="276" w:lineRule="auto"/>
        <w:rPr>
          <w:rFonts w:asciiTheme="minorHAnsi" w:hAnsiTheme="minorHAnsi"/>
          <w:color w:val="000000" w:themeColor="text1"/>
          <w:sz w:val="22"/>
          <w:szCs w:val="22"/>
        </w:rPr>
      </w:pPr>
    </w:p>
    <w:p w:rsidR="00C759BB" w:rsidRPr="00C759BB" w:rsidRDefault="00C759BB" w:rsidP="001B314A">
      <w:pPr>
        <w:jc w:val="center"/>
      </w:pPr>
      <w:r w:rsidRPr="00C759BB">
        <w:rPr>
          <w:noProof/>
          <w:lang w:eastAsia="en-AU"/>
        </w:rPr>
        <w:drawing>
          <wp:inline distT="0" distB="0" distL="0" distR="0">
            <wp:extent cx="4190400" cy="50364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0400" cy="5036400"/>
                    </a:xfrm>
                    <a:prstGeom prst="rect">
                      <a:avLst/>
                    </a:prstGeom>
                    <a:noFill/>
                  </pic:spPr>
                </pic:pic>
              </a:graphicData>
            </a:graphic>
          </wp:inline>
        </w:drawing>
      </w:r>
    </w:p>
    <w:p w:rsidR="00C759BB" w:rsidRPr="00C759BB" w:rsidRDefault="00C759BB" w:rsidP="001B314A">
      <w:pPr>
        <w:rPr>
          <w:sz w:val="20"/>
          <w:szCs w:val="20"/>
        </w:rPr>
      </w:pPr>
      <w:proofErr w:type="gramStart"/>
      <w:r w:rsidRPr="00C759BB">
        <w:rPr>
          <w:b/>
          <w:sz w:val="20"/>
          <w:szCs w:val="20"/>
        </w:rPr>
        <w:t xml:space="preserve">Figure </w:t>
      </w:r>
      <w:r w:rsidR="00F155E0">
        <w:rPr>
          <w:b/>
          <w:sz w:val="20"/>
          <w:szCs w:val="20"/>
        </w:rPr>
        <w:t>1</w:t>
      </w:r>
      <w:r w:rsidR="00F548F8">
        <w:rPr>
          <w:b/>
          <w:sz w:val="20"/>
          <w:szCs w:val="20"/>
        </w:rPr>
        <w:t>7</w:t>
      </w:r>
      <w:r w:rsidRPr="00C759BB">
        <w:rPr>
          <w:b/>
          <w:sz w:val="20"/>
          <w:szCs w:val="20"/>
        </w:rPr>
        <w:t>.</w:t>
      </w:r>
      <w:proofErr w:type="gramEnd"/>
      <w:r w:rsidRPr="00C759BB">
        <w:rPr>
          <w:sz w:val="20"/>
          <w:szCs w:val="20"/>
        </w:rPr>
        <w:t xml:space="preserve"> </w:t>
      </w:r>
      <w:proofErr w:type="gramStart"/>
      <w:r w:rsidRPr="00C759BB">
        <w:rPr>
          <w:sz w:val="20"/>
          <w:szCs w:val="20"/>
        </w:rPr>
        <w:t>Conceptual representations of coral reef and seagrass-based ecosystems and their dependent species.</w:t>
      </w:r>
      <w:proofErr w:type="gramEnd"/>
      <w:r w:rsidRPr="00C759BB">
        <w:rPr>
          <w:sz w:val="20"/>
          <w:szCs w:val="20"/>
        </w:rPr>
        <w:t xml:space="preserve"> Green arrows are positive and orange arrows are negative linkages. Here, only </w:t>
      </w:r>
      <w:r w:rsidR="00473B42" w:rsidRPr="00C759BB">
        <w:rPr>
          <w:sz w:val="20"/>
          <w:szCs w:val="20"/>
        </w:rPr>
        <w:t>a subset of pressure nodes is</w:t>
      </w:r>
      <w:r w:rsidRPr="00C759BB">
        <w:rPr>
          <w:sz w:val="20"/>
          <w:szCs w:val="20"/>
        </w:rPr>
        <w:t xml:space="preserve"> represented without showing their multiple, possible linkages to drivers and activities. Complex food web linkages between all functional fish groups are not shown in the model. Sources: Anthony et al. 2013, IAN Image Library.</w:t>
      </w:r>
    </w:p>
    <w:p w:rsidR="00C759BB" w:rsidRPr="00C759BB" w:rsidRDefault="00C759BB" w:rsidP="00C759BB">
      <w:pPr>
        <w:jc w:val="both"/>
      </w:pPr>
    </w:p>
    <w:p w:rsidR="00C759BB" w:rsidRPr="00C759BB" w:rsidRDefault="00C759BB" w:rsidP="001B314A">
      <w:pPr>
        <w:pStyle w:val="Heading4"/>
        <w:spacing w:after="120"/>
        <w:rPr>
          <w:rFonts w:asciiTheme="minorHAnsi" w:hAnsiTheme="minorHAnsi"/>
        </w:rPr>
      </w:pPr>
      <w:bookmarkStart w:id="20" w:name="_Toc239492459"/>
      <w:r w:rsidRPr="00C759BB">
        <w:rPr>
          <w:rFonts w:asciiTheme="minorHAnsi" w:hAnsiTheme="minorHAnsi"/>
        </w:rPr>
        <w:t>Seagrass ecosystems</w:t>
      </w:r>
      <w:bookmarkEnd w:id="20"/>
    </w:p>
    <w:p w:rsidR="00C759BB" w:rsidRPr="00C759BB" w:rsidRDefault="00C759BB" w:rsidP="001B314A">
      <w:pPr>
        <w:pStyle w:val="Default"/>
        <w:spacing w:line="276" w:lineRule="auto"/>
        <w:rPr>
          <w:rFonts w:asciiTheme="minorHAnsi" w:hAnsiTheme="minorHAnsi"/>
          <w:sz w:val="22"/>
          <w:szCs w:val="22"/>
        </w:rPr>
      </w:pPr>
      <w:proofErr w:type="spellStart"/>
      <w:r w:rsidRPr="00C759BB">
        <w:rPr>
          <w:rFonts w:asciiTheme="minorHAnsi" w:hAnsiTheme="minorHAnsi"/>
          <w:sz w:val="22"/>
          <w:szCs w:val="22"/>
        </w:rPr>
        <w:t>Seagrass</w:t>
      </w:r>
      <w:proofErr w:type="spellEnd"/>
      <w:r w:rsidRPr="00C759BB">
        <w:rPr>
          <w:rFonts w:asciiTheme="minorHAnsi" w:hAnsiTheme="minorHAnsi"/>
          <w:sz w:val="22"/>
          <w:szCs w:val="22"/>
        </w:rPr>
        <w:t xml:space="preserve"> meadows provide critical habitat for a range of marine species and serve an array of functional roles in the GBRWHA. </w:t>
      </w:r>
      <w:proofErr w:type="spellStart"/>
      <w:r w:rsidRPr="00C759BB">
        <w:rPr>
          <w:rFonts w:asciiTheme="minorHAnsi" w:hAnsiTheme="minorHAnsi"/>
          <w:sz w:val="22"/>
          <w:szCs w:val="22"/>
        </w:rPr>
        <w:t>Seagrass</w:t>
      </w:r>
      <w:proofErr w:type="spellEnd"/>
      <w:r w:rsidRPr="00C759BB">
        <w:rPr>
          <w:rFonts w:asciiTheme="minorHAnsi" w:hAnsiTheme="minorHAnsi"/>
          <w:sz w:val="22"/>
          <w:szCs w:val="22"/>
        </w:rPr>
        <w:t xml:space="preserve"> meadows support dugong and green turtle populations as their primary food source, are important nursery grounds for fish and prawns, and transient homes to a diverse set of species that use </w:t>
      </w:r>
      <w:proofErr w:type="spellStart"/>
      <w:r w:rsidRPr="00C759BB">
        <w:rPr>
          <w:rFonts w:asciiTheme="minorHAnsi" w:hAnsiTheme="minorHAnsi"/>
          <w:sz w:val="22"/>
          <w:szCs w:val="22"/>
        </w:rPr>
        <w:t>seagrass</w:t>
      </w:r>
      <w:proofErr w:type="spellEnd"/>
      <w:r w:rsidRPr="00C759BB">
        <w:rPr>
          <w:rFonts w:asciiTheme="minorHAnsi" w:hAnsiTheme="minorHAnsi"/>
          <w:sz w:val="22"/>
          <w:szCs w:val="22"/>
        </w:rPr>
        <w:t xml:space="preserve"> meadows as stepping-stones between coastal ecosystems and coral reefs </w:t>
      </w:r>
      <w:r w:rsidR="00FB3343" w:rsidRPr="00C759BB">
        <w:rPr>
          <w:rFonts w:asciiTheme="minorHAnsi" w:hAnsiTheme="minorHAnsi"/>
          <w:sz w:val="22"/>
          <w:szCs w:val="22"/>
        </w:rPr>
        <w:fldChar w:fldCharType="begin"/>
      </w:r>
      <w:r w:rsidRPr="00C759BB">
        <w:rPr>
          <w:rFonts w:asciiTheme="minorHAnsi" w:hAnsiTheme="minorHAnsi"/>
          <w:sz w:val="22"/>
          <w:szCs w:val="22"/>
        </w:rPr>
        <w:instrText xml:space="preserve"> ADDIN EN.CITE &lt;EndNote&gt;&lt;Cite&gt;&lt;Author&gt;Hori&lt;/Author&gt;&lt;Year&gt;2009&lt;/Year&gt;&lt;RecNum&gt;1522&lt;/RecNum&gt;&lt;DisplayText&gt;(Meynecke et al. 2007, Hori et al. 2009)&lt;/DisplayText&gt;&lt;record&gt;&lt;rec-number&gt;1522&lt;/rec-number&gt;&lt;foreign-keys&gt;&lt;key app="EN" db-id="taffd5tx6rsf05ed0f5vvsrh2wrw5ew2e00w"&gt;1522&lt;/key&gt;&lt;/foreign-keys&gt;&lt;ref-type name="Journal Article"&gt;17&lt;/ref-type&gt;&lt;contributors&gt;&lt;authors&gt;&lt;author&gt;Hori, M.&lt;/author&gt;&lt;author&gt;Suzuki, T.&lt;/author&gt;&lt;author&gt;Monthum, Y.&lt;/author&gt;&lt;author&gt;Srisombat, T.&lt;/author&gt;&lt;author&gt;Tanaka, Y.&lt;/author&gt;&lt;author&gt;Nakaoka, M.&lt;/author&gt;&lt;author&gt;Mukai, H.&lt;/author&gt;&lt;/authors&gt;&lt;/contributors&gt;&lt;titles&gt;&lt;title&gt;High seagrass diversity and canopy-height increase associated fish diversity and abundance&lt;/title&gt;&lt;secondary-title&gt;Marine Biology&lt;/secondary-title&gt;&lt;/titles&gt;&lt;periodical&gt;&lt;full-title&gt;Marine Biology&lt;/full-title&gt;&lt;/periodical&gt;&lt;pages&gt;1447-1458&lt;/pages&gt;&lt;volume&gt;156&lt;/volume&gt;&lt;dates&gt;&lt;year&gt;2009&lt;/year&gt;&lt;/dates&gt;&lt;urls&gt;&lt;/urls&gt;&lt;/record&gt;&lt;/Cite&gt;&lt;Cite&gt;&lt;Author&gt;Meynecke&lt;/Author&gt;&lt;Year&gt;2007&lt;/Year&gt;&lt;RecNum&gt;1523&lt;/RecNum&gt;&lt;record&gt;&lt;rec-number&gt;1523&lt;/rec-number&gt;&lt;foreign-keys&gt;&lt;key app="EN" db-id="taffd5tx6rsf05ed0f5vvsrh2wrw5ew2e00w"&gt;1523&lt;/key&gt;&lt;/foreign-keys&gt;&lt;ref-type name="Journal Article"&gt;17&lt;/ref-type&gt;&lt;contributors&gt;&lt;authors&gt;&lt;author&gt;Meynecke, J.&lt;/author&gt;&lt;author&gt;Lee, S. &lt;/author&gt;&lt;author&gt;Duke, N.&lt;/author&gt;&lt;author&gt;Warnken, J.&lt;/author&gt;&lt;/authors&gt;&lt;/contributors&gt;&lt;titles&gt;&lt;title&gt;Relationships between estuarine habitats and coastal fisheries in Queensland, Australia&lt;/title&gt;&lt;secondary-title&gt;Bulletin of Marine Science&lt;/secondary-title&gt;&lt;/titles&gt;&lt;periodical&gt;&lt;full-title&gt;Bulletin of Marine Science&lt;/full-title&gt;&lt;/periodical&gt;&lt;pages&gt;773-793&lt;/pages&gt;&lt;volume&gt;80&lt;/volume&gt;&lt;dates&gt;&lt;year&gt;2007&lt;/year&gt;&lt;/dates&gt;&lt;urls&gt;&lt;/urls&gt;&lt;/record&gt;&lt;/Cite&gt;&lt;/EndNote&gt;</w:instrText>
      </w:r>
      <w:r w:rsidR="00FB3343" w:rsidRPr="00C759BB">
        <w:rPr>
          <w:rFonts w:asciiTheme="minorHAnsi" w:hAnsiTheme="minorHAnsi"/>
          <w:sz w:val="22"/>
          <w:szCs w:val="22"/>
        </w:rPr>
        <w:fldChar w:fldCharType="separate"/>
      </w:r>
      <w:r w:rsidRPr="00C759BB">
        <w:rPr>
          <w:rFonts w:asciiTheme="minorHAnsi" w:hAnsiTheme="minorHAnsi"/>
          <w:noProof/>
          <w:sz w:val="22"/>
          <w:szCs w:val="22"/>
        </w:rPr>
        <w:t>(</w:t>
      </w:r>
      <w:hyperlink w:anchor="_ENREF_84" w:tooltip="Meynecke, 2007 #1523" w:history="1">
        <w:r w:rsidRPr="00C759BB">
          <w:rPr>
            <w:rFonts w:asciiTheme="minorHAnsi" w:hAnsiTheme="minorHAnsi"/>
            <w:noProof/>
            <w:sz w:val="22"/>
            <w:szCs w:val="22"/>
          </w:rPr>
          <w:t>Meynecke et al. 2007</w:t>
        </w:r>
      </w:hyperlink>
      <w:r w:rsidRPr="00C759BB">
        <w:rPr>
          <w:rFonts w:asciiTheme="minorHAnsi" w:hAnsiTheme="minorHAnsi"/>
          <w:noProof/>
          <w:sz w:val="22"/>
          <w:szCs w:val="22"/>
        </w:rPr>
        <w:t xml:space="preserve">, </w:t>
      </w:r>
      <w:hyperlink w:anchor="_ENREF_66" w:tooltip="Hori, 2009 #1522" w:history="1">
        <w:r w:rsidRPr="00C759BB">
          <w:rPr>
            <w:rFonts w:asciiTheme="minorHAnsi" w:hAnsiTheme="minorHAnsi"/>
            <w:noProof/>
            <w:sz w:val="22"/>
            <w:szCs w:val="22"/>
          </w:rPr>
          <w:t>Hori et al. 2009</w:t>
        </w:r>
      </w:hyperlink>
      <w:r w:rsidRPr="00C759BB">
        <w:rPr>
          <w:rFonts w:asciiTheme="minorHAnsi" w:hAnsiTheme="minorHAnsi"/>
          <w:noProof/>
          <w:sz w:val="22"/>
          <w:szCs w:val="22"/>
        </w:rPr>
        <w:t>)</w:t>
      </w:r>
      <w:r w:rsidR="00FB3343" w:rsidRPr="00C759BB">
        <w:rPr>
          <w:rFonts w:asciiTheme="minorHAnsi" w:hAnsiTheme="minorHAnsi"/>
          <w:sz w:val="22"/>
          <w:szCs w:val="22"/>
        </w:rPr>
        <w:fldChar w:fldCharType="end"/>
      </w:r>
      <w:r w:rsidRPr="00C759BB">
        <w:rPr>
          <w:rFonts w:asciiTheme="minorHAnsi" w:hAnsiTheme="minorHAnsi"/>
          <w:sz w:val="22"/>
          <w:szCs w:val="22"/>
        </w:rPr>
        <w:t xml:space="preserve">. </w:t>
      </w:r>
    </w:p>
    <w:p w:rsidR="00C759BB" w:rsidRPr="00C759BB" w:rsidRDefault="00C759BB" w:rsidP="001B314A">
      <w:pPr>
        <w:pStyle w:val="Default"/>
        <w:spacing w:line="276" w:lineRule="auto"/>
        <w:rPr>
          <w:rFonts w:asciiTheme="minorHAnsi" w:hAnsiTheme="minorHAnsi"/>
          <w:sz w:val="22"/>
          <w:szCs w:val="22"/>
        </w:rPr>
      </w:pPr>
    </w:p>
    <w:p w:rsidR="00C759BB" w:rsidRPr="00C759BB" w:rsidRDefault="00C759BB" w:rsidP="001B314A">
      <w:r w:rsidRPr="00C759BB">
        <w:t xml:space="preserve">Dugongs, a listed migratory and marine species protected under the </w:t>
      </w:r>
      <w:r w:rsidRPr="00C759BB">
        <w:rPr>
          <w:i/>
        </w:rPr>
        <w:t>Environment Protection and Biodiversity Conservation Act 1999</w:t>
      </w:r>
      <w:r w:rsidRPr="00C759BB">
        <w:t xml:space="preserve"> (EPBC Act), feed primarily on seagrasses </w:t>
      </w:r>
      <w:r w:rsidR="00FB3343" w:rsidRPr="00C759BB">
        <w:fldChar w:fldCharType="begin"/>
      </w:r>
      <w:r w:rsidRPr="00C759BB">
        <w:instrText xml:space="preserve"> ADDIN EN.CITE &lt;EndNote&gt;&lt;Cite&gt;&lt;Author&gt;Aragones&lt;/Author&gt;&lt;Year&gt;2000&lt;/Year&gt;&lt;RecNum&gt;1527&lt;/RecNum&gt;&lt;DisplayText&gt;(Aragones and Marsh 2000)&lt;/DisplayText&gt;&lt;record&gt;&lt;rec-number&gt;1527&lt;/rec-number&gt;&lt;foreign-keys&gt;&lt;key app="EN" db-id="taffd5tx6rsf05ed0f5vvsrh2wrw5ew2e00w"&gt;1527&lt;/key&gt;&lt;/foreign-keys&gt;&lt;ref-type name="Journal Article"&gt;17&lt;/ref-type&gt;&lt;contributors&gt;&lt;authors&gt;&lt;author&gt;Aragones, L. &lt;/author&gt;&lt;author&gt;Marsh, H.&lt;/author&gt;&lt;/authors&gt;&lt;/contributors&gt;&lt;titles&gt;&lt;title&gt;Impact of dugong grazing and turtle cropping on tropical seagrass communities.&lt;/title&gt;&lt;secondary-title&gt; Pacific Conservation Biology &lt;/secondary-title&gt;&lt;/titles&gt;&lt;pages&gt;277–288&lt;/pages&gt;&lt;volume&gt;5&lt;/volume&gt;&lt;dates&gt;&lt;year&gt;2000&lt;/year&gt;&lt;/dates&gt;&lt;urls&gt;&lt;/urls&gt;&lt;/record&gt;&lt;/Cite&gt;&lt;/EndNote&gt;</w:instrText>
      </w:r>
      <w:r w:rsidR="00FB3343" w:rsidRPr="00C759BB">
        <w:fldChar w:fldCharType="separate"/>
      </w:r>
      <w:r w:rsidRPr="00C759BB">
        <w:rPr>
          <w:noProof/>
        </w:rPr>
        <w:t>(</w:t>
      </w:r>
      <w:hyperlink w:anchor="_ENREF_7" w:tooltip="Aragones, 2000 #1527" w:history="1">
        <w:r w:rsidRPr="00C759BB">
          <w:rPr>
            <w:noProof/>
          </w:rPr>
          <w:t>Aragones and Marsh 2000</w:t>
        </w:r>
      </w:hyperlink>
      <w:r w:rsidRPr="00C759BB">
        <w:rPr>
          <w:noProof/>
        </w:rPr>
        <w:t>)</w:t>
      </w:r>
      <w:r w:rsidR="00FB3343" w:rsidRPr="00C759BB">
        <w:fldChar w:fldCharType="end"/>
      </w:r>
      <w:r w:rsidRPr="00C759BB">
        <w:t xml:space="preserve"> and are therefore highly sensitive to seagrass loss </w:t>
      </w:r>
      <w:r w:rsidR="00FB3343" w:rsidRPr="00C759BB">
        <w:fldChar w:fldCharType="begin"/>
      </w:r>
      <w:r w:rsidRPr="00C759BB">
        <w:instrText xml:space="preserve"> ADDIN EN.CITE &lt;EndNote&gt;&lt;Cite&gt;&lt;Author&gt;Lawler&lt;/Author&gt;&lt;Year&gt;2007&lt;/Year&gt;&lt;RecNum&gt;1529&lt;/RecNum&gt;&lt;DisplayText&gt;(Lawler et al. 2007)&lt;/DisplayText&gt;&lt;record&gt;&lt;rec-number&gt;1529&lt;/rec-number&gt;&lt;foreign-keys&gt;&lt;key app="EN" db-id="taffd5tx6rsf05ed0f5vvsrh2wrw5ew2e00w"&gt;1529&lt;/key&gt;&lt;/foreign-keys&gt;&lt;ref-type name="Book Section"&gt;5&lt;/ref-type&gt;&lt;contributors&gt;&lt;authors&gt;&lt;author&gt;Lawler, I.R.&lt;/author&gt;&lt;author&gt;Parra, G.&lt;/author&gt;&lt;author&gt;Noad, M.&lt;/author&gt;&lt;/authors&gt;&lt;secondary-authors&gt;&lt;author&gt;Johnson, J.&lt;/author&gt;&lt;author&gt;Marshall, P.&lt;/author&gt;&lt;/secondary-authors&gt;&lt;/contributors&gt;&lt;titles&gt;&lt;title&gt;Vulnerability of marine mammals in the Great Barrier Reef to climate change (Chapter 16, Part II: Species and species groups)&lt;/title&gt;&lt;secondary-title&gt;Climate Change and the Great Barrier Reef: A Vulnerability Assessment&lt;/secondary-title&gt;&lt;/titles&gt;&lt;dates&gt;&lt;year&gt;2007&lt;/year&gt;&lt;/dates&gt;&lt;pub-location&gt;Townsville&lt;/pub-location&gt;&lt;publisher&gt;GBRMPA&lt;/publisher&gt;&lt;urls&gt;&lt;/urls&gt;&lt;/record&gt;&lt;/Cite&gt;&lt;/EndNote&gt;</w:instrText>
      </w:r>
      <w:r w:rsidR="00FB3343" w:rsidRPr="00C759BB">
        <w:fldChar w:fldCharType="separate"/>
      </w:r>
      <w:r w:rsidRPr="00C759BB">
        <w:rPr>
          <w:noProof/>
        </w:rPr>
        <w:t>(</w:t>
      </w:r>
      <w:hyperlink w:anchor="_ENREF_76" w:tooltip="Lawler, 2007 #1529" w:history="1">
        <w:r w:rsidRPr="00C759BB">
          <w:rPr>
            <w:noProof/>
          </w:rPr>
          <w:t>Lawler et al. 2007</w:t>
        </w:r>
      </w:hyperlink>
      <w:r w:rsidRPr="00C759BB">
        <w:rPr>
          <w:noProof/>
        </w:rPr>
        <w:t>)</w:t>
      </w:r>
      <w:r w:rsidR="00FB3343" w:rsidRPr="00C759BB">
        <w:fldChar w:fldCharType="end"/>
      </w:r>
      <w:r w:rsidRPr="00C759BB">
        <w:t xml:space="preserve">. Although dugongs move between foraging grounds, large-scale losses of seagrasses can contribute to population decline </w:t>
      </w:r>
      <w:r w:rsidR="00FB3343" w:rsidRPr="00C759BB">
        <w:fldChar w:fldCharType="begin">
          <w:fldData xml:space="preserve">PEVuZE5vdGU+PENpdGU+PEF1dGhvcj5TaGVwcGFyZDwvQXV0aG9yPjxZZWFyPjIwMDY8L1llYXI+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</w:fldData>
        </w:fldChar>
      </w:r>
      <w:r w:rsidRPr="00C759BB">
        <w:instrText xml:space="preserve"> ADDIN EN.CITE </w:instrText>
      </w:r>
      <w:r w:rsidR="00FB3343" w:rsidRPr="00C759BB">
        <w:fldChar w:fldCharType="begin">
          <w:fldData xml:space="preserve">PEVuZE5vdGU+PENpdGU+PEF1dGhvcj5TaGVwcGFyZDwvQXV0aG9yPjxZZWFyPjIwMDY8L1llYXI+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</w:fldData>
        </w:fldChar>
      </w:r>
      <w:r w:rsidRPr="00C759BB">
        <w:instrText xml:space="preserve"> ADDIN EN.CITE.DATA </w:instrText>
      </w:r>
      <w:r w:rsidR="00FB3343" w:rsidRPr="00C759BB">
        <w:fldChar w:fldCharType="end"/>
      </w:r>
      <w:r w:rsidR="00FB3343" w:rsidRPr="00C759BB">
        <w:fldChar w:fldCharType="separate"/>
      </w:r>
      <w:r w:rsidRPr="00C759BB">
        <w:rPr>
          <w:noProof/>
        </w:rPr>
        <w:t>(</w:t>
      </w:r>
      <w:hyperlink w:anchor="_ENREF_94" w:tooltip="Preen, 1995 #1639" w:history="1">
        <w:r w:rsidRPr="00C759BB">
          <w:rPr>
            <w:noProof/>
          </w:rPr>
          <w:t>Preen and Marsh 1995</w:t>
        </w:r>
      </w:hyperlink>
      <w:proofErr w:type="gramStart"/>
      <w:r w:rsidRPr="00C759BB">
        <w:rPr>
          <w:noProof/>
        </w:rPr>
        <w:t xml:space="preserve">, </w:t>
      </w:r>
      <w:hyperlink w:anchor="_ENREF_101" w:tooltip="Sheppard, 2006 #1614" w:history="1">
        <w:r w:rsidRPr="00C759BB">
          <w:rPr>
            <w:noProof/>
          </w:rPr>
          <w:t>Sheppard et al. 2006</w:t>
        </w:r>
      </w:hyperlink>
      <w:r w:rsidRPr="00C759BB">
        <w:rPr>
          <w:noProof/>
        </w:rPr>
        <w:t>,</w:t>
      </w:r>
      <w:proofErr w:type="gramEnd"/>
      <w:r w:rsidRPr="00C759BB">
        <w:rPr>
          <w:noProof/>
        </w:rPr>
        <w:t xml:space="preserve"> </w:t>
      </w:r>
      <w:hyperlink w:anchor="_ENREF_100" w:tooltip="Sheppard, 2007 #1613" w:history="1">
        <w:r w:rsidRPr="00C759BB">
          <w:rPr>
            <w:noProof/>
          </w:rPr>
          <w:t>Sheppard et al. 2007</w:t>
        </w:r>
      </w:hyperlink>
      <w:r w:rsidRPr="00C759BB">
        <w:rPr>
          <w:noProof/>
        </w:rPr>
        <w:t>)</w:t>
      </w:r>
      <w:r w:rsidR="00FB3343" w:rsidRPr="00C759BB">
        <w:fldChar w:fldCharType="end"/>
      </w:r>
      <w:r w:rsidR="006C160A">
        <w:t>. While the Mackay-Whitsunday R</w:t>
      </w:r>
      <w:r w:rsidRPr="00C759BB">
        <w:t xml:space="preserve">egion is a relatively minor foraging ground for the larger dugong population in the GBRWHA, any losses of seagrass habitat in the region represents a loss of foraging opportunity for dugongs migrating between key northern (Edgecombe Bay) and southern areas (e.g. Shoalwater Bay). </w:t>
      </w:r>
    </w:p>
    <w:p w:rsidR="007C7635" w:rsidRPr="00C759BB" w:rsidRDefault="007C7635" w:rsidP="001B314A">
      <w:pPr>
        <w:pStyle w:val="Tablecaption"/>
        <w:keepNext/>
        <w:keepLines/>
        <w:spacing w:line="276" w:lineRule="auto"/>
        <w:jc w:val="center"/>
        <w:rPr>
          <w:rFonts w:asciiTheme="minorHAnsi" w:hAnsiTheme="minorHAnsi"/>
          <w:sz w:val="22"/>
          <w:szCs w:val="22"/>
        </w:rPr>
      </w:pPr>
      <w:r w:rsidRPr="00C759BB">
        <w:rPr>
          <w:rFonts w:asciiTheme="minorHAnsi" w:hAnsiTheme="minorHAnsi"/>
          <w:noProof/>
          <w:sz w:val="22"/>
          <w:szCs w:val="22"/>
          <w:lang w:eastAsia="en-AU"/>
        </w:rPr>
        <w:drawing>
          <wp:inline distT="0" distB="0" distL="0" distR="0">
            <wp:extent cx="3870000" cy="465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0000" cy="4654800"/>
                    </a:xfrm>
                    <a:prstGeom prst="rect">
                      <a:avLst/>
                    </a:prstGeom>
                    <a:noFill/>
                  </pic:spPr>
                </pic:pic>
              </a:graphicData>
            </a:graphic>
          </wp:inline>
        </w:drawing>
      </w:r>
    </w:p>
    <w:p w:rsidR="007C7635" w:rsidRPr="00C759BB" w:rsidRDefault="007C7635" w:rsidP="001B314A">
      <w:pPr>
        <w:rPr>
          <w:sz w:val="20"/>
          <w:szCs w:val="20"/>
        </w:rPr>
      </w:pPr>
      <w:proofErr w:type="gramStart"/>
      <w:r w:rsidRPr="007C7635">
        <w:rPr>
          <w:b/>
          <w:sz w:val="20"/>
          <w:szCs w:val="20"/>
        </w:rPr>
        <w:t>Figure 1</w:t>
      </w:r>
      <w:r w:rsidR="00F548F8">
        <w:rPr>
          <w:b/>
          <w:sz w:val="20"/>
          <w:szCs w:val="20"/>
        </w:rPr>
        <w:t>8</w:t>
      </w:r>
      <w:r w:rsidRPr="007C7635">
        <w:rPr>
          <w:b/>
          <w:sz w:val="20"/>
          <w:szCs w:val="20"/>
        </w:rPr>
        <w:t>.</w:t>
      </w:r>
      <w:proofErr w:type="gramEnd"/>
      <w:r w:rsidRPr="00C759BB">
        <w:rPr>
          <w:sz w:val="20"/>
          <w:szCs w:val="20"/>
        </w:rPr>
        <w:t xml:space="preserve"> </w:t>
      </w:r>
      <w:proofErr w:type="gramStart"/>
      <w:r w:rsidRPr="00C759BB">
        <w:rPr>
          <w:sz w:val="20"/>
          <w:szCs w:val="20"/>
        </w:rPr>
        <w:t>Simplified conceptual model of seagrass-based ecosystems and their dependent species.</w:t>
      </w:r>
      <w:proofErr w:type="gramEnd"/>
      <w:r w:rsidRPr="00C759BB">
        <w:rPr>
          <w:sz w:val="20"/>
          <w:szCs w:val="20"/>
        </w:rPr>
        <w:t xml:space="preserve"> Green arrows are positive and orange arrows are negative linkages. The function of seagrass meadows as nurseries for fish and crustaceans is omitted for clarity. Sources: Anthony et al. 2013, IAN Image Library.</w:t>
      </w:r>
    </w:p>
    <w:p w:rsidR="007C7635" w:rsidRDefault="007C7635" w:rsidP="001B314A">
      <w:r w:rsidRPr="00C759BB">
        <w:lastRenderedPageBreak/>
        <w:t xml:space="preserve">Green turtles </w:t>
      </w:r>
      <w:proofErr w:type="spellStart"/>
      <w:r w:rsidRPr="00C759BB">
        <w:rPr>
          <w:i/>
        </w:rPr>
        <w:t>Chelonia</w:t>
      </w:r>
      <w:proofErr w:type="spellEnd"/>
      <w:r w:rsidRPr="00C759BB">
        <w:rPr>
          <w:i/>
        </w:rPr>
        <w:t xml:space="preserve"> </w:t>
      </w:r>
      <w:proofErr w:type="spellStart"/>
      <w:r w:rsidRPr="00C759BB">
        <w:rPr>
          <w:i/>
        </w:rPr>
        <w:t>mydas</w:t>
      </w:r>
      <w:proofErr w:type="spellEnd"/>
      <w:r w:rsidRPr="00C759BB">
        <w:t xml:space="preserve">, a vulnerable species under the EPBC Act, are also reliant on seagrass and are sensitive to losses of seagrass meadows, as they are relatively stationary in their foraging grounds </w:t>
      </w:r>
      <w:r w:rsidR="00FB3343" w:rsidRPr="00C759BB">
        <w:fldChar w:fldCharType="begin"/>
      </w:r>
      <w:r w:rsidRPr="00C759BB">
        <w:instrText xml:space="preserve"> ADDIN EN.CITE &lt;EndNote&gt;&lt;Cite&gt;&lt;Author&gt;André&lt;/Author&gt;&lt;Year&gt;2005&lt;/Year&gt;&lt;RecNum&gt;1526&lt;/RecNum&gt;&lt;DisplayText&gt;(André et al. 2005)&lt;/DisplayText&gt;&lt;record&gt;&lt;rec-number&gt;1526&lt;/rec-number&gt;&lt;foreign-keys&gt;&lt;key app="EN" db-id="taffd5tx6rsf05ed0f5vvsrh2wrw5ew2e00w"&gt;1526&lt;/key&gt;&lt;/foreign-keys&gt;&lt;ref-type name="Journal Article"&gt;17&lt;/ref-type&gt;&lt;contributors&gt;&lt;authors&gt;&lt;author&gt;André, J.&lt;/author&gt;&lt;author&gt;Gyuris, E.&lt;/author&gt;&lt;author&gt;Lawler, I.R. &lt;/author&gt;&lt;/authors&gt;&lt;/contributors&gt;&lt;titles&gt;&lt;title&gt; Comparison of the diets of sympatric dugongs and green turtles on the Orman Reefs, Torres Strait, Australia&lt;/title&gt;&lt;secondary-title&gt;Wildlife Research&lt;/secondary-title&gt;&lt;/titles&gt;&lt;periodical&gt;&lt;full-title&gt;Wildlife Research&lt;/full-title&gt;&lt;/periodical&gt;&lt;pages&gt; 53–62&lt;/pages&gt;&lt;volume&gt; 32&lt;/volume&gt;&lt;dates&gt;&lt;year&gt;2005&lt;/year&gt;&lt;/dates&gt;&lt;urls&gt;&lt;/urls&gt;&lt;/record&gt;&lt;/Cite&gt;&lt;/EndNote&gt;</w:instrText>
      </w:r>
      <w:r w:rsidR="00FB3343" w:rsidRPr="00C759BB">
        <w:fldChar w:fldCharType="separate"/>
      </w:r>
      <w:r w:rsidRPr="00C759BB">
        <w:rPr>
          <w:noProof/>
        </w:rPr>
        <w:t>(</w:t>
      </w:r>
      <w:hyperlink w:anchor="_ENREF_2" w:tooltip="André, 2005 #1526" w:history="1">
        <w:r w:rsidRPr="00C759BB">
          <w:rPr>
            <w:noProof/>
          </w:rPr>
          <w:t>André et al. 2005</w:t>
        </w:r>
      </w:hyperlink>
      <w:r w:rsidRPr="00C759BB">
        <w:rPr>
          <w:noProof/>
        </w:rPr>
        <w:t>)</w:t>
      </w:r>
      <w:r w:rsidR="00FB3343" w:rsidRPr="00C759BB">
        <w:fldChar w:fldCharType="end"/>
      </w:r>
      <w:r w:rsidRPr="00C759BB">
        <w:t xml:space="preserve">. The dependence of dugong and green turtle population on seagrass distribution and abundance was evidenced by increased dugong and green turtle deaths in 2011 following several tropical cyclones, which devastated seagrass habitats in the GBRWHA over most of the Wet Tropics and Central region </w:t>
      </w:r>
      <w:r w:rsidR="00520AA4">
        <w:t>(</w:t>
      </w:r>
      <w:r w:rsidR="00FB3343" w:rsidRPr="00C759BB">
        <w:fldChar w:fldCharType="begin"/>
      </w:r>
      <w:r w:rsidRPr="00C759BB">
        <w:instrText xml:space="preserve"> ADDIN EN.CITE &lt;EndNote&gt;&lt;Cite&gt;&lt;Author&gt;GBRMPA&lt;/Author&gt;&lt;Year&gt;2011&lt;/Year&gt;&lt;RecNum&gt;1528&lt;/RecNum&gt;&lt;DisplayText&gt;(GBRMPA 2011a)&lt;/DisplayText&gt;&lt;record&gt;&lt;rec-number&gt;1528&lt;/rec-number&gt;&lt;foreign-keys&gt;&lt;key app="EN" db-id="taffd5tx6rsf05ed0f5vvsrh2wrw5ew2e00w"&gt;1528&lt;/key&gt;&lt;/foreign-keys&gt;&lt;ref-type name="Report"&gt;27&lt;/ref-type&gt;&lt;contributors&gt;&lt;authors&gt;&lt;author&gt;GBRMPA&lt;/author&gt;&lt;/authors&gt;&lt;/contributors&gt;&lt;titles&gt;&lt;title&gt;Extreme weather on the Great Barrier Reef&lt;/title&gt;&lt;secondary-title&gt;Technical Report Series&lt;/secondary-title&gt;&lt;/titles&gt;&lt;dates&gt;&lt;year&gt;2011&lt;/year&gt;&lt;/dates&gt;&lt;pub-location&gt;Townsville&lt;/pub-location&gt;&lt;publisher&gt;Great Barrier Reef Marien Park Authority&lt;/publisher&gt;&lt;urls&gt;&lt;/urls&gt;&lt;/record&gt;&lt;/Cite&gt;&lt;/EndNote&gt;</w:instrText>
      </w:r>
      <w:r w:rsidR="00FB3343" w:rsidRPr="00C759BB">
        <w:fldChar w:fldCharType="separate"/>
      </w:r>
      <w:r w:rsidR="00520AA4">
        <w:rPr>
          <w:noProof/>
        </w:rPr>
        <w:t>GBRMPA 2011</w:t>
      </w:r>
      <w:r w:rsidRPr="00C759BB">
        <w:rPr>
          <w:noProof/>
        </w:rPr>
        <w:t>)</w:t>
      </w:r>
      <w:r w:rsidR="00FB3343" w:rsidRPr="00C759BB">
        <w:fldChar w:fldCharType="end"/>
      </w:r>
      <w:r w:rsidRPr="00C759BB">
        <w:t xml:space="preserve"> and major river floods which devastated seagrass meadows in the southern GBR </w:t>
      </w:r>
      <w:r w:rsidR="00FB3343" w:rsidRPr="00C759BB">
        <w:fldChar w:fldCharType="begin"/>
      </w:r>
      <w:r w:rsidRPr="00C759BB">
        <w:instrText xml:space="preserve"> ADDIN EN.CITE &lt;EndNote&gt;&lt;Cite&gt;&lt;Author&gt;Devlin&lt;/Author&gt;&lt;Year&gt;2012&lt;/Year&gt;&lt;RecNum&gt;1488&lt;/RecNum&gt;&lt;DisplayText&gt;(Devlin et al. 2012)&lt;/DisplayText&gt;&lt;record&gt;&lt;rec-number&gt;1488&lt;/rec-number&gt;&lt;foreign-keys&gt;&lt;key app="EN" db-id="taffd5tx6rsf05ed0f5vvsrh2wrw5ew2e00w"&gt;1488&lt;/key&gt;&lt;/foreign-keys&gt;&lt;ref-type name="Journal Article"&gt;17&lt;/ref-type&gt;&lt;contributors&gt;&lt;authors&gt;&lt;author&gt;Devlin, M. J.&lt;/author&gt;&lt;author&gt;McKinna, L. W.&lt;/author&gt;&lt;author&gt;√Ålvarez-Romero, J. G.&lt;/author&gt;&lt;author&gt;Petus, C.&lt;/author&gt;&lt;author&gt;Abott, B.&lt;/author&gt;&lt;author&gt;Harkness, P.&lt;/author&gt;&lt;author&gt;Brodie, J.&lt;/author&gt;&lt;/authors&gt;&lt;/contributors&gt;&lt;titles&gt;&lt;title&gt;Mapping the pollutants in surface riverine flood plume waters in the Great Barrier Reef, Australia&lt;/title&gt;&lt;secondary-title&gt;Marine Pollution Bulletin&lt;/secondary-title&gt;&lt;/titles&gt;&lt;periodical&gt;&lt;full-title&gt;Marine Pollution Bulletin&lt;/full-title&gt;&lt;/periodical&gt;&lt;pages&gt;224-235&lt;/pages&gt;&lt;volume&gt;65&lt;/volume&gt;&lt;number&gt;4‚Äì9&lt;/number&gt;&lt;keywords&gt;&lt;keyword&gt;River plume&lt;/keyword&gt;&lt;keyword&gt;Terrestrial runoff&lt;/keyword&gt;&lt;keyword&gt;Land-based threat&lt;/keyword&gt;&lt;keyword&gt;Pollutant exposure&lt;/keyword&gt;&lt;keyword&gt;MODIS images&lt;/keyword&gt;&lt;/keywords&gt;&lt;dates&gt;&lt;year&gt;2012&lt;/year&gt;&lt;/dates&gt;&lt;isbn&gt;0025-326X&lt;/isbn&gt;&lt;urls&gt;&lt;related-urls&gt;&lt;url&gt;http://www.sciencedirect.com/science/article/pii/S0025326X12001063&lt;/url&gt;&lt;/related-urls&gt;&lt;/urls&gt;&lt;electronic-resource-num&gt;10.1016/j.marpolbul.2012.03.001&lt;/electronic-resource-num&gt;&lt;/record&gt;&lt;/Cite&gt;&lt;/EndNote&gt;</w:instrText>
      </w:r>
      <w:r w:rsidR="00FB3343" w:rsidRPr="00C759BB">
        <w:fldChar w:fldCharType="separate"/>
      </w:r>
      <w:r w:rsidRPr="00C759BB">
        <w:rPr>
          <w:noProof/>
        </w:rPr>
        <w:t>(</w:t>
      </w:r>
      <w:hyperlink w:anchor="_ENREF_33" w:tooltip="Devlin, 2012 #1488" w:history="1">
        <w:r w:rsidRPr="00C759BB">
          <w:rPr>
            <w:noProof/>
          </w:rPr>
          <w:t>Devlin et al. 2012</w:t>
        </w:r>
      </w:hyperlink>
      <w:r w:rsidRPr="00C759BB">
        <w:rPr>
          <w:noProof/>
        </w:rPr>
        <w:t>)</w:t>
      </w:r>
      <w:r w:rsidR="00FB3343" w:rsidRPr="00C759BB">
        <w:fldChar w:fldCharType="end"/>
      </w:r>
      <w:r w:rsidRPr="00C759BB">
        <w:t>.</w:t>
      </w:r>
    </w:p>
    <w:p w:rsidR="00965E64" w:rsidRDefault="00965E64" w:rsidP="001B314A">
      <w:pPr>
        <w:pStyle w:val="Heading4"/>
        <w:rPr>
          <w:rFonts w:asciiTheme="minorHAnsi" w:hAnsiTheme="minorHAnsi"/>
        </w:rPr>
      </w:pPr>
    </w:p>
    <w:p w:rsidR="00965E64" w:rsidRPr="00C759BB" w:rsidRDefault="00965E64" w:rsidP="001B314A">
      <w:pPr>
        <w:pStyle w:val="Heading4"/>
        <w:spacing w:after="120"/>
        <w:rPr>
          <w:rFonts w:asciiTheme="minorHAnsi" w:hAnsiTheme="minorHAnsi"/>
        </w:rPr>
      </w:pPr>
      <w:r w:rsidRPr="00C759BB">
        <w:rPr>
          <w:rFonts w:asciiTheme="minorHAnsi" w:hAnsiTheme="minorHAnsi"/>
        </w:rPr>
        <w:t>Quantitative models</w:t>
      </w:r>
    </w:p>
    <w:p w:rsidR="00965E64" w:rsidRPr="00C759BB" w:rsidRDefault="00F155E0" w:rsidP="001B314A">
      <w:r>
        <w:t>T</w:t>
      </w:r>
      <w:r w:rsidRPr="00C759BB">
        <w:t xml:space="preserve">his </w:t>
      </w:r>
      <w:r w:rsidR="00C7613D">
        <w:t>report</w:t>
      </w:r>
      <w:r w:rsidRPr="00C759BB">
        <w:t xml:space="preserve"> uses Bayesian networks </w:t>
      </w:r>
      <w:r>
        <w:t>t</w:t>
      </w:r>
      <w:r w:rsidR="00965E64" w:rsidRPr="00C759BB">
        <w:t>o facilitate a quantitative synthesis of the multiple models linking drivers, activities and to ecosystem values for sea</w:t>
      </w:r>
      <w:r>
        <w:t>grass and coral reef ecosystems</w:t>
      </w:r>
      <w:r w:rsidR="00965E64" w:rsidRPr="00C759BB">
        <w:t xml:space="preserve">.  </w:t>
      </w:r>
      <w:r w:rsidR="007C7635">
        <w:t xml:space="preserve">The networks build on the qualitative understanding of system dynamics portrayed in Figures </w:t>
      </w:r>
      <w:r w:rsidR="007C31DB">
        <w:t>17</w:t>
      </w:r>
      <w:r w:rsidR="007C7635">
        <w:t xml:space="preserve"> and </w:t>
      </w:r>
      <w:r w:rsidR="007C31DB">
        <w:t>18</w:t>
      </w:r>
      <w:r w:rsidR="007C7635">
        <w:t xml:space="preserve"> to provide quantitative </w:t>
      </w:r>
      <w:r w:rsidR="002C0526">
        <w:t>estimates</w:t>
      </w:r>
      <w:r w:rsidR="007C7635">
        <w:t xml:space="preserve"> of outcomes under ‘what-if’ scenarios. </w:t>
      </w:r>
      <w:r w:rsidR="00965E64" w:rsidRPr="00C759BB">
        <w:t xml:space="preserve">Here, for simplicity, </w:t>
      </w:r>
      <w:proofErr w:type="spellStart"/>
      <w:r w:rsidR="00965E64" w:rsidRPr="00C759BB">
        <w:t>Bayes</w:t>
      </w:r>
      <w:proofErr w:type="spellEnd"/>
      <w:r w:rsidR="00965E64" w:rsidRPr="00C759BB">
        <w:t xml:space="preserve"> nets are constructed using preliminary sets of conditional probabilities pertaining to two or three possible ranges of states for each node. Importantly, the distribution of conditional probabilities within each node captures the predicted response and associated uncertainty for that node, which can be derived from underlying quantitative models, d</w:t>
      </w:r>
      <w:r>
        <w:t>ata and/or expert opinion.  Figure</w:t>
      </w:r>
      <w:r w:rsidR="00965E64" w:rsidRPr="00C759BB">
        <w:t xml:space="preserve"> </w:t>
      </w:r>
      <w:r w:rsidR="007C31DB">
        <w:t>19</w:t>
      </w:r>
      <w:r w:rsidR="00965E64" w:rsidRPr="00C759BB">
        <w:t xml:space="preserve"> below present</w:t>
      </w:r>
      <w:r>
        <w:t>s</w:t>
      </w:r>
      <w:r w:rsidR="00965E64" w:rsidRPr="00C759BB">
        <w:t xml:space="preserve"> preliminary </w:t>
      </w:r>
      <w:proofErr w:type="spellStart"/>
      <w:r w:rsidR="00965E64" w:rsidRPr="00C759BB">
        <w:t>Bayes</w:t>
      </w:r>
      <w:proofErr w:type="spellEnd"/>
      <w:r w:rsidR="00965E64" w:rsidRPr="00C759BB">
        <w:t xml:space="preserve"> nets for coral reefs and seagrass systems elicited from a combination of literature review and expert opinion.  </w:t>
      </w:r>
    </w:p>
    <w:p w:rsidR="00965E64" w:rsidRPr="00C759BB" w:rsidRDefault="00965E64" w:rsidP="001B314A">
      <w:r w:rsidRPr="00C759BB">
        <w:t xml:space="preserve">Both </w:t>
      </w:r>
      <w:proofErr w:type="spellStart"/>
      <w:r w:rsidRPr="00C759BB">
        <w:t>Bayes</w:t>
      </w:r>
      <w:proofErr w:type="spellEnd"/>
      <w:r w:rsidRPr="00C759BB">
        <w:t xml:space="preserve"> nets are constructed consistently with the DPSIR framework – i.e. with drivers and activities (boating, dredging, storms, land-use, ocean warming) influencing pressures (e.g. structural damage, turbidity, nutrients), which in turn lead to impacts on values (e.g. coral growth and survival, fish survival, dugong and turtle survival). Note that drivers, activities and pressures are largely similar for the two ecosystems, which enables analyses of their responses to shared environmental scenarios. Both </w:t>
      </w:r>
      <w:proofErr w:type="spellStart"/>
      <w:r w:rsidRPr="00C759BB">
        <w:t>Bayes</w:t>
      </w:r>
      <w:proofErr w:type="spellEnd"/>
      <w:r w:rsidRPr="00C759BB">
        <w:t xml:space="preserve"> nets are shown in a baseline condition – i.e. illustrating the results of a benign scenario. Results of other scenarios can be analysed by directly manipulating the drivers and activities nodes. It is important to stress here that these </w:t>
      </w:r>
      <w:proofErr w:type="spellStart"/>
      <w:r w:rsidRPr="00C759BB">
        <w:t>Bayes</w:t>
      </w:r>
      <w:proofErr w:type="spellEnd"/>
      <w:r w:rsidRPr="00C759BB">
        <w:t xml:space="preserve"> net models do not represent separate modelling initiatives for the ecosystems and linked social-economic systems, but are simply a means to integrate the synoptic results of existing modelling efforts across a broad disciplinary spectrum.</w:t>
      </w:r>
    </w:p>
    <w:p w:rsidR="00C759BB" w:rsidRPr="00C759BB" w:rsidRDefault="00C759BB" w:rsidP="00C759BB">
      <w:pPr>
        <w:pStyle w:val="Tablecaption"/>
        <w:keepNext/>
        <w:keepLines/>
        <w:spacing w:line="276" w:lineRule="auto"/>
        <w:rPr>
          <w:rFonts w:asciiTheme="minorHAnsi" w:hAnsiTheme="minorHAnsi"/>
          <w:sz w:val="22"/>
          <w:szCs w:val="22"/>
        </w:rPr>
      </w:pPr>
    </w:p>
    <w:p w:rsidR="00C759BB" w:rsidRPr="00C759BB" w:rsidRDefault="00C759BB" w:rsidP="00C759BB">
      <w:pPr>
        <w:pStyle w:val="Tablecaption"/>
        <w:keepNext/>
        <w:keepLines/>
        <w:spacing w:line="276" w:lineRule="auto"/>
        <w:rPr>
          <w:rFonts w:asciiTheme="minorHAnsi" w:hAnsiTheme="minorHAnsi"/>
          <w:sz w:val="22"/>
          <w:szCs w:val="22"/>
        </w:rPr>
      </w:pPr>
    </w:p>
    <w:p w:rsidR="00C759BB" w:rsidRPr="00C759BB" w:rsidRDefault="00C759BB" w:rsidP="00C759BB">
      <w:pPr>
        <w:pStyle w:val="Tablecaption"/>
        <w:keepNext/>
        <w:keepLines/>
        <w:spacing w:line="276" w:lineRule="auto"/>
        <w:rPr>
          <w:rFonts w:asciiTheme="minorHAnsi" w:hAnsiTheme="minorHAnsi"/>
          <w:sz w:val="22"/>
          <w:szCs w:val="22"/>
        </w:rPr>
      </w:pPr>
    </w:p>
    <w:p w:rsidR="00C759BB" w:rsidRPr="00C759BB" w:rsidRDefault="00C759BB" w:rsidP="00C759BB">
      <w:pPr>
        <w:jc w:val="both"/>
      </w:pPr>
      <w:r w:rsidRPr="00C759BB">
        <w:t xml:space="preserve"> </w:t>
      </w:r>
    </w:p>
    <w:p w:rsidR="00C759BB" w:rsidRPr="00C759BB" w:rsidRDefault="00C759BB" w:rsidP="00C759BB">
      <w:pPr>
        <w:jc w:val="both"/>
      </w:pPr>
    </w:p>
    <w:p w:rsidR="00C759BB" w:rsidRPr="00C759BB" w:rsidRDefault="00C759BB" w:rsidP="00C759BB">
      <w:r w:rsidRPr="00C759BB">
        <w:br w:type="page"/>
      </w:r>
    </w:p>
    <w:p w:rsidR="00C759BB" w:rsidRPr="00216016" w:rsidRDefault="00C759BB" w:rsidP="00C759BB">
      <w:pPr>
        <w:jc w:val="both"/>
        <w:rPr>
          <w:b/>
          <w:sz w:val="28"/>
          <w:szCs w:val="28"/>
        </w:rPr>
      </w:pPr>
      <w:r w:rsidRPr="00216016">
        <w:rPr>
          <w:b/>
          <w:sz w:val="28"/>
          <w:szCs w:val="28"/>
        </w:rPr>
        <w:lastRenderedPageBreak/>
        <w:t>A</w:t>
      </w:r>
    </w:p>
    <w:p w:rsidR="00C759BB" w:rsidRDefault="00C759BB" w:rsidP="00C759BB">
      <w:pPr>
        <w:jc w:val="both"/>
      </w:pPr>
      <w:r>
        <w:rPr>
          <w:noProof/>
          <w:lang w:eastAsia="en-AU"/>
        </w:rPr>
        <w:drawing>
          <wp:inline distT="0" distB="0" distL="0" distR="0">
            <wp:extent cx="5836920" cy="2969595"/>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email"/>
                    <a:stretch>
                      <a:fillRect/>
                    </a:stretch>
                  </pic:blipFill>
                  <pic:spPr>
                    <a:xfrm>
                      <a:off x="0" y="0"/>
                      <a:ext cx="5836920" cy="2969595"/>
                    </a:xfrm>
                    <a:prstGeom prst="rect">
                      <a:avLst/>
                    </a:prstGeom>
                  </pic:spPr>
                </pic:pic>
              </a:graphicData>
            </a:graphic>
          </wp:inline>
        </w:drawing>
      </w:r>
    </w:p>
    <w:p w:rsidR="00C759BB" w:rsidRDefault="00C759BB" w:rsidP="00C759BB"/>
    <w:p w:rsidR="00C759BB" w:rsidRPr="00216016" w:rsidRDefault="00C759BB" w:rsidP="00C759BB">
      <w:pPr>
        <w:rPr>
          <w:b/>
          <w:sz w:val="28"/>
          <w:szCs w:val="28"/>
        </w:rPr>
      </w:pPr>
      <w:r w:rsidRPr="00216016">
        <w:rPr>
          <w:b/>
          <w:sz w:val="28"/>
          <w:szCs w:val="28"/>
        </w:rPr>
        <w:t>B</w:t>
      </w:r>
    </w:p>
    <w:p w:rsidR="00C759BB" w:rsidRDefault="00C759BB" w:rsidP="00C759BB">
      <w:r>
        <w:rPr>
          <w:noProof/>
          <w:lang w:eastAsia="en-AU"/>
        </w:rPr>
        <w:drawing>
          <wp:inline distT="0" distB="0" distL="0" distR="0">
            <wp:extent cx="5836920" cy="23890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email"/>
                    <a:stretch>
                      <a:fillRect/>
                    </a:stretch>
                  </pic:blipFill>
                  <pic:spPr>
                    <a:xfrm>
                      <a:off x="0" y="0"/>
                      <a:ext cx="5836920" cy="2389021"/>
                    </a:xfrm>
                    <a:prstGeom prst="rect">
                      <a:avLst/>
                    </a:prstGeom>
                  </pic:spPr>
                </pic:pic>
              </a:graphicData>
            </a:graphic>
          </wp:inline>
        </w:drawing>
      </w:r>
    </w:p>
    <w:p w:rsidR="00C759BB" w:rsidRDefault="00C759BB" w:rsidP="00C759BB">
      <w:pPr>
        <w:rPr>
          <w:highlight w:val="yellow"/>
        </w:rPr>
      </w:pPr>
    </w:p>
    <w:p w:rsidR="00C759BB" w:rsidRPr="00B15556" w:rsidRDefault="007C7635" w:rsidP="001B314A">
      <w:pPr>
        <w:rPr>
          <w:sz w:val="20"/>
          <w:szCs w:val="20"/>
        </w:rPr>
      </w:pPr>
      <w:proofErr w:type="gramStart"/>
      <w:r w:rsidRPr="007C7635">
        <w:rPr>
          <w:b/>
          <w:sz w:val="20"/>
          <w:szCs w:val="20"/>
        </w:rPr>
        <w:t>Figure</w:t>
      </w:r>
      <w:r w:rsidR="00C759BB" w:rsidRPr="007C7635">
        <w:rPr>
          <w:b/>
          <w:sz w:val="20"/>
          <w:szCs w:val="20"/>
        </w:rPr>
        <w:t xml:space="preserve"> </w:t>
      </w:r>
      <w:r w:rsidRPr="007C7635">
        <w:rPr>
          <w:b/>
          <w:sz w:val="20"/>
          <w:szCs w:val="20"/>
        </w:rPr>
        <w:t>1</w:t>
      </w:r>
      <w:r w:rsidR="00F548F8">
        <w:rPr>
          <w:b/>
          <w:sz w:val="20"/>
          <w:szCs w:val="20"/>
        </w:rPr>
        <w:t>9</w:t>
      </w:r>
      <w:r w:rsidR="00C759BB" w:rsidRPr="007C7635">
        <w:rPr>
          <w:b/>
          <w:sz w:val="20"/>
          <w:szCs w:val="20"/>
        </w:rPr>
        <w:t>.</w:t>
      </w:r>
      <w:proofErr w:type="gramEnd"/>
      <w:r w:rsidR="00C759BB">
        <w:rPr>
          <w:sz w:val="20"/>
          <w:szCs w:val="20"/>
        </w:rPr>
        <w:t xml:space="preserve">  Example </w:t>
      </w:r>
      <w:proofErr w:type="spellStart"/>
      <w:r w:rsidR="00C759BB">
        <w:rPr>
          <w:sz w:val="20"/>
          <w:szCs w:val="20"/>
        </w:rPr>
        <w:t>Bayes</w:t>
      </w:r>
      <w:proofErr w:type="spellEnd"/>
      <w:r w:rsidR="00C759BB">
        <w:rPr>
          <w:sz w:val="20"/>
          <w:szCs w:val="20"/>
        </w:rPr>
        <w:t xml:space="preserve"> net for </w:t>
      </w:r>
      <w:r>
        <w:rPr>
          <w:sz w:val="20"/>
          <w:szCs w:val="20"/>
        </w:rPr>
        <w:t xml:space="preserve">(A) </w:t>
      </w:r>
      <w:r w:rsidR="00C759BB">
        <w:rPr>
          <w:sz w:val="20"/>
          <w:szCs w:val="20"/>
        </w:rPr>
        <w:t xml:space="preserve">coral reefs and </w:t>
      </w:r>
      <w:r>
        <w:rPr>
          <w:sz w:val="20"/>
          <w:szCs w:val="20"/>
        </w:rPr>
        <w:t xml:space="preserve">(B) </w:t>
      </w:r>
      <w:r w:rsidR="00C759BB">
        <w:rPr>
          <w:sz w:val="20"/>
          <w:szCs w:val="20"/>
        </w:rPr>
        <w:t xml:space="preserve">seagrass ecosystems.  Here, drivers and activities are set to a baseline scenario. BMP and </w:t>
      </w:r>
      <w:proofErr w:type="spellStart"/>
      <w:r w:rsidR="00C759BB">
        <w:rPr>
          <w:sz w:val="20"/>
          <w:szCs w:val="20"/>
        </w:rPr>
        <w:t>BaU</w:t>
      </w:r>
      <w:proofErr w:type="spellEnd"/>
      <w:r w:rsidR="00C759BB">
        <w:rPr>
          <w:sz w:val="20"/>
          <w:szCs w:val="20"/>
        </w:rPr>
        <w:t xml:space="preserve"> represent Best Management </w:t>
      </w:r>
      <w:proofErr w:type="gramStart"/>
      <w:r w:rsidR="00C759BB">
        <w:rPr>
          <w:sz w:val="20"/>
          <w:szCs w:val="20"/>
        </w:rPr>
        <w:t>Practices,</w:t>
      </w:r>
      <w:proofErr w:type="gramEnd"/>
      <w:r w:rsidR="00C759BB">
        <w:rPr>
          <w:sz w:val="20"/>
          <w:szCs w:val="20"/>
        </w:rPr>
        <w:t xml:space="preserve"> and Business as Usual, respectively. The distribution of probabilities within each node is indicative of uncertainties in responses and the strength of the causal relationships. </w:t>
      </w:r>
    </w:p>
    <w:p w:rsidR="00C759BB" w:rsidRDefault="00C759BB" w:rsidP="00C759BB">
      <w:pPr>
        <w:rPr>
          <w:b/>
          <w:i/>
          <w:sz w:val="28"/>
          <w:szCs w:val="28"/>
        </w:rPr>
      </w:pPr>
    </w:p>
    <w:p w:rsidR="00127FBB" w:rsidRDefault="00127FBB" w:rsidP="009975C8"/>
    <w:p w:rsidR="006B3E5F" w:rsidRDefault="006B3E5F" w:rsidP="00737D3A">
      <w:pPr>
        <w:rPr>
          <w:highlight w:val="yellow"/>
        </w:rPr>
      </w:pPr>
    </w:p>
    <w:p w:rsidR="006B3E5F" w:rsidRPr="00A77840" w:rsidRDefault="007A6C38" w:rsidP="006B3E5F">
      <w:pPr>
        <w:pBdr>
          <w:top w:val="single" w:sz="4" w:space="1" w:color="auto"/>
          <w:left w:val="single" w:sz="4" w:space="4" w:color="auto"/>
          <w:bottom w:val="single" w:sz="4" w:space="1" w:color="auto"/>
          <w:right w:val="single" w:sz="4" w:space="4" w:color="auto"/>
        </w:pBdr>
        <w:rPr>
          <w:b/>
          <w:i/>
        </w:rPr>
      </w:pPr>
      <w:r w:rsidRPr="00A77840">
        <w:rPr>
          <w:b/>
          <w:i/>
        </w:rPr>
        <w:lastRenderedPageBreak/>
        <w:t xml:space="preserve">Box </w:t>
      </w:r>
      <w:r w:rsidR="002D57ED" w:rsidRPr="00A77840">
        <w:rPr>
          <w:b/>
          <w:i/>
        </w:rPr>
        <w:t>4</w:t>
      </w:r>
      <w:r w:rsidRPr="00A77840">
        <w:rPr>
          <w:b/>
          <w:i/>
        </w:rPr>
        <w:t xml:space="preserve">. Agent-based modelling </w:t>
      </w:r>
    </w:p>
    <w:p w:rsidR="00AF4F32" w:rsidRDefault="00965E64" w:rsidP="00AF4F32">
      <w:pPr>
        <w:pBdr>
          <w:top w:val="single" w:sz="4" w:space="1" w:color="auto"/>
          <w:left w:val="single" w:sz="4" w:space="4" w:color="auto"/>
          <w:bottom w:val="single" w:sz="4" w:space="1" w:color="auto"/>
          <w:right w:val="single" w:sz="4" w:space="4" w:color="auto"/>
        </w:pBdr>
      </w:pPr>
      <w:r>
        <w:t>A</w:t>
      </w:r>
      <w:r w:rsidR="007C7635">
        <w:t xml:space="preserve">longside </w:t>
      </w:r>
      <w:proofErr w:type="spellStart"/>
      <w:r w:rsidR="007C7635">
        <w:t>Bayes</w:t>
      </w:r>
      <w:proofErr w:type="spellEnd"/>
      <w:r w:rsidR="007C7635">
        <w:t xml:space="preserve"> nets, a</w:t>
      </w:r>
      <w:r w:rsidR="00AF4F32">
        <w:t xml:space="preserve">n Agent-based modelling (ABM) prototype </w:t>
      </w:r>
      <w:r w:rsidR="00A77840">
        <w:t>has been</w:t>
      </w:r>
      <w:r w:rsidR="00AF4F32">
        <w:t xml:space="preserve"> developed in this project </w:t>
      </w:r>
      <w:r w:rsidR="00AC0207">
        <w:t>to illustrate</w:t>
      </w:r>
      <w:r w:rsidR="00AF4F32">
        <w:t xml:space="preserve"> how complex systems methods can assist adaptive modelling and management.  </w:t>
      </w:r>
      <w:r w:rsidR="009B068B">
        <w:t xml:space="preserve">ABM compliments existing tools and augments decision-makers’ capacity to make better decisions.  It is not prescriptive, but exploratory.  Through its use managers improve their system understanding and can discover novel pathways to preferred outcomes. </w:t>
      </w:r>
      <w:r w:rsidR="00AC0207">
        <w:t>ABM</w:t>
      </w:r>
      <w:r w:rsidR="00AF4F32">
        <w:t xml:space="preserve"> is a modelling approach that captures cause and effect relationships at a micro scale in systems expressing cumulative impacts at </w:t>
      </w:r>
      <w:r w:rsidR="00AC0207">
        <w:t>a micro, intermediary and macro-</w:t>
      </w:r>
      <w:r w:rsidR="00AF4F32">
        <w:t>scale</w:t>
      </w:r>
      <w:r w:rsidR="00A77840">
        <w:t xml:space="preserve"> </w:t>
      </w:r>
      <w:r w:rsidR="00AC0207">
        <w:t>(Epstein, 1999).  In this model,</w:t>
      </w:r>
      <w:r w:rsidR="00AF4F32">
        <w:t xml:space="preserve"> spatial and temporal representation of seagrass communities and coral reefs are created as agents </w:t>
      </w:r>
      <w:r w:rsidR="00AC0207">
        <w:t>that interact</w:t>
      </w:r>
      <w:r w:rsidR="00AF4F32">
        <w:t xml:space="preserve"> with environmental variables such </w:t>
      </w:r>
      <w:r w:rsidR="00AC0207">
        <w:t>as water quality.  The LMTP, MMP</w:t>
      </w:r>
      <w:r w:rsidR="00AF4F32">
        <w:t xml:space="preserve"> and other monitoring data</w:t>
      </w:r>
      <w:r w:rsidR="00AC0207">
        <w:t xml:space="preserve"> provide insight into the scale</w:t>
      </w:r>
      <w:r w:rsidR="00AF4F32">
        <w:t xml:space="preserve"> and </w:t>
      </w:r>
      <w:r w:rsidR="00AC0207">
        <w:t>nature of interactions</w:t>
      </w:r>
      <w:r w:rsidR="00AF4F32">
        <w:t xml:space="preserve">.  Managers </w:t>
      </w:r>
      <w:r w:rsidR="00AC0207">
        <w:t>pull</w:t>
      </w:r>
      <w:r w:rsidR="00AF4F32">
        <w:t xml:space="preserve"> </w:t>
      </w:r>
      <w:r w:rsidR="00AC0207">
        <w:t>‘management levers’</w:t>
      </w:r>
      <w:r w:rsidR="00AF4F32">
        <w:t xml:space="preserve"> to explore how they might adapt management practices under varying conditions.</w:t>
      </w:r>
      <w:r w:rsidR="007C7635">
        <w:t xml:space="preserve">  </w:t>
      </w:r>
    </w:p>
    <w:p w:rsidR="00AF4F32" w:rsidRDefault="00AF4F32" w:rsidP="00AF4F32">
      <w:pPr>
        <w:pBdr>
          <w:top w:val="single" w:sz="4" w:space="1" w:color="auto"/>
          <w:left w:val="single" w:sz="4" w:space="4" w:color="auto"/>
          <w:bottom w:val="single" w:sz="4" w:space="1" w:color="auto"/>
          <w:right w:val="single" w:sz="4" w:space="4" w:color="auto"/>
        </w:pBdr>
      </w:pPr>
      <w:r>
        <w:t>ABM</w:t>
      </w:r>
      <w:r w:rsidR="00AC0207">
        <w:t>s</w:t>
      </w:r>
      <w:r>
        <w:t xml:space="preserve"> are commonly used to dynamically interact with system changes through time and space. For the IMP </w:t>
      </w:r>
      <w:r w:rsidR="00AC0207">
        <w:t>t</w:t>
      </w:r>
      <w:r>
        <w:t>he investigation of cumulative effects of key system drivers, impacts, and pressures (</w:t>
      </w:r>
      <w:r w:rsidR="002C0526">
        <w:t>e.g.</w:t>
      </w:r>
      <w:r>
        <w:t xml:space="preserve"> nutrient loading) aligned with LTSP 2050 targets</w:t>
      </w:r>
      <w:r w:rsidR="00AC0207">
        <w:t xml:space="preserve"> are especially relevant</w:t>
      </w:r>
      <w:r>
        <w:t>.</w:t>
      </w:r>
      <w:r w:rsidRPr="0039619B">
        <w:t xml:space="preserve"> </w:t>
      </w:r>
      <w:r>
        <w:t xml:space="preserve"> </w:t>
      </w:r>
      <w:r w:rsidR="00AC0207">
        <w:t>ABMs also allow s</w:t>
      </w:r>
      <w:r>
        <w:t xml:space="preserve">ensitivity analysis of </w:t>
      </w:r>
      <w:r w:rsidRPr="00520864">
        <w:t xml:space="preserve">LTSP2050 </w:t>
      </w:r>
      <w:r>
        <w:t xml:space="preserve">targets </w:t>
      </w:r>
      <w:r w:rsidR="00AC0207">
        <w:t xml:space="preserve">and </w:t>
      </w:r>
      <w:r>
        <w:t xml:space="preserve">thresholds </w:t>
      </w:r>
      <w:r w:rsidR="00AC0207">
        <w:t>to dynamic drivers and pressures, and</w:t>
      </w:r>
      <w:r>
        <w:t xml:space="preserve"> </w:t>
      </w:r>
      <w:r w:rsidR="00AC0207">
        <w:t>exploration of alternative</w:t>
      </w:r>
      <w:r>
        <w:t xml:space="preserve"> management options</w:t>
      </w:r>
      <w:r w:rsidR="00AC0207">
        <w:t>,</w:t>
      </w:r>
      <w:r>
        <w:t xml:space="preserve"> including the identification of novel management solutions.  </w:t>
      </w:r>
    </w:p>
    <w:p w:rsidR="007C7635" w:rsidRDefault="00AF4F32" w:rsidP="006B3E5F">
      <w:pPr>
        <w:pBdr>
          <w:top w:val="single" w:sz="4" w:space="1" w:color="auto"/>
          <w:left w:val="single" w:sz="4" w:space="4" w:color="auto"/>
          <w:bottom w:val="single" w:sz="4" w:space="1" w:color="auto"/>
          <w:right w:val="single" w:sz="4" w:space="4" w:color="auto"/>
        </w:pBdr>
      </w:pPr>
      <w:r>
        <w:t>The prototype focuses on water quality with each monitoring source represented through an individual spatial layer.  Multiple water quality data sources (</w:t>
      </w:r>
      <w:proofErr w:type="spellStart"/>
      <w:r>
        <w:t>TropWater</w:t>
      </w:r>
      <w:proofErr w:type="spellEnd"/>
      <w:r>
        <w:t xml:space="preserve">, LTMP and MMP) are </w:t>
      </w:r>
      <w:r w:rsidR="00AC0207">
        <w:t>included</w:t>
      </w:r>
      <w:r>
        <w:t xml:space="preserve">.  Data </w:t>
      </w:r>
      <w:r w:rsidR="00AC0207">
        <w:t xml:space="preserve">describing </w:t>
      </w:r>
      <w:r>
        <w:t xml:space="preserve">seagrass and coral initial states are loaded.  Seagrass and coral growth models were adapted from </w:t>
      </w:r>
      <w:r w:rsidR="00AC0207">
        <w:t xml:space="preserve">Beth </w:t>
      </w:r>
      <w:r>
        <w:t xml:space="preserve">Fulton’s work associated with the </w:t>
      </w:r>
      <w:r w:rsidR="00AC0207">
        <w:t>Gladstone Healthy Harbour Partnership</w:t>
      </w:r>
      <w:r>
        <w:t xml:space="preserve"> (originall</w:t>
      </w:r>
      <w:r w:rsidR="00AC0207">
        <w:t xml:space="preserve">y from </w:t>
      </w:r>
      <w:proofErr w:type="spellStart"/>
      <w:r w:rsidR="00AC0207">
        <w:t>Engelen</w:t>
      </w:r>
      <w:proofErr w:type="spellEnd"/>
      <w:r w:rsidR="00AC0207">
        <w:t xml:space="preserve"> et al., 1997).  When fully developed, m</w:t>
      </w:r>
      <w:r>
        <w:t>anager</w:t>
      </w:r>
      <w:r w:rsidR="00965E64">
        <w:t xml:space="preserve">s </w:t>
      </w:r>
      <w:r w:rsidR="00A77840">
        <w:t>can</w:t>
      </w:r>
      <w:r w:rsidR="00965E64">
        <w:t xml:space="preserve"> interrogate the ABM to </w:t>
      </w:r>
      <w:r w:rsidR="00AC0207">
        <w:t>better</w:t>
      </w:r>
      <w:r>
        <w:t xml:space="preserve"> understand consequences of specific scenarios. </w:t>
      </w:r>
    </w:p>
    <w:p w:rsidR="00AF4F32" w:rsidRDefault="00A77840" w:rsidP="006B3E5F">
      <w:pPr>
        <w:pBdr>
          <w:top w:val="single" w:sz="4" w:space="1" w:color="auto"/>
          <w:left w:val="single" w:sz="4" w:space="4" w:color="auto"/>
          <w:bottom w:val="single" w:sz="4" w:space="1" w:color="auto"/>
          <w:right w:val="single" w:sz="4" w:space="4" w:color="auto"/>
        </w:pBdr>
      </w:pPr>
      <w:r>
        <w:t>This report uses</w:t>
      </w:r>
      <w:r w:rsidR="007C7635">
        <w:t xml:space="preserve"> </w:t>
      </w:r>
      <w:proofErr w:type="spellStart"/>
      <w:r w:rsidR="007C7635">
        <w:t>Bayes</w:t>
      </w:r>
      <w:proofErr w:type="spellEnd"/>
      <w:r w:rsidR="007C7635">
        <w:t xml:space="preserve"> nets as summary models, synthesising </w:t>
      </w:r>
      <w:proofErr w:type="gramStart"/>
      <w:r w:rsidR="007C7635">
        <w:t xml:space="preserve">the </w:t>
      </w:r>
      <w:r w:rsidR="00AF4F32">
        <w:t xml:space="preserve"> </w:t>
      </w:r>
      <w:r w:rsidR="007C7635">
        <w:t>insights</w:t>
      </w:r>
      <w:proofErr w:type="gramEnd"/>
      <w:r w:rsidR="007C7635">
        <w:t xml:space="preserve"> of </w:t>
      </w:r>
      <w:r w:rsidR="002C0526">
        <w:t>existing</w:t>
      </w:r>
      <w:r w:rsidR="007C7635">
        <w:t xml:space="preserve"> theory, </w:t>
      </w:r>
      <w:r w:rsidR="002C0526">
        <w:t>observation</w:t>
      </w:r>
      <w:r w:rsidR="007C7635">
        <w:t xml:space="preserve">  </w:t>
      </w:r>
      <w:r>
        <w:t>and modelling.  In future, w</w:t>
      </w:r>
      <w:r w:rsidR="007C7635">
        <w:t xml:space="preserve">e </w:t>
      </w:r>
      <w:r>
        <w:t>intend to</w:t>
      </w:r>
      <w:r w:rsidR="007C7635">
        <w:t xml:space="preserve"> </w:t>
      </w:r>
      <w:r>
        <w:t xml:space="preserve">refine these summary models through </w:t>
      </w:r>
      <w:r w:rsidR="007C7635">
        <w:t xml:space="preserve">further </w:t>
      </w:r>
      <w:r>
        <w:t>development of ABMs, with emphases on</w:t>
      </w:r>
      <w:r w:rsidR="007C7635">
        <w:t xml:space="preserve"> (a) temporal dynamics and (b) feedback loops, both of which are difficult to capture in </w:t>
      </w:r>
      <w:proofErr w:type="spellStart"/>
      <w:r w:rsidR="007C7635">
        <w:t>Bayes</w:t>
      </w:r>
      <w:proofErr w:type="spellEnd"/>
      <w:r w:rsidR="007C7635">
        <w:t xml:space="preserve"> nets.</w:t>
      </w:r>
    </w:p>
    <w:p w:rsidR="00AF4F32" w:rsidRDefault="00AF4F32" w:rsidP="00AF4F32">
      <w:pPr>
        <w:keepNext/>
        <w:spacing w:after="0" w:line="240" w:lineRule="auto"/>
      </w:pPr>
    </w:p>
    <w:p w:rsidR="009975C8" w:rsidRDefault="009975C8" w:rsidP="009975C8"/>
    <w:p w:rsidR="00783F5F" w:rsidRPr="00935666" w:rsidRDefault="00783F5F" w:rsidP="00935666">
      <w:pPr>
        <w:spacing w:after="0" w:line="240" w:lineRule="auto"/>
        <w:sectPr w:rsidR="00783F5F" w:rsidRPr="00935666" w:rsidSect="002B6E03">
          <w:footerReference w:type="first" r:id="rId73"/>
          <w:pgSz w:w="11906" w:h="16838"/>
          <w:pgMar w:top="1440" w:right="1274" w:bottom="1440" w:left="1440" w:header="708" w:footer="708" w:gutter="0"/>
          <w:pgNumType w:start="1"/>
          <w:cols w:space="708"/>
          <w:titlePg/>
          <w:docGrid w:linePitch="360"/>
        </w:sectPr>
      </w:pPr>
    </w:p>
    <w:p w:rsidR="00027D1C" w:rsidRPr="00027D1C" w:rsidRDefault="00490F2E" w:rsidP="00FA7CE7">
      <w:pPr>
        <w:pStyle w:val="Heading3"/>
      </w:pPr>
      <w:bookmarkStart w:id="21" w:name="_Toc406768048"/>
      <w:r>
        <w:lastRenderedPageBreak/>
        <w:t xml:space="preserve">4.2 </w:t>
      </w:r>
      <w:r w:rsidR="00027D1C" w:rsidRPr="00027D1C">
        <w:t>Combining models and monit</w:t>
      </w:r>
      <w:r w:rsidR="008C3875">
        <w:t>or</w:t>
      </w:r>
      <w:r w:rsidR="00027D1C" w:rsidRPr="00027D1C">
        <w:t>ing data in risk-based adaptive management</w:t>
      </w:r>
      <w:r w:rsidR="006401CF">
        <w:t xml:space="preserve"> and adaptive monitoring</w:t>
      </w:r>
      <w:bookmarkEnd w:id="21"/>
    </w:p>
    <w:p w:rsidR="00B15E8E" w:rsidRPr="00FA7CE7" w:rsidRDefault="00807250" w:rsidP="00FA7CE7">
      <w:r>
        <w:t>Ideally, integrated monitoring encompasses three separate but related components in an adaptive cycle: adaptive design, adaptive monitoring and adaptive learning.  A</w:t>
      </w:r>
      <w:r>
        <w:rPr>
          <w:rFonts w:cs="t1-gul-regular"/>
          <w:color w:val="000000"/>
        </w:rPr>
        <w:t>daptive design makes use of currently available data, ideally across multiple sources and sensor types, in order to make an informed decision about</w:t>
      </w:r>
      <w:r>
        <w:t xml:space="preserve"> </w:t>
      </w:r>
      <w:r>
        <w:rPr>
          <w:rFonts w:cs="t1-gul-regular"/>
          <w:color w:val="000000"/>
        </w:rPr>
        <w:t xml:space="preserve">the selection of the next set of design points.  While many different sets of observations could be selected at each design point, there are very few sets near the optimum. The observation of the next set of design points constitutes adaptive monitoring and comparisons between current and past observations support adaptive learning. </w:t>
      </w:r>
      <w:r w:rsidRPr="00F87F44">
        <w:rPr>
          <w:rFonts w:cs="t1-gul-regular"/>
          <w:color w:val="000000"/>
        </w:rPr>
        <w:t xml:space="preserve">By incorporating predictive modelling into an integrated monitoring </w:t>
      </w:r>
      <w:r>
        <w:rPr>
          <w:rFonts w:cs="t1-gul-regular"/>
          <w:color w:val="000000"/>
        </w:rPr>
        <w:t>program</w:t>
      </w:r>
      <w:r w:rsidRPr="00F87F44">
        <w:rPr>
          <w:rFonts w:cs="t1-gul-regular"/>
          <w:color w:val="000000"/>
        </w:rPr>
        <w:t>, adaptive learning can be accelerated, decision support enhanced and information gaps prioritized in future designs</w:t>
      </w:r>
      <w:r>
        <w:rPr>
          <w:rFonts w:cs="t1-gul-regular"/>
          <w:color w:val="000000"/>
        </w:rPr>
        <w:t>.</w:t>
      </w:r>
    </w:p>
    <w:p w:rsidR="00B15E8E" w:rsidRPr="006014E0" w:rsidRDefault="00B15E8E" w:rsidP="00B15E8E">
      <w:r>
        <w:t xml:space="preserve">When designing a monitoring program (or assessing the adequacy of current arrangements) a regulator’s foremost concern is </w:t>
      </w:r>
      <w:r w:rsidR="00A778B6">
        <w:t>false success or a false sense of security</w:t>
      </w:r>
      <w:r>
        <w:t>.  That is, the risk monitoring will report benign outcomes when in fact harm has occurred.  To illustrate, consider this scenario</w:t>
      </w:r>
      <w:r w:rsidR="00A778B6">
        <w:t xml:space="preserve"> (adapted from Eddy 1982)</w:t>
      </w:r>
      <w:r>
        <w:t>:</w:t>
      </w:r>
    </w:p>
    <w:p w:rsidR="00B15E8E" w:rsidRPr="004C713F" w:rsidRDefault="00B15E8E" w:rsidP="00A778B6">
      <w:pPr>
        <w:ind w:left="426" w:right="970"/>
        <w:rPr>
          <w:i/>
        </w:rPr>
      </w:pPr>
      <w:r w:rsidRPr="004C713F">
        <w:rPr>
          <w:i/>
        </w:rPr>
        <w:t xml:space="preserve">Imagine a project that </w:t>
      </w:r>
      <w:r>
        <w:rPr>
          <w:i/>
        </w:rPr>
        <w:t>government</w:t>
      </w:r>
      <w:r w:rsidRPr="004C713F">
        <w:rPr>
          <w:i/>
        </w:rPr>
        <w:t xml:space="preserve"> approves conditional on </w:t>
      </w:r>
      <w:r w:rsidR="00A778B6">
        <w:rPr>
          <w:i/>
        </w:rPr>
        <w:t xml:space="preserve">implementation of </w:t>
      </w:r>
      <w:r w:rsidRPr="004C713F">
        <w:rPr>
          <w:i/>
        </w:rPr>
        <w:t xml:space="preserve">an acceptable monitoring </w:t>
      </w:r>
      <w:r w:rsidR="00A778B6">
        <w:rPr>
          <w:i/>
        </w:rPr>
        <w:t>regime</w:t>
      </w:r>
      <w:r w:rsidRPr="004C713F">
        <w:rPr>
          <w:i/>
        </w:rPr>
        <w:t xml:space="preserve">.  The </w:t>
      </w:r>
      <w:r>
        <w:rPr>
          <w:i/>
        </w:rPr>
        <w:t>regulator</w:t>
      </w:r>
      <w:r w:rsidRPr="004C713F">
        <w:rPr>
          <w:i/>
        </w:rPr>
        <w:t xml:space="preserve"> is uneasy about the project, but not so concerned that it can justify non-approval.  </w:t>
      </w:r>
      <w:r w:rsidR="003453CE">
        <w:rPr>
          <w:i/>
        </w:rPr>
        <w:t>Using a model, i</w:t>
      </w:r>
      <w:r>
        <w:rPr>
          <w:i/>
        </w:rPr>
        <w:t xml:space="preserve">t </w:t>
      </w:r>
      <w:r w:rsidRPr="004C713F">
        <w:rPr>
          <w:i/>
        </w:rPr>
        <w:t>estimate</w:t>
      </w:r>
      <w:r>
        <w:rPr>
          <w:i/>
        </w:rPr>
        <w:t>s</w:t>
      </w:r>
      <w:r w:rsidRPr="004C713F">
        <w:rPr>
          <w:i/>
        </w:rPr>
        <w:t xml:space="preserve"> that the chance</w:t>
      </w:r>
      <w:r w:rsidR="003453CE">
        <w:rPr>
          <w:i/>
        </w:rPr>
        <w:t>, P,</w:t>
      </w:r>
      <w:r w:rsidRPr="004C713F">
        <w:rPr>
          <w:i/>
        </w:rPr>
        <w:t xml:space="preserve"> of </w:t>
      </w:r>
      <w:r>
        <w:rPr>
          <w:i/>
        </w:rPr>
        <w:t>harm to</w:t>
      </w:r>
      <w:r w:rsidRPr="004C713F">
        <w:rPr>
          <w:i/>
        </w:rPr>
        <w:t xml:space="preserve"> </w:t>
      </w:r>
      <w:r>
        <w:rPr>
          <w:i/>
        </w:rPr>
        <w:t>dugongs</w:t>
      </w:r>
      <w:r w:rsidRPr="004C713F">
        <w:rPr>
          <w:i/>
        </w:rPr>
        <w:t xml:space="preserve"> is </w:t>
      </w:r>
      <w:r>
        <w:rPr>
          <w:i/>
        </w:rPr>
        <w:t>1</w:t>
      </w:r>
      <w:r w:rsidR="00C955DF">
        <w:rPr>
          <w:i/>
        </w:rPr>
        <w:t>5</w:t>
      </w:r>
      <w:r w:rsidRPr="004C713F">
        <w:rPr>
          <w:i/>
        </w:rPr>
        <w:t xml:space="preserve">%. The proponent’s </w:t>
      </w:r>
      <w:r w:rsidR="00A778B6">
        <w:rPr>
          <w:i/>
        </w:rPr>
        <w:t xml:space="preserve">monitoring program is </w:t>
      </w:r>
      <w:r>
        <w:rPr>
          <w:i/>
        </w:rPr>
        <w:t xml:space="preserve">refreshingly </w:t>
      </w:r>
      <w:r w:rsidR="00A778B6">
        <w:rPr>
          <w:i/>
        </w:rPr>
        <w:t>clear about its accuracy and precision</w:t>
      </w:r>
      <w:r w:rsidRPr="004C713F">
        <w:rPr>
          <w:i/>
        </w:rPr>
        <w:t xml:space="preserve">.  The sampling strategy detailed in the </w:t>
      </w:r>
      <w:r w:rsidR="00A778B6">
        <w:rPr>
          <w:i/>
        </w:rPr>
        <w:t>program</w:t>
      </w:r>
      <w:r w:rsidRPr="004C713F">
        <w:rPr>
          <w:i/>
        </w:rPr>
        <w:t xml:space="preserve"> is capable of detecting </w:t>
      </w:r>
      <w:r>
        <w:rPr>
          <w:i/>
        </w:rPr>
        <w:t>harm</w:t>
      </w:r>
      <w:r w:rsidRPr="004C713F">
        <w:rPr>
          <w:i/>
        </w:rPr>
        <w:t xml:space="preserve"> in </w:t>
      </w:r>
      <w:r>
        <w:rPr>
          <w:i/>
        </w:rPr>
        <w:t>80</w:t>
      </w:r>
      <w:r w:rsidRPr="004C713F">
        <w:rPr>
          <w:i/>
        </w:rPr>
        <w:t xml:space="preserve">% of cases, but will fail to detect </w:t>
      </w:r>
      <w:r>
        <w:rPr>
          <w:i/>
        </w:rPr>
        <w:t>20</w:t>
      </w:r>
      <w:r w:rsidRPr="004C713F">
        <w:rPr>
          <w:i/>
        </w:rPr>
        <w:t>% of the time</w:t>
      </w:r>
      <w:r w:rsidR="003453CE">
        <w:rPr>
          <w:i/>
        </w:rPr>
        <w:t xml:space="preserve"> </w:t>
      </w:r>
      <w:r w:rsidR="003453CE" w:rsidRPr="003453CE">
        <w:t>(</w:t>
      </w:r>
      <w:r w:rsidR="003453CE">
        <w:rPr>
          <w:i/>
        </w:rPr>
        <w:t xml:space="preserve">β </w:t>
      </w:r>
      <w:r w:rsidR="003453CE" w:rsidRPr="003453CE">
        <w:t>= 0.20</w:t>
      </w:r>
      <w:r w:rsidR="003453CE">
        <w:rPr>
          <w:i/>
        </w:rPr>
        <w:t>)</w:t>
      </w:r>
      <w:r w:rsidRPr="004C713F">
        <w:rPr>
          <w:i/>
        </w:rPr>
        <w:t xml:space="preserve">. Likewise it will correctly identify benign impacts </w:t>
      </w:r>
      <w:r>
        <w:rPr>
          <w:i/>
        </w:rPr>
        <w:t>80</w:t>
      </w:r>
      <w:r w:rsidRPr="004C713F">
        <w:rPr>
          <w:i/>
        </w:rPr>
        <w:t xml:space="preserve">% of the time, and incorrectly report </w:t>
      </w:r>
      <w:r>
        <w:rPr>
          <w:i/>
        </w:rPr>
        <w:t>harm</w:t>
      </w:r>
      <w:r w:rsidRPr="004C713F">
        <w:rPr>
          <w:i/>
        </w:rPr>
        <w:t xml:space="preserve"> </w:t>
      </w:r>
      <w:r>
        <w:rPr>
          <w:i/>
        </w:rPr>
        <w:t>20</w:t>
      </w:r>
      <w:r w:rsidRPr="004C713F">
        <w:rPr>
          <w:i/>
        </w:rPr>
        <w:t>% of the time</w:t>
      </w:r>
      <w:r w:rsidR="003453CE">
        <w:rPr>
          <w:i/>
        </w:rPr>
        <w:t xml:space="preserve"> </w:t>
      </w:r>
      <w:r w:rsidR="003453CE" w:rsidRPr="003453CE">
        <w:t>(</w:t>
      </w:r>
      <w:r w:rsidR="003453CE">
        <w:rPr>
          <w:i/>
        </w:rPr>
        <w:t xml:space="preserve">α </w:t>
      </w:r>
      <w:r w:rsidR="003453CE" w:rsidRPr="003453CE">
        <w:t>= 0.20</w:t>
      </w:r>
      <w:r w:rsidR="003453CE">
        <w:rPr>
          <w:i/>
        </w:rPr>
        <w:t>)</w:t>
      </w:r>
      <w:r w:rsidRPr="004C713F">
        <w:rPr>
          <w:i/>
        </w:rPr>
        <w:t xml:space="preserve">.  The project goes ahead and the monitoring plan implemented.  No </w:t>
      </w:r>
      <w:r>
        <w:rPr>
          <w:i/>
        </w:rPr>
        <w:t>harm is</w:t>
      </w:r>
      <w:r w:rsidRPr="004C713F">
        <w:rPr>
          <w:i/>
        </w:rPr>
        <w:t xml:space="preserve"> detected.  </w:t>
      </w:r>
    </w:p>
    <w:p w:rsidR="00B15E8E" w:rsidRPr="008C0322" w:rsidRDefault="00B15E8E" w:rsidP="00A778B6">
      <w:pPr>
        <w:ind w:left="426" w:right="970"/>
        <w:rPr>
          <w:b/>
        </w:rPr>
      </w:pPr>
      <w:r w:rsidRPr="004C713F">
        <w:rPr>
          <w:i/>
        </w:rPr>
        <w:t xml:space="preserve">What is the chance </w:t>
      </w:r>
      <w:r>
        <w:rPr>
          <w:i/>
        </w:rPr>
        <w:t>harm</w:t>
      </w:r>
      <w:r w:rsidRPr="004C713F">
        <w:rPr>
          <w:i/>
        </w:rPr>
        <w:t xml:space="preserve"> in fact occurred? </w:t>
      </w:r>
      <w:r>
        <w:t xml:space="preserve"> </w:t>
      </w:r>
      <w:r w:rsidRPr="008C0322">
        <w:rPr>
          <w:b/>
        </w:rPr>
        <w:t xml:space="preserve"> </w:t>
      </w:r>
    </w:p>
    <w:p w:rsidR="00B15E8E" w:rsidRDefault="00B15E8E" w:rsidP="00B15E8E">
      <w:r w:rsidRPr="004C713F">
        <w:t xml:space="preserve">Most people’s </w:t>
      </w:r>
      <w:r w:rsidR="00A778B6">
        <w:t xml:space="preserve">(mistaken) </w:t>
      </w:r>
      <w:r w:rsidRPr="004C713F">
        <w:t xml:space="preserve">guess is </w:t>
      </w:r>
      <w:r>
        <w:t>20</w:t>
      </w:r>
      <w:r w:rsidRPr="004C713F">
        <w:t xml:space="preserve">% or something very close to it. </w:t>
      </w:r>
      <w:r>
        <w:t xml:space="preserve">It’s a </w:t>
      </w:r>
      <w:r w:rsidR="00A778B6">
        <w:t>difficult</w:t>
      </w:r>
      <w:r>
        <w:t xml:space="preserve"> problem, but a common one.  The same problem is faced by doctors when required to make judgments on whether or not a patient has cancer after receiving the results of an imperfect diagnostic test.  The same problem is faced by quarantine officers in their decision to allow or disallow a shipment of goods that may contain an exotic </w:t>
      </w:r>
      <w:proofErr w:type="spellStart"/>
      <w:r>
        <w:t>pest</w:t>
      </w:r>
      <w:proofErr w:type="spellEnd"/>
      <w:r>
        <w:t xml:space="preserve">.  Overwhelmingly, people fail to coherently combine information on the reliability of the monitoring (or diagnostic test) with the initial estimate of the chance of </w:t>
      </w:r>
      <w:r w:rsidR="00A778B6">
        <w:t>an</w:t>
      </w:r>
      <w:r>
        <w:t xml:space="preserve"> undesirable outcome – harm to a threatened species, cancer, or a pest incursion (Bar-Hillel 1980).</w:t>
      </w:r>
    </w:p>
    <w:p w:rsidR="00B15E8E" w:rsidRDefault="00B15E8E" w:rsidP="00B15E8E">
      <w:r>
        <w:t xml:space="preserve">The problem is captured in the logic tree below.   </w:t>
      </w:r>
    </w:p>
    <w:p w:rsidR="00B15E8E" w:rsidRPr="004C713F" w:rsidRDefault="00B15E8E" w:rsidP="00B15E8E">
      <w:r>
        <w:t xml:space="preserve"> </w:t>
      </w:r>
    </w:p>
    <w:p w:rsidR="004F49D6" w:rsidRDefault="004F49D6" w:rsidP="007C7635">
      <w:pPr>
        <w:jc w:val="center"/>
      </w:pPr>
      <w:r>
        <w:rPr>
          <w:noProof/>
          <w:lang w:eastAsia="en-AU"/>
        </w:rPr>
        <w:lastRenderedPageBreak/>
        <w:drawing>
          <wp:inline distT="0" distB="0" distL="0" distR="0">
            <wp:extent cx="3852000" cy="2660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2000" cy="2660400"/>
                    </a:xfrm>
                    <a:prstGeom prst="rect">
                      <a:avLst/>
                    </a:prstGeom>
                    <a:noFill/>
                  </pic:spPr>
                </pic:pic>
              </a:graphicData>
            </a:graphic>
          </wp:inline>
        </w:drawing>
      </w:r>
    </w:p>
    <w:p w:rsidR="004F49D6" w:rsidRDefault="004F49D6" w:rsidP="00B15E8E"/>
    <w:p w:rsidR="006401CF" w:rsidRDefault="00B15E8E" w:rsidP="00B15E8E">
      <w:r>
        <w:t xml:space="preserve">The chance of harm despite monitoring reporting benign impacts </w:t>
      </w:r>
      <w:proofErr w:type="gramStart"/>
      <w:r>
        <w:t xml:space="preserve">= </w:t>
      </w:r>
      <m:oMath>
        <m:f>
          <m:fPr>
            <m:ctrlPr>
              <w:rPr>
                <w:rFonts w:ascii="Cambria Math" w:hAnsi="Cambria Math"/>
                <w:i/>
              </w:rPr>
            </m:ctrlPr>
          </m:fPr>
          <m:num>
            <w:proofErr w:type="gramEnd"/>
            <m:r>
              <w:rPr>
                <w:rFonts w:ascii="Cambria Math" w:hAnsi="Cambria Math"/>
              </w:rPr>
              <m:t>false success (FS)</m:t>
            </m:r>
          </m:num>
          <m:den>
            <m:r>
              <w:rPr>
                <w:rFonts w:ascii="Cambria Math" w:hAnsi="Cambria Math"/>
              </w:rPr>
              <m:t>false success(FS)+true success(TS)</m:t>
            </m:r>
          </m:den>
        </m:f>
        <m:r>
          <w:rPr>
            <w:rFonts w:ascii="Cambria Math" w:hAnsi="Cambria Math"/>
          </w:rPr>
          <m:t>=</m:t>
        </m:r>
        <m:f>
          <m:fPr>
            <m:ctrlPr>
              <w:rPr>
                <w:rFonts w:ascii="Cambria Math" w:hAnsi="Cambria Math"/>
                <w:i/>
              </w:rPr>
            </m:ctrlPr>
          </m:fPr>
          <m:num>
            <m:r>
              <w:rPr>
                <w:rFonts w:ascii="Cambria Math" w:hAnsi="Cambria Math"/>
                <w:sz w:val="20"/>
                <w:szCs w:val="20"/>
              </w:rPr>
              <m:t>0.15 ×0.20</m:t>
            </m:r>
          </m:num>
          <m:den>
            <m:r>
              <w:rPr>
                <w:rFonts w:ascii="Cambria Math" w:hAnsi="Cambria Math"/>
                <w:sz w:val="20"/>
                <w:szCs w:val="20"/>
              </w:rPr>
              <m:t>0.15×0.20</m:t>
            </m:r>
            <m:r>
              <m:rPr>
                <m:sty m:val="p"/>
              </m:rPr>
              <w:rPr>
                <w:rFonts w:ascii="Cambria Math"/>
                <w:sz w:val="20"/>
                <w:szCs w:val="20"/>
              </w:rPr>
              <m:t>+</m:t>
            </m:r>
            <m:r>
              <m:rPr>
                <m:sty m:val="p"/>
              </m:rPr>
              <w:rPr>
                <w:rFonts w:ascii="Cambria Math" w:hAnsi="Cambria Math"/>
                <w:sz w:val="20"/>
                <w:szCs w:val="20"/>
              </w:rPr>
              <m:t>0.85×0.80</m:t>
            </m:r>
          </m:den>
        </m:f>
        <m:r>
          <w:rPr>
            <w:rFonts w:ascii="Cambria Math" w:hAnsi="Cambria Math"/>
          </w:rPr>
          <m:t>=</m:t>
        </m:r>
        <m:f>
          <m:fPr>
            <m:ctrlPr>
              <w:rPr>
                <w:rFonts w:ascii="Cambria Math" w:hAnsi="Cambria Math"/>
                <w:i/>
              </w:rPr>
            </m:ctrlPr>
          </m:fPr>
          <m:num>
            <m:r>
              <w:rPr>
                <w:rFonts w:ascii="Cambria Math" w:hAnsi="Cambria Math"/>
              </w:rPr>
              <m:t>0.03</m:t>
            </m:r>
          </m:num>
          <m:den>
            <m:r>
              <w:rPr>
                <w:rFonts w:ascii="Cambria Math" w:hAnsi="Cambria Math"/>
              </w:rPr>
              <m:t>0.03+0.68</m:t>
            </m:r>
          </m:den>
        </m:f>
      </m:oMath>
      <w:r>
        <w:t xml:space="preserve"> </w:t>
      </w:r>
      <w:r w:rsidR="003243F8">
        <w:t xml:space="preserve">, </w:t>
      </w:r>
      <w:r w:rsidR="003453CE">
        <w:t xml:space="preserve">or about 4.2%. </w:t>
      </w:r>
      <w:r w:rsidR="000B1CEA">
        <w:t xml:space="preserve"> Note that in general, </w:t>
      </w:r>
      <w:r w:rsidR="002C0526">
        <w:t>regulators</w:t>
      </w:r>
      <w:r w:rsidR="000B1CEA">
        <w:t xml:space="preserve"> and environmental managers are concerned with the probability of false success, highlighted red.  Also highlighted is the focus of industry or proponent concerns, the probability of false failure.</w:t>
      </w:r>
    </w:p>
    <w:p w:rsidR="00B15E8E" w:rsidRDefault="003243F8" w:rsidP="00B15E8E">
      <w:r>
        <w:t>Doctor</w:t>
      </w:r>
      <w:r w:rsidR="00B15E8E">
        <w:t xml:space="preserve">s can’t do much about imperfect diagnostic tests.  They’re at the mercy of the available technology. The best they can do is coherently </w:t>
      </w:r>
      <w:proofErr w:type="gramStart"/>
      <w:r w:rsidR="00B15E8E">
        <w:t>combine</w:t>
      </w:r>
      <w:proofErr w:type="gramEnd"/>
      <w:r w:rsidR="00B15E8E">
        <w:t xml:space="preserve"> the imperfect diagnosis with estimates of disease prevalence to provide patients with sober adv</w:t>
      </w:r>
      <w:r w:rsidR="003453CE">
        <w:t>ice. It’s a different story for environmental monitoring</w:t>
      </w:r>
      <w:r w:rsidR="00B15E8E">
        <w:t xml:space="preserve">.  The reliability of the information gathered in a monitoring plan can be controlled directly through sampling design.  In quarantine, analysts </w:t>
      </w:r>
      <w:r w:rsidR="003453CE">
        <w:t>consider</w:t>
      </w:r>
      <w:r w:rsidR="00B15E8E">
        <w:t xml:space="preserve"> a tolerable leakage </w:t>
      </w:r>
      <w:r w:rsidR="003453CE">
        <w:t xml:space="preserve">(i.e. false success) </w:t>
      </w:r>
      <w:r w:rsidR="00B15E8E">
        <w:t xml:space="preserve">rate, calculate the level of α and β needed to satisfy that rate for any </w:t>
      </w:r>
      <w:r w:rsidR="002C0526">
        <w:t>estimate of</w:t>
      </w:r>
      <w:r w:rsidR="00B15E8E">
        <w:t xml:space="preserve"> </w:t>
      </w:r>
      <w:r w:rsidR="00B15E8E" w:rsidRPr="00A0242D">
        <w:rPr>
          <w:i/>
        </w:rPr>
        <w:t>P</w:t>
      </w:r>
      <w:r w:rsidR="00B15E8E">
        <w:t xml:space="preserve">, and then estimate the sampling effort required to achieve α and β.  </w:t>
      </w:r>
      <w:r w:rsidR="00532F48">
        <w:t xml:space="preserve">The same logic can be used </w:t>
      </w:r>
      <w:r>
        <w:t xml:space="preserve">to estimate the </w:t>
      </w:r>
      <w:r w:rsidR="00B15E8E">
        <w:t xml:space="preserve">monitoring </w:t>
      </w:r>
      <w:r>
        <w:t xml:space="preserve">effort needed to characterise performance against </w:t>
      </w:r>
      <w:r w:rsidR="00B15E8E">
        <w:t xml:space="preserve">targets in the LTSP2050. </w:t>
      </w:r>
    </w:p>
    <w:p w:rsidR="00835084" w:rsidRPr="006B5028" w:rsidRDefault="00835084" w:rsidP="00835084">
      <w:r>
        <w:t>Intuitively, the incidence of false success and fal</w:t>
      </w:r>
      <w:r w:rsidR="00532F48">
        <w:t xml:space="preserve">se failure is highly sensitive </w:t>
      </w:r>
      <w:r>
        <w:t xml:space="preserve">to management decisions.  If we allow development such that our model now reports a 50/50 proposition for target success/failure (i.e. </w:t>
      </w:r>
      <w:r w:rsidRPr="00835084">
        <w:rPr>
          <w:i/>
        </w:rPr>
        <w:t>P</w:t>
      </w:r>
      <w:r>
        <w:t xml:space="preserve"> = 0.50), we increase the rate of false success to 0.10, and the rate of false failure drops to 0.10.  The imperative for greater monitoring effort is felt more acutely by environmental </w:t>
      </w:r>
      <w:r w:rsidR="002C0526">
        <w:t>managers</w:t>
      </w:r>
      <w:r>
        <w:t xml:space="preserve"> than by industry.</w:t>
      </w:r>
    </w:p>
    <w:p w:rsidR="00835084" w:rsidRPr="006E7965" w:rsidRDefault="00835084" w:rsidP="00362C1C">
      <w:pPr>
        <w:jc w:val="center"/>
      </w:pPr>
      <w:r>
        <w:rPr>
          <w:noProof/>
          <w:lang w:eastAsia="en-AU"/>
        </w:rPr>
        <w:lastRenderedPageBreak/>
        <w:drawing>
          <wp:inline distT="0" distB="0" distL="0" distR="0">
            <wp:extent cx="3664800" cy="26568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4800" cy="2656800"/>
                    </a:xfrm>
                    <a:prstGeom prst="rect">
                      <a:avLst/>
                    </a:prstGeom>
                    <a:noFill/>
                  </pic:spPr>
                </pic:pic>
              </a:graphicData>
            </a:graphic>
          </wp:inline>
        </w:drawing>
      </w:r>
    </w:p>
    <w:p w:rsidR="00835084" w:rsidRDefault="00835084" w:rsidP="00835084"/>
    <w:p w:rsidR="00835084" w:rsidRPr="00835084" w:rsidRDefault="00835084" w:rsidP="00835084">
      <w:r w:rsidRPr="00835084">
        <w:t>If we invest in additional monitoring effort such that α = β = 0.05, the incidence of false successes and f</w:t>
      </w:r>
      <w:r>
        <w:t>alse</w:t>
      </w:r>
      <w:r w:rsidRPr="00835084">
        <w:t xml:space="preserve"> failures are both reduced, and in our example, equalised to 0.02.</w:t>
      </w:r>
    </w:p>
    <w:p w:rsidR="00835084" w:rsidRDefault="00835084" w:rsidP="00362C1C">
      <w:pPr>
        <w:jc w:val="center"/>
      </w:pPr>
      <w:r>
        <w:rPr>
          <w:noProof/>
          <w:lang w:eastAsia="en-AU"/>
        </w:rPr>
        <w:drawing>
          <wp:inline distT="0" distB="0" distL="0" distR="0">
            <wp:extent cx="3664800" cy="2656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4800" cy="2656800"/>
                    </a:xfrm>
                    <a:prstGeom prst="rect">
                      <a:avLst/>
                    </a:prstGeom>
                    <a:noFill/>
                  </pic:spPr>
                </pic:pic>
              </a:graphicData>
            </a:graphic>
          </wp:inline>
        </w:drawing>
      </w:r>
    </w:p>
    <w:p w:rsidR="00B15E8E" w:rsidRDefault="00B15E8E" w:rsidP="00B15E8E">
      <w:r w:rsidRPr="00F13B9B">
        <w:t xml:space="preserve">A dearth of information can make it difficult to estimate </w:t>
      </w:r>
      <w:r w:rsidRPr="00F13B9B">
        <w:rPr>
          <w:i/>
        </w:rPr>
        <w:t>P</w:t>
      </w:r>
      <w:r w:rsidRPr="00F13B9B">
        <w:t>. In public health, the prevalence of rare and novel diseases is largely unknown. In quarantine, the ‘approach rate’ of many pests is profoundly uncertain. Nevertheless professionals in these domains wil</w:t>
      </w:r>
      <w:r>
        <w:t xml:space="preserve">l </w:t>
      </w:r>
      <w:r w:rsidR="003243F8">
        <w:t>hazard a guess, b</w:t>
      </w:r>
      <w:r>
        <w:t>ecause</w:t>
      </w:r>
      <w:r w:rsidRPr="00F13B9B">
        <w:t xml:space="preserve"> they want their probabi</w:t>
      </w:r>
      <w:r>
        <w:t>listic judgments to be coherent</w:t>
      </w:r>
      <w:r w:rsidRPr="00F13B9B">
        <w:t>.</w:t>
      </w:r>
      <w:r>
        <w:t xml:space="preserve">  </w:t>
      </w:r>
      <w:r w:rsidR="00FA7CE7">
        <w:t xml:space="preserve"> </w:t>
      </w:r>
      <w:r w:rsidR="003243F8">
        <w:t>Estimates of the Type I and Type II error</w:t>
      </w:r>
      <w:r w:rsidR="002C0526">
        <w:t xml:space="preserve"> rates are condition</w:t>
      </w:r>
      <w:r w:rsidR="003243F8">
        <w:t xml:space="preserve">al </w:t>
      </w:r>
      <w:r w:rsidR="002C0526">
        <w:t>probabilities</w:t>
      </w:r>
      <w:r w:rsidR="003243F8">
        <w:t xml:space="preserve">.  That is, a Type I error refers to the probability of inferring harm (or failing to meet a target) </w:t>
      </w:r>
      <w:r w:rsidR="003243F8" w:rsidRPr="003243F8">
        <w:rPr>
          <w:i/>
        </w:rPr>
        <w:t>conditional</w:t>
      </w:r>
      <w:r w:rsidR="003243F8">
        <w:t xml:space="preserve"> on the opposite being true.  Type II errors are </w:t>
      </w:r>
      <w:r w:rsidR="003243F8" w:rsidRPr="003243F8">
        <w:rPr>
          <w:i/>
        </w:rPr>
        <w:t>conditional</w:t>
      </w:r>
      <w:r w:rsidR="003243F8">
        <w:t xml:space="preserve"> on circumstances where the truth is harm or failure.  To assess the adequacy of a monitoring program we need to ask ourselves what are the chances of harm (or failure) before we consider the evidence from data.  Models provide transparent and internally consistent judgments, which can be improved over time through vigorous cross-</w:t>
      </w:r>
      <w:r w:rsidR="002C0526">
        <w:t>examination</w:t>
      </w:r>
      <w:r w:rsidR="003243F8">
        <w:t xml:space="preserve"> and calibration </w:t>
      </w:r>
      <w:r w:rsidR="002C0526">
        <w:t>with</w:t>
      </w:r>
      <w:r w:rsidR="003243F8">
        <w:t xml:space="preserve"> data (</w:t>
      </w:r>
      <w:proofErr w:type="spellStart"/>
      <w:r w:rsidR="003243F8">
        <w:t>Burgman</w:t>
      </w:r>
      <w:proofErr w:type="spellEnd"/>
      <w:r w:rsidR="003243F8">
        <w:t xml:space="preserve"> 2005).</w:t>
      </w:r>
      <w:r>
        <w:t xml:space="preserve">     </w:t>
      </w:r>
    </w:p>
    <w:p w:rsidR="002E2C5C" w:rsidRPr="00851D53" w:rsidRDefault="002E2C5C" w:rsidP="002E2C5C">
      <w:r>
        <w:lastRenderedPageBreak/>
        <w:t xml:space="preserve">A common circumstance in environmental management is that no-one has modelled an estimate of </w:t>
      </w:r>
      <w:r w:rsidRPr="00851D53">
        <w:rPr>
          <w:i/>
        </w:rPr>
        <w:t>P</w:t>
      </w:r>
      <w:r>
        <w:t>, the probability of harm or failure in the absence of monitoring.  And no-one has wrestled with what might be considered an acceptable leakage rate.  Without these elements, assessment of the adequacy of a monitoring plan can be more or less resolved with a coin toss.  More despairing are the costs of inadequate monitoring programs – to MNES, OUV and to industry.</w:t>
      </w:r>
      <w:r w:rsidR="00E05BF5">
        <w:t xml:space="preserve">  To understand these costs, we need to consider the risks faced by regulators and proponents.  Who are regulators and proponents in the context of the GBRWHA?  </w:t>
      </w:r>
      <w:r w:rsidR="002C0526">
        <w:t>Perhaps</w:t>
      </w:r>
      <w:r w:rsidR="00E05BF5">
        <w:t xml:space="preserve"> most familiarly, ports may be considered proponents and their activities regulated by government.  But loosely speaking, the Queensland government may be considered a proponent and the Commonwealth </w:t>
      </w:r>
      <w:r w:rsidR="002C0526">
        <w:t>government</w:t>
      </w:r>
      <w:r w:rsidR="00E05BF5">
        <w:t xml:space="preserve"> the regulator in the specific context of MNES</w:t>
      </w:r>
      <w:r w:rsidR="002C0526">
        <w:t xml:space="preserve"> a</w:t>
      </w:r>
      <w:r w:rsidR="00E05BF5">
        <w:t xml:space="preserve">nd </w:t>
      </w:r>
      <w:r w:rsidR="002C0526">
        <w:t>strategic</w:t>
      </w:r>
      <w:r w:rsidR="00E05BF5">
        <w:t xml:space="preserve"> assessments.  Likewise, the Commonwealth government could be characterised as a proponent and the World Heritage Committee the </w:t>
      </w:r>
      <w:r w:rsidR="002C0526">
        <w:t>regulator</w:t>
      </w:r>
      <w:r w:rsidR="001D2B15">
        <w:t xml:space="preserve"> in the context of OUV</w:t>
      </w:r>
      <w:r w:rsidR="00E05BF5">
        <w:t>.</w:t>
      </w:r>
    </w:p>
    <w:p w:rsidR="002E2C5C" w:rsidRDefault="002E2C5C" w:rsidP="002E2C5C">
      <w:r>
        <w:t xml:space="preserve">The leakage rate is the </w:t>
      </w:r>
      <w:r w:rsidRPr="00C0366D">
        <w:rPr>
          <w:i/>
        </w:rPr>
        <w:t>regulator’s risk</w:t>
      </w:r>
      <w:r>
        <w:t xml:space="preserve">, </w:t>
      </w:r>
      <w:proofErr w:type="spellStart"/>
      <w:r w:rsidRPr="006548ED">
        <w:rPr>
          <w:i/>
        </w:rPr>
        <w:t>R</w:t>
      </w:r>
      <w:r w:rsidRPr="006548ED">
        <w:rPr>
          <w:i/>
          <w:vertAlign w:val="subscript"/>
        </w:rPr>
        <w:t>r</w:t>
      </w:r>
      <w:proofErr w:type="spellEnd"/>
      <w:r>
        <w:t xml:space="preserve">, equating to </w:t>
      </w:r>
      <w:proofErr w:type="gramStart"/>
      <w:r>
        <w:t>Pr{</w:t>
      </w:r>
      <w:proofErr w:type="spellStart"/>
      <w:proofErr w:type="gramEnd"/>
      <w:r>
        <w:t>failure|monitoring</w:t>
      </w:r>
      <w:proofErr w:type="spellEnd"/>
      <w:r>
        <w:t xml:space="preserve"> indicates success} = </w:t>
      </w:r>
      <m:oMath>
        <m:f>
          <m:fPr>
            <m:ctrlPr>
              <w:rPr>
                <w:rFonts w:ascii="Cambria Math" w:hAnsi="Cambria Math"/>
                <w:i/>
              </w:rPr>
            </m:ctrlPr>
          </m:fPr>
          <m:num>
            <m:r>
              <w:rPr>
                <w:rFonts w:ascii="Cambria Math" w:hAnsi="Cambria Math"/>
              </w:rPr>
              <m:t>FS</m:t>
            </m:r>
          </m:num>
          <m:den>
            <m:r>
              <w:rPr>
                <w:rFonts w:ascii="Cambria Math" w:hAnsi="Cambria Math"/>
              </w:rPr>
              <m:t>FS+TS</m:t>
            </m:r>
          </m:den>
        </m:f>
      </m:oMath>
      <w:r>
        <w:t>.  The regulator needs to consider what might be a tolerable risk, which may vary according to recent unde</w:t>
      </w:r>
      <w:proofErr w:type="spellStart"/>
      <w:r w:rsidR="00532F48">
        <w:t>rstanding</w:t>
      </w:r>
      <w:proofErr w:type="spellEnd"/>
      <w:r w:rsidR="00532F48">
        <w:t xml:space="preserve"> of status and trend, </w:t>
      </w:r>
      <w:r>
        <w:t xml:space="preserve">together with a raft of organisational, social and political factors. </w:t>
      </w:r>
      <w:r w:rsidR="00CB7D22">
        <w:t xml:space="preserve"> </w:t>
      </w:r>
      <w:r>
        <w:t xml:space="preserve"> </w:t>
      </w:r>
    </w:p>
    <w:p w:rsidR="002E2C5C" w:rsidRDefault="002E2C5C" w:rsidP="002E2C5C">
      <w:r>
        <w:t xml:space="preserve">The proponent has its own risks to consider.  We assume that where monitoring indicates harm or target </w:t>
      </w:r>
      <w:proofErr w:type="gramStart"/>
      <w:r>
        <w:t>failure,</w:t>
      </w:r>
      <w:proofErr w:type="gramEnd"/>
      <w:r>
        <w:t xml:space="preserve"> the proponent will be required to implement a remedy (e.g. adoption of best practice or offsets). The probability monitoring will indicate </w:t>
      </w:r>
      <w:proofErr w:type="gramStart"/>
      <w:r>
        <w:t>failure  is</w:t>
      </w:r>
      <w:proofErr w:type="gramEnd"/>
      <w:r>
        <w:t xml:space="preserve"> the sum of the true failure rate (TH) and the fal</w:t>
      </w:r>
      <w:r w:rsidR="00532F48">
        <w:t>se failure rate (FH). The risk and ensuing costs</w:t>
      </w:r>
      <w:r>
        <w:t xml:space="preserve"> of true failure are made apparent through explicit modelling of </w:t>
      </w:r>
      <w:r w:rsidRPr="00BE6376">
        <w:rPr>
          <w:i/>
        </w:rPr>
        <w:t>P</w:t>
      </w:r>
      <w:r>
        <w:t xml:space="preserve">.  If a proponent wishes to try their luck when </w:t>
      </w:r>
      <w:r w:rsidRPr="000E34CA">
        <w:rPr>
          <w:i/>
        </w:rPr>
        <w:t>P</w:t>
      </w:r>
      <w:r>
        <w:t xml:space="preserve"> is high they can hardly complain when monitoring correctly detects failure. The less palatable risk is that of false failure. </w:t>
      </w:r>
    </w:p>
    <w:p w:rsidR="002E2C5C" w:rsidRDefault="002E2C5C" w:rsidP="002E2C5C">
      <w:r>
        <w:t xml:space="preserve">Let’s call the false </w:t>
      </w:r>
      <w:r w:rsidR="00CB7D22">
        <w:t>failure</w:t>
      </w:r>
      <w:r>
        <w:t xml:space="preserve"> rate the proponent’s risk </w:t>
      </w:r>
      <w:proofErr w:type="spellStart"/>
      <w:r w:rsidRPr="006548ED">
        <w:rPr>
          <w:i/>
        </w:rPr>
        <w:t>R</w:t>
      </w:r>
      <w:r>
        <w:rPr>
          <w:i/>
          <w:vertAlign w:val="subscript"/>
        </w:rPr>
        <w:t>p</w:t>
      </w:r>
      <w:proofErr w:type="spellEnd"/>
      <w:r>
        <w:rPr>
          <w:i/>
          <w:vertAlign w:val="subscript"/>
        </w:rPr>
        <w:t xml:space="preserve"> </w:t>
      </w:r>
      <w:r w:rsidRPr="000E34CA">
        <w:t>defined as</w:t>
      </w:r>
      <w:r>
        <w:t xml:space="preserve"> </w:t>
      </w:r>
      <w:proofErr w:type="gramStart"/>
      <w:r>
        <w:t>Pr{</w:t>
      </w:r>
      <w:proofErr w:type="spellStart"/>
      <w:proofErr w:type="gramEnd"/>
      <w:r w:rsidR="00CB7D22">
        <w:t>success</w:t>
      </w:r>
      <w:r>
        <w:t>|monitoring</w:t>
      </w:r>
      <w:proofErr w:type="spellEnd"/>
      <w:r>
        <w:t xml:space="preserve"> indicates </w:t>
      </w:r>
      <w:r w:rsidR="00CB7D22">
        <w:t>failure</w:t>
      </w:r>
      <w:r>
        <w:t xml:space="preserve">} = </w:t>
      </w:r>
      <m:oMath>
        <m:f>
          <m:fPr>
            <m:ctrlPr>
              <w:rPr>
                <w:rFonts w:ascii="Cambria Math" w:hAnsi="Cambria Math"/>
                <w:i/>
              </w:rPr>
            </m:ctrlPr>
          </m:fPr>
          <m:num>
            <m:r>
              <w:rPr>
                <w:rFonts w:ascii="Cambria Math" w:hAnsi="Cambria Math"/>
              </w:rPr>
              <m:t>FF</m:t>
            </m:r>
          </m:num>
          <m:den>
            <m:r>
              <w:rPr>
                <w:rFonts w:ascii="Cambria Math" w:hAnsi="Cambria Math"/>
              </w:rPr>
              <m:t>FF+TF</m:t>
            </m:r>
          </m:den>
        </m:f>
      </m:oMath>
      <w:r>
        <w:t>.  The key consideration for proponents is the trade-off between the chance they will be required to remedy an impact that in fact hasn’t occurred (</w:t>
      </w:r>
      <w:proofErr w:type="spellStart"/>
      <w:r w:rsidRPr="006548ED">
        <w:rPr>
          <w:i/>
        </w:rPr>
        <w:t>R</w:t>
      </w:r>
      <w:r>
        <w:rPr>
          <w:i/>
          <w:vertAlign w:val="subscript"/>
        </w:rPr>
        <w:t>p</w:t>
      </w:r>
      <w:proofErr w:type="spellEnd"/>
      <w:r w:rsidRPr="00597E1F">
        <w:t xml:space="preserve">) </w:t>
      </w:r>
      <w:r>
        <w:t xml:space="preserve">and the costs of monitoring.  </w:t>
      </w:r>
      <w:r w:rsidR="00CB7D22">
        <w:t xml:space="preserve">If the regulator is prepared to specify a tolerable level for the </w:t>
      </w:r>
      <w:r w:rsidR="00CB7D22" w:rsidRPr="00C0366D">
        <w:rPr>
          <w:i/>
        </w:rPr>
        <w:t>regulator’s risk</w:t>
      </w:r>
      <w:r w:rsidR="00CB7D22">
        <w:t xml:space="preserve">, </w:t>
      </w:r>
      <w:proofErr w:type="spellStart"/>
      <w:proofErr w:type="gramStart"/>
      <w:r w:rsidR="00CB7D22" w:rsidRPr="006548ED">
        <w:rPr>
          <w:i/>
        </w:rPr>
        <w:t>R</w:t>
      </w:r>
      <w:r w:rsidR="00CB7D22" w:rsidRPr="006548ED">
        <w:rPr>
          <w:i/>
          <w:vertAlign w:val="subscript"/>
        </w:rPr>
        <w:t>r</w:t>
      </w:r>
      <w:proofErr w:type="spellEnd"/>
      <w:proofErr w:type="gramEnd"/>
      <w:r w:rsidR="00CB7D22">
        <w:t>, the proponent can make an informed decision about whether it should proceed with its project with or without investment or co-investment</w:t>
      </w:r>
      <w:r w:rsidR="00380E36">
        <w:t xml:space="preserve"> in additional monitoring (Box </w:t>
      </w:r>
      <w:r w:rsidR="002D57ED">
        <w:t>5</w:t>
      </w:r>
      <w:r w:rsidR="00CB7D22">
        <w:t>).</w:t>
      </w:r>
    </w:p>
    <w:p w:rsidR="004847BD" w:rsidRDefault="004847BD">
      <w:r>
        <w:br w:type="page"/>
      </w:r>
    </w:p>
    <w:p w:rsidR="00CB7D22" w:rsidRDefault="00CB7D22" w:rsidP="002E2C5C"/>
    <w:p w:rsidR="00CB7D22" w:rsidRPr="00C8234E" w:rsidRDefault="00CB7D22" w:rsidP="00C8234E">
      <w:pPr>
        <w:pBdr>
          <w:top w:val="single" w:sz="4" w:space="1" w:color="auto"/>
          <w:left w:val="single" w:sz="4" w:space="4" w:color="auto"/>
          <w:bottom w:val="single" w:sz="4" w:space="1" w:color="auto"/>
          <w:right w:val="single" w:sz="4" w:space="4" w:color="auto"/>
        </w:pBdr>
      </w:pPr>
      <w:r w:rsidRPr="00C8234E">
        <w:rPr>
          <w:b/>
          <w:i/>
        </w:rPr>
        <w:t xml:space="preserve">Box </w:t>
      </w:r>
      <w:r w:rsidR="002D57ED">
        <w:rPr>
          <w:b/>
          <w:i/>
        </w:rPr>
        <w:t>5</w:t>
      </w:r>
      <w:r w:rsidRPr="00C8234E">
        <w:rPr>
          <w:b/>
          <w:i/>
        </w:rPr>
        <w:t xml:space="preserve">.  </w:t>
      </w:r>
      <w:proofErr w:type="gramStart"/>
      <w:r w:rsidR="00AC7C81" w:rsidRPr="00C8234E">
        <w:rPr>
          <w:b/>
          <w:i/>
        </w:rPr>
        <w:t xml:space="preserve">Informing the proponent’s </w:t>
      </w:r>
      <w:r w:rsidR="00C8234E">
        <w:rPr>
          <w:b/>
          <w:i/>
        </w:rPr>
        <w:t>i</w:t>
      </w:r>
      <w:r w:rsidR="00556922">
        <w:rPr>
          <w:b/>
          <w:i/>
        </w:rPr>
        <w:t xml:space="preserve">nvestment in monitoring </w:t>
      </w:r>
      <w:r w:rsidR="002C0526">
        <w:rPr>
          <w:b/>
          <w:i/>
        </w:rPr>
        <w:t xml:space="preserve">within </w:t>
      </w:r>
      <w:r w:rsidR="00C8234E">
        <w:rPr>
          <w:b/>
          <w:i/>
        </w:rPr>
        <w:t>a specified cons</w:t>
      </w:r>
      <w:r w:rsidR="00556922">
        <w:rPr>
          <w:b/>
          <w:i/>
        </w:rPr>
        <w:t>traint imposed by the regulator.</w:t>
      </w:r>
      <w:proofErr w:type="gramEnd"/>
    </w:p>
    <w:p w:rsidR="002E2C5C" w:rsidRDefault="00CB7D22" w:rsidP="00C8234E">
      <w:pPr>
        <w:pBdr>
          <w:top w:val="single" w:sz="4" w:space="1" w:color="auto"/>
          <w:left w:val="single" w:sz="4" w:space="4" w:color="auto"/>
          <w:bottom w:val="single" w:sz="4" w:space="1" w:color="auto"/>
          <w:right w:val="single" w:sz="4" w:space="4" w:color="auto"/>
        </w:pBdr>
      </w:pPr>
      <w:r>
        <w:t>One interpretation of harm</w:t>
      </w:r>
      <w:r w:rsidR="002E2C5C">
        <w:t xml:space="preserve"> </w:t>
      </w:r>
      <w:r>
        <w:t xml:space="preserve">or failure </w:t>
      </w:r>
      <w:r w:rsidR="002E2C5C">
        <w:t>is decline of a specified magnitude in population size</w:t>
      </w:r>
      <w:r>
        <w:t xml:space="preserve"> of a </w:t>
      </w:r>
      <w:r w:rsidR="002C0526">
        <w:t>threatened</w:t>
      </w:r>
      <w:r>
        <w:t xml:space="preserve"> species</w:t>
      </w:r>
      <w:r w:rsidR="002E2C5C">
        <w:t>.  In this case, the regulator</w:t>
      </w:r>
      <w:r w:rsidR="00EA5447">
        <w:t xml:space="preserve"> could give the proponent </w:t>
      </w:r>
      <w:r w:rsidR="002E2C5C" w:rsidRPr="00CA6CBC">
        <w:t xml:space="preserve">the </w:t>
      </w:r>
      <w:r>
        <w:t xml:space="preserve">modelled </w:t>
      </w:r>
      <w:r w:rsidR="002E2C5C" w:rsidRPr="00CA6CBC">
        <w:t>estimate of</w:t>
      </w:r>
      <w:r w:rsidR="002E2C5C" w:rsidRPr="00EA5447">
        <w:rPr>
          <w:i/>
        </w:rPr>
        <w:t xml:space="preserve"> P</w:t>
      </w:r>
      <w:r w:rsidR="00EA5447">
        <w:t xml:space="preserve">, and </w:t>
      </w:r>
      <w:r w:rsidR="002E2C5C" w:rsidRPr="00CA6CBC">
        <w:t>the non-negotiable threshold for the regulator</w:t>
      </w:r>
      <w:r w:rsidR="00532F48">
        <w:t>’</w:t>
      </w:r>
      <w:r w:rsidR="002E2C5C" w:rsidRPr="00CA6CBC">
        <w:t xml:space="preserve">s risk, </w:t>
      </w:r>
      <w:proofErr w:type="spellStart"/>
      <w:r w:rsidR="002E2C5C" w:rsidRPr="00EA5447">
        <w:rPr>
          <w:i/>
        </w:rPr>
        <w:t>R</w:t>
      </w:r>
      <w:r w:rsidR="002E2C5C" w:rsidRPr="00EA5447">
        <w:rPr>
          <w:i/>
          <w:vertAlign w:val="subscript"/>
        </w:rPr>
        <w:t>r</w:t>
      </w:r>
      <w:proofErr w:type="spellEnd"/>
      <w:r w:rsidR="002E2C5C" w:rsidRPr="00EA5447">
        <w:rPr>
          <w:i/>
        </w:rPr>
        <w:t xml:space="preserve"> </w:t>
      </w:r>
      <w:r w:rsidR="002E2C5C" w:rsidRPr="00CA6CBC">
        <w:t>and</w:t>
      </w:r>
      <w:r w:rsidR="00EA5447">
        <w:t xml:space="preserve"> </w:t>
      </w:r>
      <w:r>
        <w:t>f</w:t>
      </w:r>
      <w:r w:rsidR="002E2C5C">
        <w:t>r</w:t>
      </w:r>
      <w:r>
        <w:t>om this information the proponen</w:t>
      </w:r>
      <w:r w:rsidR="002E2C5C">
        <w:t xml:space="preserve">t can calculate the minimum sample size (in any one year) required to detect harm in a way that satisfies the </w:t>
      </w:r>
      <w:r w:rsidR="002E2C5C" w:rsidRPr="00CA6CBC">
        <w:rPr>
          <w:i/>
        </w:rPr>
        <w:t>prescribed</w:t>
      </w:r>
      <w:r w:rsidR="002E2C5C">
        <w:t xml:space="preserve"> regulator’s risk and any </w:t>
      </w:r>
      <w:r w:rsidR="002E2C5C" w:rsidRPr="00CA6CBC">
        <w:rPr>
          <w:i/>
        </w:rPr>
        <w:t xml:space="preserve">nominal </w:t>
      </w:r>
      <w:r w:rsidR="002E2C5C">
        <w:t>proponent’s risk.</w:t>
      </w:r>
    </w:p>
    <w:p w:rsidR="002E2C5C" w:rsidRDefault="002E2C5C" w:rsidP="00C8234E">
      <w:pPr>
        <w:pBdr>
          <w:top w:val="single" w:sz="4" w:space="1" w:color="auto"/>
          <w:left w:val="single" w:sz="4" w:space="4" w:color="auto"/>
          <w:bottom w:val="single" w:sz="4" w:space="1" w:color="auto"/>
          <w:right w:val="single" w:sz="4" w:space="4" w:color="auto"/>
        </w:pBdr>
      </w:pPr>
      <w:r>
        <w:t>For example, l</w:t>
      </w:r>
      <w:r w:rsidRPr="00386730">
        <w:t xml:space="preserve">et’s say </w:t>
      </w:r>
      <w:r>
        <w:t xml:space="preserve">‘harm’ is defined as a 25% decline in population size. </w:t>
      </w:r>
      <w:r w:rsidR="00EA5447">
        <w:t>(We note that t</w:t>
      </w:r>
      <w:r w:rsidR="00EA5447" w:rsidRPr="00EA5447">
        <w:t xml:space="preserve">hresholds for harm can vary according to conservation </w:t>
      </w:r>
      <w:proofErr w:type="gramStart"/>
      <w:r w:rsidR="00EA5447" w:rsidRPr="00EA5447">
        <w:t>status,</w:t>
      </w:r>
      <w:proofErr w:type="gramEnd"/>
      <w:r w:rsidR="00EA5447" w:rsidRPr="00EA5447">
        <w:t xml:space="preserve"> or other considerations</w:t>
      </w:r>
      <w:r w:rsidR="00EA5447">
        <w:t>)</w:t>
      </w:r>
      <w:r w:rsidR="00EA5447" w:rsidRPr="00EA5447">
        <w:t>.</w:t>
      </w:r>
      <w:r w:rsidR="00EA5447">
        <w:t xml:space="preserve">  </w:t>
      </w:r>
      <w:r>
        <w:t>A simple formula</w:t>
      </w:r>
      <w:r w:rsidR="00EA5447">
        <w:t xml:space="preserve"> </w:t>
      </w:r>
      <w:r>
        <w:t xml:space="preserve">for estimating sample size </w:t>
      </w:r>
      <w:r w:rsidRPr="00D23183">
        <w:rPr>
          <w:i/>
        </w:rPr>
        <w:t>n</w:t>
      </w:r>
      <w:r>
        <w:t xml:space="preserve"> is (</w:t>
      </w:r>
      <w:proofErr w:type="spellStart"/>
      <w:r>
        <w:t>Zar</w:t>
      </w:r>
      <w:proofErr w:type="spellEnd"/>
      <w:r>
        <w:t xml:space="preserve"> 2010)</w:t>
      </w:r>
    </w:p>
    <w:p w:rsidR="002E2C5C" w:rsidRDefault="002E2C5C" w:rsidP="00C8234E">
      <w:pPr>
        <w:pBdr>
          <w:top w:val="single" w:sz="4" w:space="1" w:color="auto"/>
          <w:left w:val="single" w:sz="4" w:space="4" w:color="auto"/>
          <w:bottom w:val="single" w:sz="4" w:space="1" w:color="auto"/>
          <w:right w:val="single" w:sz="4" w:space="4" w:color="auto"/>
        </w:pBdr>
      </w:pPr>
      <m:oMath>
        <m:r>
          <w:rPr>
            <w:rFonts w:ascii="Cambria Math" w:hAnsi="Cambria Math"/>
          </w:rPr>
          <m:t>n= ρ</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α</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β</m:t>
                    </m:r>
                  </m:sub>
                </m:sSub>
              </m:e>
            </m:d>
          </m:e>
          <m:sup>
            <m:r>
              <w:rPr>
                <w:rFonts w:ascii="Cambria Math" w:hAnsi="Cambria Math"/>
              </w:rPr>
              <m:t>2</m:t>
            </m:r>
          </m:sup>
        </m:sSup>
      </m:oMath>
      <w:r>
        <w:t>,</w:t>
      </w:r>
    </w:p>
    <w:p w:rsidR="002E2C5C" w:rsidRDefault="002E2C5C" w:rsidP="00C8234E">
      <w:pPr>
        <w:pBdr>
          <w:top w:val="single" w:sz="4" w:space="1" w:color="auto"/>
          <w:left w:val="single" w:sz="4" w:space="4" w:color="auto"/>
          <w:bottom w:val="single" w:sz="4" w:space="1" w:color="auto"/>
          <w:right w:val="single" w:sz="4" w:space="4" w:color="auto"/>
        </w:pBdr>
      </w:pPr>
      <w:proofErr w:type="gramStart"/>
      <w:r>
        <w:t>where</w:t>
      </w:r>
      <w:proofErr w:type="gramEnd"/>
      <w:r>
        <w:t xml:space="preserve"> </w:t>
      </w:r>
    </w:p>
    <w:p w:rsidR="002E2C5C" w:rsidRDefault="002E2C5C" w:rsidP="00C8234E">
      <w:pPr>
        <w:pBdr>
          <w:top w:val="single" w:sz="4" w:space="1" w:color="auto"/>
          <w:left w:val="single" w:sz="4" w:space="4" w:color="auto"/>
          <w:bottom w:val="single" w:sz="4" w:space="1" w:color="auto"/>
          <w:right w:val="single" w:sz="4" w:space="4" w:color="auto"/>
        </w:pBdr>
      </w:pPr>
      <w:proofErr w:type="gramStart"/>
      <w:r w:rsidRPr="00CA6CBC">
        <w:rPr>
          <w:rFonts w:ascii="Cambria Math" w:hAnsi="Cambria Math"/>
          <w:i/>
        </w:rPr>
        <w:t>ρ</w:t>
      </w:r>
      <w:proofErr w:type="gramEnd"/>
      <w:r>
        <w:t xml:space="preserve"> is the ratio of the population’s coefficient of variation (%) and the effect size defining harm (%),</w:t>
      </w:r>
    </w:p>
    <w:p w:rsidR="002E2C5C" w:rsidRDefault="002E2C5C" w:rsidP="00C8234E">
      <w:pPr>
        <w:pBdr>
          <w:top w:val="single" w:sz="4" w:space="1" w:color="auto"/>
          <w:left w:val="single" w:sz="4" w:space="4" w:color="auto"/>
          <w:bottom w:val="single" w:sz="4" w:space="1" w:color="auto"/>
          <w:right w:val="single" w:sz="4" w:space="4" w:color="auto"/>
        </w:pBdr>
      </w:pPr>
      <w:proofErr w:type="spellStart"/>
      <w:proofErr w:type="gramStart"/>
      <w:r w:rsidRPr="00E54BCC">
        <w:rPr>
          <w:i/>
        </w:rPr>
        <w:t>z</w:t>
      </w:r>
      <w:r w:rsidRPr="00E54BCC">
        <w:rPr>
          <w:i/>
          <w:vertAlign w:val="subscript"/>
        </w:rPr>
        <w:t>α</w:t>
      </w:r>
      <w:proofErr w:type="spellEnd"/>
      <w:proofErr w:type="gramEnd"/>
      <w:r w:rsidRPr="00E54BCC">
        <w:t xml:space="preserve"> </w:t>
      </w:r>
      <w:r>
        <w:t>is the z-score associated with α, the p</w:t>
      </w:r>
      <w:r w:rsidRPr="00D23183">
        <w:t>robability that monitoring incorrectly indicates harmful impacts</w:t>
      </w:r>
    </w:p>
    <w:p w:rsidR="002E2C5C" w:rsidRDefault="002E2C5C" w:rsidP="00C8234E">
      <w:pPr>
        <w:pBdr>
          <w:top w:val="single" w:sz="4" w:space="1" w:color="auto"/>
          <w:left w:val="single" w:sz="4" w:space="4" w:color="auto"/>
          <w:bottom w:val="single" w:sz="4" w:space="1" w:color="auto"/>
          <w:right w:val="single" w:sz="4" w:space="4" w:color="auto"/>
        </w:pBdr>
      </w:pPr>
      <w:proofErr w:type="spellStart"/>
      <w:proofErr w:type="gramStart"/>
      <w:r w:rsidRPr="00E54BCC">
        <w:rPr>
          <w:i/>
        </w:rPr>
        <w:t>z</w:t>
      </w:r>
      <w:r w:rsidRPr="00E54BCC">
        <w:rPr>
          <w:i/>
          <w:vertAlign w:val="subscript"/>
        </w:rPr>
        <w:t>β</w:t>
      </w:r>
      <w:proofErr w:type="spellEnd"/>
      <w:proofErr w:type="gramEnd"/>
      <w:r>
        <w:t xml:space="preserve"> is the z-score associated with β, the p</w:t>
      </w:r>
      <w:r w:rsidRPr="00D23183">
        <w:t xml:space="preserve">robability that monitoring incorrectly indicates </w:t>
      </w:r>
      <w:r>
        <w:t>benign</w:t>
      </w:r>
      <w:r w:rsidRPr="00D23183">
        <w:t xml:space="preserve"> impacts</w:t>
      </w:r>
      <w:r>
        <w:t>.</w:t>
      </w:r>
    </w:p>
    <w:p w:rsidR="002E2C5C" w:rsidRDefault="002E2C5C" w:rsidP="00C8234E">
      <w:pPr>
        <w:pBdr>
          <w:top w:val="single" w:sz="4" w:space="1" w:color="auto"/>
          <w:left w:val="single" w:sz="4" w:space="4" w:color="auto"/>
          <w:bottom w:val="single" w:sz="4" w:space="1" w:color="auto"/>
          <w:right w:val="single" w:sz="4" w:space="4" w:color="auto"/>
        </w:pBdr>
      </w:pPr>
    </w:p>
    <w:p w:rsidR="002E2C5C" w:rsidRDefault="002E2C5C" w:rsidP="00C8234E">
      <w:pPr>
        <w:pBdr>
          <w:top w:val="single" w:sz="4" w:space="1" w:color="auto"/>
          <w:left w:val="single" w:sz="4" w:space="4" w:color="auto"/>
          <w:bottom w:val="single" w:sz="4" w:space="1" w:color="auto"/>
          <w:right w:val="single" w:sz="4" w:space="4" w:color="auto"/>
        </w:pBdr>
      </w:pPr>
      <w:r>
        <w:t xml:space="preserve">To find the appropriate level of α and β, we need to solve for these two terms in </w:t>
      </w:r>
    </w:p>
    <w:p w:rsidR="002E2C5C" w:rsidRDefault="00FB3343" w:rsidP="00C8234E">
      <w:pPr>
        <w:pBdr>
          <w:top w:val="single" w:sz="4" w:space="1" w:color="auto"/>
          <w:left w:val="single" w:sz="4" w:space="4" w:color="auto"/>
          <w:bottom w:val="single" w:sz="4" w:space="1" w:color="auto"/>
          <w:right w:val="single" w:sz="4" w:space="4" w:color="auto"/>
        </w:pBdr>
      </w:pPr>
      <m:oMath>
        <m:f>
          <m:fPr>
            <m:ctrlPr>
              <w:rPr>
                <w:rFonts w:ascii="Cambria Math" w:hAnsi="Cambria Math"/>
                <w:i/>
              </w:rPr>
            </m:ctrlPr>
          </m:fPr>
          <m:num>
            <m:r>
              <w:rPr>
                <w:rFonts w:ascii="Cambria Math" w:hAnsi="Cambria Math"/>
                <w:sz w:val="20"/>
                <w:szCs w:val="20"/>
              </w:rPr>
              <m:t>P</m:t>
            </m:r>
            <m:r>
              <m:rPr>
                <m:sty m:val="p"/>
              </m:rPr>
              <w:rPr>
                <w:rFonts w:ascii="Cambria Math" w:hAnsi="Cambria Math"/>
                <w:sz w:val="20"/>
                <w:szCs w:val="20"/>
              </w:rPr>
              <m:t>β</m:t>
            </m:r>
          </m:num>
          <m:den>
            <m:r>
              <w:rPr>
                <w:rFonts w:ascii="Cambria Math" w:hAnsi="Cambria Math"/>
                <w:sz w:val="20"/>
                <w:szCs w:val="20"/>
              </w:rPr>
              <m:t>P</m:t>
            </m:r>
            <m:r>
              <m:rPr>
                <m:sty m:val="p"/>
              </m:rPr>
              <w:rPr>
                <w:rFonts w:ascii="Cambria Math" w:hAnsi="Cambria Math"/>
                <w:sz w:val="20"/>
                <w:szCs w:val="20"/>
              </w:rPr>
              <m:t>β</m:t>
            </m:r>
            <m:r>
              <m:rPr>
                <m:sty m:val="p"/>
              </m:rPr>
              <w:rPr>
                <w:rFonts w:ascii="Cambria Math"/>
                <w:sz w:val="20"/>
                <w:szCs w:val="20"/>
              </w:rPr>
              <m:t>+</m:t>
            </m:r>
            <m:r>
              <m:rPr>
                <m:sty m:val="p"/>
              </m:rPr>
              <w:rPr>
                <w:rFonts w:ascii="Cambria Math" w:hAnsi="Cambria Math"/>
                <w:sz w:val="20"/>
                <w:szCs w:val="20"/>
              </w:rPr>
              <m:t xml:space="preserve">(1 – </m:t>
            </m:r>
            <m:r>
              <w:rPr>
                <w:rFonts w:ascii="Cambria Math" w:hAnsi="Cambria Math"/>
                <w:sz w:val="20"/>
                <w:szCs w:val="20"/>
              </w:rPr>
              <m:t>P</m:t>
            </m:r>
            <m:r>
              <m:rPr>
                <m:sty m:val="p"/>
              </m:rPr>
              <w:rPr>
                <w:rFonts w:ascii="Cambria Math" w:hAnsi="Cambria Math"/>
                <w:sz w:val="20"/>
                <w:szCs w:val="20"/>
              </w:rPr>
              <m:t>)(1 – α)</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 xml:space="preserve"> </m:t>
        </m:r>
      </m:oMath>
      <w:proofErr w:type="gramStart"/>
      <w:r w:rsidR="002E2C5C">
        <w:t>and</w:t>
      </w:r>
      <w:proofErr w:type="gramEnd"/>
      <w:r w:rsidR="002E2C5C">
        <w:tab/>
      </w:r>
    </w:p>
    <w:p w:rsidR="002E2C5C" w:rsidRDefault="00FB3343" w:rsidP="00C8234E">
      <w:pPr>
        <w:pBdr>
          <w:top w:val="single" w:sz="4" w:space="1" w:color="auto"/>
          <w:left w:val="single" w:sz="4" w:space="4" w:color="auto"/>
          <w:bottom w:val="single" w:sz="4" w:space="1" w:color="auto"/>
          <w:right w:val="single" w:sz="4" w:space="4" w:color="auto"/>
        </w:pBdr>
      </w:pPr>
      <m:oMath>
        <m:f>
          <m:fPr>
            <m:ctrlPr>
              <w:rPr>
                <w:rFonts w:ascii="Cambria Math" w:hAnsi="Cambria Math"/>
                <w:i/>
              </w:rPr>
            </m:ctrlPr>
          </m:fPr>
          <m:num>
            <m:d>
              <m:dPr>
                <m:ctrlPr>
                  <w:rPr>
                    <w:rFonts w:ascii="Cambria Math" w:hAnsi="Cambria Math"/>
                    <w:i/>
                    <w:sz w:val="20"/>
                    <w:szCs w:val="20"/>
                  </w:rPr>
                </m:ctrlPr>
              </m:dPr>
              <m:e>
                <m:r>
                  <w:rPr>
                    <w:rFonts w:ascii="Cambria Math" w:hAnsi="Cambria Math"/>
                    <w:sz w:val="20"/>
                    <w:szCs w:val="20"/>
                  </w:rPr>
                  <m:t>1-P</m:t>
                </m:r>
              </m:e>
            </m:d>
            <m:r>
              <m:rPr>
                <m:sty m:val="p"/>
              </m:rPr>
              <w:rPr>
                <w:rFonts w:ascii="Cambria Math" w:hAnsi="Cambria Math"/>
                <w:sz w:val="20"/>
                <w:szCs w:val="20"/>
              </w:rPr>
              <m:t>α</m:t>
            </m:r>
          </m:num>
          <m:den>
            <m:d>
              <m:dPr>
                <m:ctrlPr>
                  <w:rPr>
                    <w:rFonts w:ascii="Cambria Math" w:hAnsi="Cambria Math"/>
                    <w:i/>
                    <w:sz w:val="20"/>
                    <w:szCs w:val="20"/>
                  </w:rPr>
                </m:ctrlPr>
              </m:dPr>
              <m:e>
                <m:r>
                  <w:rPr>
                    <w:rFonts w:ascii="Cambria Math" w:hAnsi="Cambria Math"/>
                    <w:sz w:val="20"/>
                    <w:szCs w:val="20"/>
                  </w:rPr>
                  <m:t>1-P</m:t>
                </m:r>
              </m:e>
            </m:d>
            <m:r>
              <m:rPr>
                <m:sty m:val="p"/>
              </m:rPr>
              <w:rPr>
                <w:rFonts w:ascii="Cambria Math" w:hAnsi="Cambria Math"/>
                <w:sz w:val="20"/>
                <w:szCs w:val="20"/>
              </w:rPr>
              <m:t>α</m:t>
            </m:r>
            <m:r>
              <m:rPr>
                <m:sty m:val="p"/>
              </m:rPr>
              <w:rPr>
                <w:rFonts w:ascii="Cambria Math"/>
                <w:sz w:val="20"/>
                <w:szCs w:val="20"/>
              </w:rPr>
              <m:t>+</m:t>
            </m:r>
            <m:r>
              <w:rPr>
                <w:rFonts w:ascii="Cambria Math" w:hAnsi="Cambria Math"/>
                <w:sz w:val="20"/>
                <w:szCs w:val="20"/>
              </w:rPr>
              <m:t>P</m:t>
            </m:r>
            <m:d>
              <m:dPr>
                <m:ctrlPr>
                  <w:rPr>
                    <w:rFonts w:ascii="Cambria Math" w:hAnsi="Cambria Math"/>
                    <w:sz w:val="20"/>
                    <w:szCs w:val="20"/>
                  </w:rPr>
                </m:ctrlPr>
              </m:dPr>
              <m:e>
                <m:r>
                  <m:rPr>
                    <m:sty m:val="p"/>
                  </m:rPr>
                  <w:rPr>
                    <w:rFonts w:ascii="Cambria Math" w:hAnsi="Cambria Math"/>
                    <w:sz w:val="20"/>
                    <w:szCs w:val="20"/>
                  </w:rPr>
                  <m:t>1 – β</m:t>
                </m:r>
              </m:e>
            </m:d>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m:t>
        </m:r>
      </m:oMath>
      <w:r w:rsidR="002E2C5C">
        <w:tab/>
      </w:r>
    </w:p>
    <w:p w:rsidR="002E2C5C" w:rsidRPr="00386730" w:rsidRDefault="002E2C5C" w:rsidP="00C8234E">
      <w:pPr>
        <w:pBdr>
          <w:top w:val="single" w:sz="4" w:space="1" w:color="auto"/>
          <w:left w:val="single" w:sz="4" w:space="4" w:color="auto"/>
          <w:bottom w:val="single" w:sz="4" w:space="1" w:color="auto"/>
          <w:right w:val="single" w:sz="4" w:space="4" w:color="auto"/>
        </w:pBdr>
      </w:pPr>
      <w:proofErr w:type="gramStart"/>
      <w:r>
        <w:t>where</w:t>
      </w:r>
      <w:proofErr w:type="gramEnd"/>
      <w:r>
        <w:t xml:space="preserve"> </w:t>
      </w:r>
      <m:oMath>
        <m:sSub>
          <m:sSubPr>
            <m:ctrlPr>
              <w:rPr>
                <w:rFonts w:ascii="Cambria Math" w:hAnsi="Cambria Math"/>
                <w:i/>
              </w:rPr>
            </m:ctrlPr>
          </m:sSubPr>
          <m:e>
            <m:r>
              <w:rPr>
                <w:rFonts w:ascii="Cambria Math" w:hAnsi="Cambria Math"/>
              </w:rPr>
              <m:t>R</m:t>
            </m:r>
          </m:e>
          <m:sub>
            <m:r>
              <w:rPr>
                <w:rFonts w:ascii="Cambria Math" w:hAnsi="Cambria Math"/>
              </w:rPr>
              <m:t>r</m:t>
            </m:r>
          </m:sub>
        </m:sSub>
      </m:oMath>
      <w:r>
        <w:t xml:space="preserve"> is the prescribed regulator’s risk and </w:t>
      </w:r>
      <m:oMath>
        <m:sSub>
          <m:sSubPr>
            <m:ctrlPr>
              <w:rPr>
                <w:rFonts w:ascii="Cambria Math" w:hAnsi="Cambria Math"/>
                <w:i/>
              </w:rPr>
            </m:ctrlPr>
          </m:sSubPr>
          <m:e>
            <m:r>
              <w:rPr>
                <w:rFonts w:ascii="Cambria Math" w:hAnsi="Cambria Math"/>
              </w:rPr>
              <m:t>R</m:t>
            </m:r>
          </m:e>
          <m:sub>
            <m:r>
              <w:rPr>
                <w:rFonts w:ascii="Cambria Math" w:hAnsi="Cambria Math"/>
              </w:rPr>
              <m:t>p</m:t>
            </m:r>
          </m:sub>
        </m:sSub>
      </m:oMath>
      <w:r>
        <w:t xml:space="preserve"> is the nominated proponent’s risk.</w:t>
      </w:r>
    </w:p>
    <w:p w:rsidR="002E2C5C" w:rsidRDefault="002E2C5C" w:rsidP="00C8234E">
      <w:pPr>
        <w:pBdr>
          <w:top w:val="single" w:sz="4" w:space="1" w:color="auto"/>
          <w:left w:val="single" w:sz="4" w:space="4" w:color="auto"/>
          <w:bottom w:val="single" w:sz="4" w:space="1" w:color="auto"/>
          <w:right w:val="single" w:sz="4" w:space="4" w:color="auto"/>
        </w:pBdr>
      </w:pPr>
      <w:r>
        <w:t>Let’s say that for a given sampling design and species of interest the coefficient of variation is estimated to be 50%. If the regulator</w:t>
      </w:r>
      <w:r w:rsidR="00CB7D22">
        <w:t>’s model</w:t>
      </w:r>
      <w:r w:rsidR="00532F48">
        <w:t xml:space="preserve"> </w:t>
      </w:r>
      <w:r>
        <w:t xml:space="preserve">estimates that a project poses a </w:t>
      </w:r>
      <w:r w:rsidRPr="007810EB">
        <w:rPr>
          <w:i/>
        </w:rPr>
        <w:t>P</w:t>
      </w:r>
      <w:r>
        <w:t xml:space="preserve"> = 0.10 risk of a 25% decline in a local population of an endangered species, and if </w:t>
      </w:r>
      <m:oMath>
        <m:sSub>
          <m:sSubPr>
            <m:ctrlPr>
              <w:rPr>
                <w:rFonts w:ascii="Cambria Math" w:hAnsi="Cambria Math"/>
                <w:i/>
              </w:rPr>
            </m:ctrlPr>
          </m:sSubPr>
          <m:e>
            <m:r>
              <w:rPr>
                <w:rFonts w:ascii="Cambria Math" w:hAnsi="Cambria Math"/>
              </w:rPr>
              <m:t>R</m:t>
            </m:r>
          </m:e>
          <m:sub>
            <m:r>
              <w:rPr>
                <w:rFonts w:ascii="Cambria Math" w:hAnsi="Cambria Math"/>
              </w:rPr>
              <m:t>r</m:t>
            </m:r>
          </m:sub>
        </m:sSub>
      </m:oMath>
      <w:r>
        <w:t xml:space="preserve"> is set at 0.05 and </w:t>
      </w:r>
      <m:oMath>
        <m:sSub>
          <m:sSubPr>
            <m:ctrlPr>
              <w:rPr>
                <w:rFonts w:ascii="Cambria Math" w:hAnsi="Cambria Math"/>
                <w:i/>
              </w:rPr>
            </m:ctrlPr>
          </m:sSubPr>
          <m:e>
            <m:r>
              <w:rPr>
                <w:rFonts w:ascii="Cambria Math" w:hAnsi="Cambria Math"/>
              </w:rPr>
              <m:t>R</m:t>
            </m:r>
          </m:e>
          <m:sub>
            <m:r>
              <w:rPr>
                <w:rFonts w:ascii="Cambria Math" w:hAnsi="Cambria Math"/>
              </w:rPr>
              <m:t>p</m:t>
            </m:r>
          </m:sub>
        </m:sSub>
      </m:oMath>
      <w:r>
        <w:t xml:space="preserve"> is assigned a nominal value of 0.01, then the required sample size in any one year is 44 (with α = 0.001 and β = 0.473).  The p</w:t>
      </w:r>
      <w:proofErr w:type="spellStart"/>
      <w:r>
        <w:t>roponent</w:t>
      </w:r>
      <w:proofErr w:type="spellEnd"/>
      <w:r>
        <w:t xml:space="preserve"> may be disinclined to incur the costs of monitoring associated with annual sampling of 44 units.  Increasing </w:t>
      </w:r>
      <m:oMath>
        <m:sSub>
          <m:sSubPr>
            <m:ctrlPr>
              <w:rPr>
                <w:rFonts w:ascii="Cambria Math" w:hAnsi="Cambria Math"/>
                <w:i/>
              </w:rPr>
            </m:ctrlPr>
          </m:sSubPr>
          <m:e>
            <m:r>
              <w:rPr>
                <w:rFonts w:ascii="Cambria Math" w:hAnsi="Cambria Math"/>
              </w:rPr>
              <m:t>R</m:t>
            </m:r>
          </m:e>
          <m:sub>
            <m:r>
              <w:rPr>
                <w:rFonts w:ascii="Cambria Math" w:hAnsi="Cambria Math"/>
              </w:rPr>
              <m:t>p</m:t>
            </m:r>
          </m:sub>
        </m:sSub>
      </m:oMath>
      <w:r>
        <w:t xml:space="preserve"> to 0.05 the proponent’s required sample size is now 32 (with α = 0.003 and β = 0.472).</w:t>
      </w:r>
    </w:p>
    <w:p w:rsidR="00C8234E" w:rsidRDefault="002E2C5C" w:rsidP="00C8234E">
      <w:pPr>
        <w:pBdr>
          <w:top w:val="single" w:sz="4" w:space="1" w:color="auto"/>
          <w:left w:val="single" w:sz="4" w:space="4" w:color="auto"/>
          <w:bottom w:val="single" w:sz="4" w:space="1" w:color="auto"/>
          <w:right w:val="single" w:sz="4" w:space="4" w:color="auto"/>
        </w:pBdr>
      </w:pPr>
      <w:r>
        <w:t xml:space="preserve">A series of analyses can be run to inform the proponent’s decision on what sampling effort </w:t>
      </w:r>
      <w:r w:rsidR="00CB7D22">
        <w:t>may be appropriate for it to fund</w:t>
      </w:r>
      <w:r>
        <w:t xml:space="preserve">.  It </w:t>
      </w:r>
      <w:r w:rsidRPr="00C35723">
        <w:rPr>
          <w:i/>
        </w:rPr>
        <w:t>must</w:t>
      </w:r>
      <w:r>
        <w:t xml:space="preserve"> satisfy the prescribed regulator’s risk. In doing so, it may tolerate a high false harm rate for lower mon</w:t>
      </w:r>
      <w:r w:rsidR="00C8234E">
        <w:t xml:space="preserve">itoring costs, or vice-versa. </w:t>
      </w:r>
    </w:p>
    <w:p w:rsidR="00EB6459" w:rsidRDefault="00EB6459" w:rsidP="00EB6459">
      <w:pPr>
        <w:pBdr>
          <w:top w:val="single" w:sz="4" w:space="1" w:color="auto"/>
          <w:left w:val="single" w:sz="4" w:space="4" w:color="auto"/>
          <w:bottom w:val="single" w:sz="4" w:space="1" w:color="auto"/>
          <w:right w:val="single" w:sz="4" w:space="4" w:color="auto"/>
        </w:pBdr>
        <w:spacing w:after="0"/>
      </w:pPr>
    </w:p>
    <w:p w:rsidR="00B15E8E" w:rsidRPr="00C15749" w:rsidRDefault="00EB6459" w:rsidP="00EB6459">
      <w:pPr>
        <w:pBdr>
          <w:top w:val="single" w:sz="4" w:space="1" w:color="auto"/>
          <w:left w:val="single" w:sz="4" w:space="4" w:color="auto"/>
          <w:bottom w:val="single" w:sz="4" w:space="1" w:color="auto"/>
          <w:right w:val="single" w:sz="4" w:space="4" w:color="auto"/>
        </w:pBdr>
        <w:spacing w:after="0"/>
        <w:rPr>
          <w:sz w:val="20"/>
          <w:szCs w:val="20"/>
        </w:rPr>
      </w:pPr>
      <w:r>
        <w:lastRenderedPageBreak/>
        <w:t xml:space="preserve">  </w:t>
      </w:r>
      <w:r w:rsidR="00B15E8E">
        <w:rPr>
          <w:sz w:val="20"/>
          <w:szCs w:val="20"/>
        </w:rPr>
        <w:t>(a</w:t>
      </w:r>
      <w:r w:rsidR="00B15E8E" w:rsidRPr="00C15749">
        <w:rPr>
          <w:sz w:val="20"/>
          <w:szCs w:val="20"/>
        </w:rPr>
        <w:t>)</w:t>
      </w:r>
    </w:p>
    <w:p w:rsidR="00B15E8E" w:rsidRDefault="00EB6459" w:rsidP="003D5D00">
      <w:pPr>
        <w:pBdr>
          <w:top w:val="single" w:sz="4" w:space="1" w:color="auto"/>
          <w:left w:val="single" w:sz="4" w:space="4" w:color="auto"/>
          <w:bottom w:val="single" w:sz="4" w:space="1" w:color="auto"/>
          <w:right w:val="single" w:sz="4" w:space="4" w:color="auto"/>
        </w:pBdr>
        <w:spacing w:after="0"/>
        <w:jc w:val="center"/>
      </w:pPr>
      <w:r w:rsidRPr="00EB6459">
        <w:rPr>
          <w:noProof/>
          <w:lang w:eastAsia="en-AU"/>
        </w:rPr>
        <w:drawing>
          <wp:inline distT="0" distB="0" distL="0" distR="0">
            <wp:extent cx="5836920" cy="23894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6920" cy="2389438"/>
                    </a:xfrm>
                    <a:prstGeom prst="rect">
                      <a:avLst/>
                    </a:prstGeom>
                    <a:noFill/>
                    <a:ln>
                      <a:noFill/>
                    </a:ln>
                  </pic:spPr>
                </pic:pic>
              </a:graphicData>
            </a:graphic>
          </wp:inline>
        </w:drawing>
      </w:r>
    </w:p>
    <w:p w:rsidR="00B15E8E" w:rsidRPr="00C15749" w:rsidRDefault="00EB6459" w:rsidP="00EB6459">
      <w:pPr>
        <w:pBdr>
          <w:top w:val="single" w:sz="4" w:space="1" w:color="auto"/>
          <w:left w:val="single" w:sz="4" w:space="4" w:color="auto"/>
          <w:bottom w:val="single" w:sz="4" w:space="1" w:color="auto"/>
          <w:right w:val="single" w:sz="4" w:space="4" w:color="auto"/>
        </w:pBdr>
        <w:spacing w:after="0"/>
        <w:rPr>
          <w:sz w:val="20"/>
          <w:szCs w:val="20"/>
        </w:rPr>
      </w:pPr>
      <w:r>
        <w:rPr>
          <w:sz w:val="20"/>
          <w:szCs w:val="20"/>
        </w:rPr>
        <w:t xml:space="preserve">  </w:t>
      </w:r>
      <w:r w:rsidR="00B15E8E" w:rsidRPr="00C15749">
        <w:rPr>
          <w:sz w:val="20"/>
          <w:szCs w:val="20"/>
        </w:rPr>
        <w:t>(</w:t>
      </w:r>
      <w:r w:rsidR="00B15E8E">
        <w:rPr>
          <w:sz w:val="20"/>
          <w:szCs w:val="20"/>
        </w:rPr>
        <w:t>b</w:t>
      </w:r>
      <w:r w:rsidR="00B15E8E" w:rsidRPr="00C15749">
        <w:rPr>
          <w:sz w:val="20"/>
          <w:szCs w:val="20"/>
        </w:rPr>
        <w:t>)</w:t>
      </w:r>
    </w:p>
    <w:p w:rsidR="00B15E8E" w:rsidRDefault="00EB6459" w:rsidP="003D5D00">
      <w:pPr>
        <w:pBdr>
          <w:top w:val="single" w:sz="4" w:space="1" w:color="auto"/>
          <w:left w:val="single" w:sz="4" w:space="4" w:color="auto"/>
          <w:bottom w:val="single" w:sz="4" w:space="1" w:color="auto"/>
          <w:right w:val="single" w:sz="4" w:space="4" w:color="auto"/>
        </w:pBdr>
        <w:spacing w:after="0"/>
        <w:jc w:val="center"/>
      </w:pPr>
      <w:r w:rsidRPr="00EB6459">
        <w:rPr>
          <w:noProof/>
          <w:lang w:eastAsia="en-AU"/>
        </w:rPr>
        <w:drawing>
          <wp:inline distT="0" distB="0" distL="0" distR="0">
            <wp:extent cx="5836920" cy="23901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6920" cy="2390144"/>
                    </a:xfrm>
                    <a:prstGeom prst="rect">
                      <a:avLst/>
                    </a:prstGeom>
                    <a:noFill/>
                    <a:ln>
                      <a:noFill/>
                    </a:ln>
                  </pic:spPr>
                </pic:pic>
              </a:graphicData>
            </a:graphic>
          </wp:inline>
        </w:drawing>
      </w:r>
    </w:p>
    <w:p w:rsidR="00B15E8E" w:rsidRPr="00C15749" w:rsidRDefault="00EB6459" w:rsidP="00EB6459">
      <w:pPr>
        <w:pBdr>
          <w:top w:val="single" w:sz="4" w:space="1" w:color="auto"/>
          <w:left w:val="single" w:sz="4" w:space="4" w:color="auto"/>
          <w:bottom w:val="single" w:sz="4" w:space="1" w:color="auto"/>
          <w:right w:val="single" w:sz="4" w:space="4" w:color="auto"/>
        </w:pBdr>
        <w:spacing w:after="0"/>
        <w:rPr>
          <w:sz w:val="20"/>
          <w:szCs w:val="20"/>
        </w:rPr>
      </w:pPr>
      <w:r>
        <w:rPr>
          <w:sz w:val="20"/>
          <w:szCs w:val="20"/>
        </w:rPr>
        <w:t xml:space="preserve">  </w:t>
      </w:r>
      <w:r w:rsidR="00B15E8E" w:rsidRPr="00C15749">
        <w:rPr>
          <w:sz w:val="20"/>
          <w:szCs w:val="20"/>
        </w:rPr>
        <w:t>(c)</w:t>
      </w:r>
    </w:p>
    <w:p w:rsidR="00B15E8E" w:rsidRDefault="00EB6459" w:rsidP="003D5D00">
      <w:pPr>
        <w:pBdr>
          <w:top w:val="single" w:sz="4" w:space="1" w:color="auto"/>
          <w:left w:val="single" w:sz="4" w:space="4" w:color="auto"/>
          <w:bottom w:val="single" w:sz="4" w:space="1" w:color="auto"/>
          <w:right w:val="single" w:sz="4" w:space="4" w:color="auto"/>
        </w:pBdr>
        <w:spacing w:after="0"/>
        <w:jc w:val="center"/>
      </w:pPr>
      <w:r w:rsidRPr="00EB6459">
        <w:rPr>
          <w:noProof/>
          <w:lang w:eastAsia="en-AU"/>
        </w:rPr>
        <w:drawing>
          <wp:inline distT="0" distB="0" distL="0" distR="0">
            <wp:extent cx="5836920" cy="238369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6920" cy="2383693"/>
                    </a:xfrm>
                    <a:prstGeom prst="rect">
                      <a:avLst/>
                    </a:prstGeom>
                    <a:noFill/>
                    <a:ln>
                      <a:noFill/>
                    </a:ln>
                  </pic:spPr>
                </pic:pic>
              </a:graphicData>
            </a:graphic>
          </wp:inline>
        </w:drawing>
      </w:r>
    </w:p>
    <w:p w:rsidR="00B15E8E" w:rsidRDefault="00B15E8E" w:rsidP="00C8234E">
      <w:pPr>
        <w:pBdr>
          <w:top w:val="single" w:sz="4" w:space="1" w:color="auto"/>
          <w:left w:val="single" w:sz="4" w:space="4" w:color="auto"/>
          <w:bottom w:val="single" w:sz="4" w:space="1" w:color="auto"/>
          <w:right w:val="single" w:sz="4" w:space="4" w:color="auto"/>
        </w:pBdr>
        <w:spacing w:after="0"/>
      </w:pPr>
      <w:r w:rsidRPr="00C15749">
        <w:rPr>
          <w:sz w:val="20"/>
          <w:szCs w:val="20"/>
        </w:rPr>
        <w:t>The trade-off between proponent’s risk (</w:t>
      </w:r>
      <w:proofErr w:type="spellStart"/>
      <w:r>
        <w:rPr>
          <w:i/>
          <w:sz w:val="20"/>
          <w:szCs w:val="20"/>
        </w:rPr>
        <w:t>R</w:t>
      </w:r>
      <w:r>
        <w:rPr>
          <w:i/>
          <w:sz w:val="20"/>
          <w:szCs w:val="20"/>
          <w:vertAlign w:val="subscript"/>
        </w:rPr>
        <w:t>p</w:t>
      </w:r>
      <w:proofErr w:type="spellEnd"/>
      <w:r w:rsidRPr="00C15749">
        <w:rPr>
          <w:sz w:val="20"/>
          <w:szCs w:val="20"/>
        </w:rPr>
        <w:t xml:space="preserve">) and sampling effort for a prescribed regulator’s risk </w:t>
      </w:r>
      <w:proofErr w:type="spellStart"/>
      <w:r>
        <w:rPr>
          <w:i/>
          <w:sz w:val="20"/>
          <w:szCs w:val="20"/>
        </w:rPr>
        <w:t>R</w:t>
      </w:r>
      <w:r>
        <w:rPr>
          <w:i/>
          <w:sz w:val="20"/>
          <w:szCs w:val="20"/>
          <w:vertAlign w:val="subscript"/>
        </w:rPr>
        <w:t>r</w:t>
      </w:r>
      <w:proofErr w:type="spellEnd"/>
      <w:r w:rsidRPr="00C15749">
        <w:rPr>
          <w:sz w:val="20"/>
          <w:szCs w:val="20"/>
        </w:rPr>
        <w:t xml:space="preserve"> = 0.05, a threshold for harm of 25% population decline, and a coefficient of variation (CV) of (a) CV = 25%, (b) CV = 50%, and (c) CV = 100%.  The graphs also show the total probability monitoring will indicate harm (true harm + false harm).  Results indicate the required sampling effort required is highly sensitive to </w:t>
      </w:r>
      <w:r w:rsidRPr="00C15749">
        <w:rPr>
          <w:i/>
          <w:sz w:val="20"/>
          <w:szCs w:val="20"/>
        </w:rPr>
        <w:t>P</w:t>
      </w:r>
      <w:r w:rsidRPr="00C15749">
        <w:rPr>
          <w:sz w:val="20"/>
          <w:szCs w:val="20"/>
        </w:rPr>
        <w:t xml:space="preserve">, </w:t>
      </w:r>
      <w:proofErr w:type="spellStart"/>
      <w:r w:rsidRPr="00C15749">
        <w:rPr>
          <w:i/>
          <w:sz w:val="20"/>
          <w:szCs w:val="20"/>
        </w:rPr>
        <w:t>R</w:t>
      </w:r>
      <w:r w:rsidRPr="00C15749">
        <w:rPr>
          <w:i/>
          <w:sz w:val="20"/>
          <w:szCs w:val="20"/>
          <w:vertAlign w:val="subscript"/>
        </w:rPr>
        <w:t>p</w:t>
      </w:r>
      <w:proofErr w:type="spellEnd"/>
      <w:r w:rsidRPr="00C15749">
        <w:rPr>
          <w:sz w:val="20"/>
          <w:szCs w:val="20"/>
        </w:rPr>
        <w:t xml:space="preserve"> and </w:t>
      </w:r>
      <w:r w:rsidRPr="00C15749">
        <w:rPr>
          <w:i/>
          <w:sz w:val="20"/>
          <w:szCs w:val="20"/>
        </w:rPr>
        <w:t>CV</w:t>
      </w:r>
      <w:r>
        <w:t>.</w:t>
      </w:r>
    </w:p>
    <w:p w:rsidR="004847BD" w:rsidRDefault="004847BD">
      <w:r>
        <w:br w:type="page"/>
      </w:r>
    </w:p>
    <w:p w:rsidR="00E36154" w:rsidRDefault="00AC5F81" w:rsidP="00AC5F81">
      <w:pPr>
        <w:pStyle w:val="Heading3"/>
      </w:pPr>
      <w:bookmarkStart w:id="22" w:name="_Toc406768049"/>
      <w:r>
        <w:lastRenderedPageBreak/>
        <w:t xml:space="preserve">4.3 </w:t>
      </w:r>
      <w:r w:rsidR="00E36154">
        <w:t>Structured decision-making</w:t>
      </w:r>
      <w:bookmarkEnd w:id="22"/>
    </w:p>
    <w:p w:rsidR="00E36154" w:rsidRPr="00E36154" w:rsidRDefault="0093199C" w:rsidP="00E36154">
      <w:r>
        <w:t xml:space="preserve">Informed </w:t>
      </w:r>
      <w:r w:rsidR="002C0526">
        <w:t>negotiation</w:t>
      </w:r>
      <w:r>
        <w:t xml:space="preserve"> of acceptable risk for proponents and regulators will not materialise immediately. Parties need to better comprehend the implications of the outcomes of monitoring, the marginal gains (and losses) in clarity that can be made through changes to monitoring effort, and the distribution of costs and benefits. In short, negotiation of a robust, effective and enduring monitoring program that enjoys the support of all key stakeholders is not an automated exercise that can be </w:t>
      </w:r>
      <w:r w:rsidR="00532F48">
        <w:t>achieved</w:t>
      </w:r>
      <w:r>
        <w:t xml:space="preserve"> by technical analysts </w:t>
      </w:r>
      <w:r w:rsidR="00532F48">
        <w:t>in isolation from end-users</w:t>
      </w:r>
      <w:r>
        <w:t xml:space="preserve">. </w:t>
      </w:r>
    </w:p>
    <w:p w:rsidR="0093199C" w:rsidRDefault="00E36154" w:rsidP="00E36154">
      <w:r w:rsidRPr="0093199C">
        <w:t>Field et al. (2004) describe the optimal solution to the problem of how much monitoring ef</w:t>
      </w:r>
      <w:r w:rsidR="0093199C">
        <w:t xml:space="preserve">fort is enough.  These authors capture the problem using the same logic we have used in this report.  In their logic tree, the costs of true failure and false failure </w:t>
      </w:r>
      <w:r w:rsidR="002C0526">
        <w:t>are</w:t>
      </w:r>
      <w:r w:rsidR="0093199C">
        <w:t xml:space="preserve"> assumed to lead to remedial action,</w:t>
      </w:r>
      <w:r w:rsidR="0093199C" w:rsidRPr="0093199C">
        <w:rPr>
          <w:i/>
        </w:rPr>
        <w:t xml:space="preserve"> R</w:t>
      </w:r>
      <w:r w:rsidR="002C0526">
        <w:t>, of</w:t>
      </w:r>
      <w:r w:rsidR="0093199C">
        <w:t xml:space="preserve"> specified magnitude and monetary cost.  Likewise, the costs of environmental harm associated with false success are estimated in monetary terms (Figure </w:t>
      </w:r>
      <w:r w:rsidR="007C31DB">
        <w:t>20</w:t>
      </w:r>
      <w:r w:rsidR="0093199C">
        <w:t>). With this formulation the overarching objective of management is to minimise expected costs, E(C)</w:t>
      </w:r>
      <w:r w:rsidR="0013080F">
        <w:t>.  That is, design the monitoring program such that the Type I (α) and Type II (β) error rate</w:t>
      </w:r>
      <w:r w:rsidR="00D44179">
        <w:t>s</w:t>
      </w:r>
      <w:r w:rsidR="0013080F">
        <w:t xml:space="preserve"> </w:t>
      </w:r>
      <w:r w:rsidR="00D44179">
        <w:t>minimise</w:t>
      </w:r>
      <w:r w:rsidR="0013080F">
        <w:t xml:space="preserve"> expected cost in the equation, </w:t>
      </w:r>
    </w:p>
    <w:p w:rsidR="0093199C" w:rsidRPr="00EF721F" w:rsidRDefault="0093199C" w:rsidP="0013080F">
      <w:pPr>
        <w:ind w:left="720" w:firstLine="720"/>
      </w:pPr>
      <m:oMathPara>
        <m:oMathParaPr>
          <m:jc m:val="left"/>
        </m:oMathParaPr>
        <m:oMath>
          <m:r>
            <w:rPr>
              <w:rFonts w:ascii="Cambria Math" w:hAnsi="Cambria Math"/>
            </w:rPr>
            <m:t>E</m:t>
          </m:r>
          <m:d>
            <m:dPr>
              <m:ctrlPr>
                <w:rPr>
                  <w:rFonts w:ascii="Cambria Math" w:hAnsi="Cambria Math"/>
                  <w:i/>
                </w:rPr>
              </m:ctrlPr>
            </m:dPr>
            <m:e>
              <m:r>
                <w:rPr>
                  <w:rFonts w:ascii="Cambria Math" w:hAnsi="Cambria Math"/>
                </w:rPr>
                <m:t>C</m:t>
              </m:r>
            </m:e>
          </m:d>
          <m:r>
            <w:rPr>
              <w:rFonts w:ascii="Cambria Math" w:hAnsi="Cambria Math"/>
            </w:rPr>
            <m:t>=</m:t>
          </m:r>
          <m:d>
            <m:dPr>
              <m:ctrlPr>
                <w:rPr>
                  <w:rFonts w:ascii="Cambria Math" w:hAnsi="Cambria Math"/>
                  <w:i/>
                </w:rPr>
              </m:ctrlPr>
            </m:dPr>
            <m:e>
              <m:r>
                <w:rPr>
                  <w:rFonts w:ascii="Cambria Math" w:hAnsi="Cambria Math"/>
                </w:rPr>
                <m:t>1-P</m:t>
              </m:r>
            </m:e>
          </m:d>
          <m:r>
            <w:rPr>
              <w:rFonts w:ascii="Cambria Math" w:hAnsi="Cambria Math"/>
            </w:rPr>
            <m:t>αR+P</m:t>
          </m:r>
          <m:d>
            <m:dPr>
              <m:begChr m:val="["/>
              <m:endChr m:val="]"/>
              <m:ctrlPr>
                <w:rPr>
                  <w:rFonts w:ascii="Cambria Math" w:hAnsi="Cambria Math"/>
                  <w:i/>
                </w:rPr>
              </m:ctrlPr>
            </m:dPr>
            <m:e>
              <m:d>
                <m:dPr>
                  <m:ctrlPr>
                    <w:rPr>
                      <w:rFonts w:ascii="Cambria Math" w:hAnsi="Cambria Math"/>
                      <w:i/>
                    </w:rPr>
                  </m:ctrlPr>
                </m:dPr>
                <m:e>
                  <m:r>
                    <w:rPr>
                      <w:rFonts w:ascii="Cambria Math" w:hAnsi="Cambria Math"/>
                    </w:rPr>
                    <m:t>1-β</m:t>
                  </m:r>
                </m:e>
              </m:d>
              <m:r>
                <w:rPr>
                  <w:rFonts w:ascii="Cambria Math" w:hAnsi="Cambria Math"/>
                </w:rPr>
                <m:t>R+βV</m:t>
              </m:r>
            </m:e>
          </m:d>
          <m:r>
            <w:rPr>
              <w:rFonts w:ascii="Cambria Math" w:hAnsi="Cambria Math"/>
            </w:rPr>
            <m:t>+M</m:t>
          </m:r>
        </m:oMath>
      </m:oMathPara>
    </w:p>
    <w:p w:rsidR="0093199C" w:rsidRPr="0093199C" w:rsidRDefault="0013080F" w:rsidP="00E36154">
      <w:proofErr w:type="gramStart"/>
      <w:r w:rsidRPr="00285916">
        <w:t>where</w:t>
      </w:r>
      <w:proofErr w:type="gramEnd"/>
      <w:r w:rsidRPr="00285916">
        <w:t xml:space="preserve"> </w:t>
      </w:r>
      <w:r w:rsidRPr="00285916">
        <w:rPr>
          <w:i/>
        </w:rPr>
        <w:t>M</w:t>
      </w:r>
      <w:r w:rsidRPr="00285916">
        <w:t xml:space="preserve"> </w:t>
      </w:r>
      <w:r w:rsidR="00285916" w:rsidRPr="00285916">
        <w:t>is the monetary</w:t>
      </w:r>
      <w:r w:rsidR="00285916">
        <w:t xml:space="preserve"> cost of data acquisition and analysis in the monitoring program.</w:t>
      </w:r>
    </w:p>
    <w:p w:rsidR="00E36154" w:rsidRDefault="00E36154" w:rsidP="00E36154"/>
    <w:p w:rsidR="00E36154" w:rsidRDefault="00E36154" w:rsidP="00362C1C">
      <w:pPr>
        <w:jc w:val="center"/>
      </w:pPr>
      <w:r>
        <w:rPr>
          <w:noProof/>
          <w:lang w:eastAsia="en-AU"/>
        </w:rPr>
        <w:drawing>
          <wp:inline distT="0" distB="0" distL="0" distR="0">
            <wp:extent cx="3560400" cy="25956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0400" cy="2595600"/>
                    </a:xfrm>
                    <a:prstGeom prst="rect">
                      <a:avLst/>
                    </a:prstGeom>
                    <a:noFill/>
                  </pic:spPr>
                </pic:pic>
              </a:graphicData>
            </a:graphic>
          </wp:inline>
        </w:drawing>
      </w:r>
    </w:p>
    <w:p w:rsidR="00E36154" w:rsidRPr="00D253AB" w:rsidRDefault="0013080F" w:rsidP="00E36154">
      <w:pPr>
        <w:rPr>
          <w:sz w:val="20"/>
          <w:szCs w:val="20"/>
        </w:rPr>
      </w:pPr>
      <w:proofErr w:type="gramStart"/>
      <w:r w:rsidRPr="00D253AB">
        <w:rPr>
          <w:b/>
          <w:sz w:val="20"/>
          <w:szCs w:val="20"/>
          <w:shd w:val="clear" w:color="auto" w:fill="FFFFFF" w:themeFill="background1"/>
        </w:rPr>
        <w:t xml:space="preserve">Figure </w:t>
      </w:r>
      <w:r w:rsidR="00F548F8">
        <w:rPr>
          <w:b/>
          <w:sz w:val="20"/>
          <w:szCs w:val="20"/>
          <w:shd w:val="clear" w:color="auto" w:fill="FFFFFF" w:themeFill="background1"/>
        </w:rPr>
        <w:t>20</w:t>
      </w:r>
      <w:r w:rsidRPr="00D253AB">
        <w:rPr>
          <w:b/>
          <w:sz w:val="20"/>
          <w:szCs w:val="20"/>
          <w:shd w:val="clear" w:color="auto" w:fill="FFFFFF" w:themeFill="background1"/>
        </w:rPr>
        <w:t>.</w:t>
      </w:r>
      <w:proofErr w:type="gramEnd"/>
      <w:r w:rsidR="00D253AB" w:rsidRPr="00D253AB">
        <w:rPr>
          <w:sz w:val="20"/>
          <w:szCs w:val="20"/>
          <w:shd w:val="clear" w:color="auto" w:fill="FFFFFF" w:themeFill="background1"/>
        </w:rPr>
        <w:t xml:space="preserve">  </w:t>
      </w:r>
      <w:proofErr w:type="gramStart"/>
      <w:r w:rsidR="00D253AB" w:rsidRPr="00D253AB">
        <w:rPr>
          <w:sz w:val="20"/>
          <w:szCs w:val="20"/>
          <w:shd w:val="clear" w:color="auto" w:fill="FFFFFF" w:themeFill="background1"/>
        </w:rPr>
        <w:t>Formulation of the p</w:t>
      </w:r>
      <w:r w:rsidR="00D253AB" w:rsidRPr="00D253AB">
        <w:rPr>
          <w:sz w:val="20"/>
          <w:szCs w:val="20"/>
        </w:rPr>
        <w:t>roblem of allocation of resources to monitoring and management.</w:t>
      </w:r>
      <w:proofErr w:type="gramEnd"/>
      <w:r w:rsidR="00D253AB" w:rsidRPr="00D253AB">
        <w:rPr>
          <w:sz w:val="20"/>
          <w:szCs w:val="20"/>
        </w:rPr>
        <w:t xml:space="preserve"> </w:t>
      </w:r>
      <w:proofErr w:type="gramStart"/>
      <w:r w:rsidR="002C0526" w:rsidRPr="00D253AB">
        <w:rPr>
          <w:sz w:val="20"/>
          <w:szCs w:val="20"/>
        </w:rPr>
        <w:t>Adapted</w:t>
      </w:r>
      <w:r w:rsidR="00520AA4">
        <w:rPr>
          <w:sz w:val="20"/>
          <w:szCs w:val="20"/>
        </w:rPr>
        <w:t xml:space="preserve"> from Field et al. (200</w:t>
      </w:r>
      <w:r w:rsidR="00D253AB" w:rsidRPr="00D253AB">
        <w:rPr>
          <w:sz w:val="20"/>
          <w:szCs w:val="20"/>
        </w:rPr>
        <w:t>4).</w:t>
      </w:r>
      <w:proofErr w:type="gramEnd"/>
    </w:p>
    <w:p w:rsidR="00542D0B" w:rsidRPr="00542D0B" w:rsidRDefault="00542D0B" w:rsidP="00542D0B">
      <w:pPr>
        <w:shd w:val="clear" w:color="auto" w:fill="FFFFFF" w:themeFill="background1"/>
      </w:pPr>
      <w:r w:rsidRPr="00542D0B">
        <w:t>In concept, this formulation can be extended to multiple values (MNES and OUV) and infinite or near-infinite alternatives for remedial action and spatial and temporal configura</w:t>
      </w:r>
      <w:r w:rsidR="002C0526">
        <w:t>tion</w:t>
      </w:r>
      <w:r w:rsidRPr="00542D0B">
        <w:t>s</w:t>
      </w:r>
      <w:r w:rsidR="002C0526">
        <w:t xml:space="preserve"> </w:t>
      </w:r>
      <w:r w:rsidRPr="00542D0B">
        <w:t xml:space="preserve">of monitoring effort. But aside </w:t>
      </w:r>
      <w:r w:rsidR="002C0526" w:rsidRPr="00542D0B">
        <w:t>from</w:t>
      </w:r>
      <w:r w:rsidRPr="00542D0B">
        <w:t xml:space="preserve"> the challenges of valuation of environmental harm in monetary terms, the greatest challenge of immediate application is appreciation of each element of the decision problem and its </w:t>
      </w:r>
      <w:r w:rsidR="002C0526" w:rsidRPr="00542D0B">
        <w:t>implications</w:t>
      </w:r>
      <w:r w:rsidRPr="00542D0B">
        <w:t xml:space="preserve"> among the multiple managers and stakeholders that </w:t>
      </w:r>
      <w:r w:rsidR="002C0526" w:rsidRPr="00542D0B">
        <w:t>might</w:t>
      </w:r>
      <w:r w:rsidRPr="00542D0B">
        <w:t xml:space="preserve"> reas</w:t>
      </w:r>
      <w:r w:rsidR="002C0526">
        <w:t>onably</w:t>
      </w:r>
      <w:r w:rsidRPr="00542D0B">
        <w:t xml:space="preserve"> be expected to contribute to </w:t>
      </w:r>
      <w:proofErr w:type="gramStart"/>
      <w:r w:rsidRPr="00542D0B">
        <w:t>integrated</w:t>
      </w:r>
      <w:proofErr w:type="gramEnd"/>
      <w:r w:rsidRPr="00542D0B">
        <w:t xml:space="preserve"> monitoring on the GBR.   </w:t>
      </w:r>
    </w:p>
    <w:p w:rsidR="0013080F" w:rsidRDefault="0013080F" w:rsidP="00542D0B">
      <w:pPr>
        <w:shd w:val="clear" w:color="auto" w:fill="FFFFFF" w:themeFill="background1"/>
      </w:pPr>
      <w:r w:rsidRPr="00542D0B">
        <w:lastRenderedPageBreak/>
        <w:t xml:space="preserve">Our view is that ultimately managers of the GBR </w:t>
      </w:r>
      <w:r w:rsidR="00542D0B" w:rsidRPr="00542D0B">
        <w:t xml:space="preserve">will be well served by the </w:t>
      </w:r>
      <w:r w:rsidR="00AC3FFC" w:rsidRPr="00542D0B">
        <w:t>formulation</w:t>
      </w:r>
      <w:r w:rsidR="00542D0B" w:rsidRPr="00542D0B">
        <w:t xml:space="preserve"> of Field et al</w:t>
      </w:r>
      <w:r w:rsidR="00542D0B">
        <w:t>.</w:t>
      </w:r>
      <w:r w:rsidR="00542D0B" w:rsidRPr="00542D0B">
        <w:t xml:space="preserve"> (2004).  But as a stepping stone to optimisation, managers and stakeholders are likely to establish a better mutual understanding of imperatives, constraints and trade-offs through a structured decision-making</w:t>
      </w:r>
      <w:r w:rsidR="00542D0B">
        <w:t xml:space="preserve"> approach involving severa</w:t>
      </w:r>
      <w:r w:rsidR="00542D0B" w:rsidRPr="00542D0B">
        <w:t xml:space="preserve">l discrete alternatives for management and monitoring.  </w:t>
      </w:r>
      <w:proofErr w:type="gramStart"/>
      <w:r w:rsidR="00542D0B" w:rsidRPr="00542D0B">
        <w:t>As appreciation of the implications of alternatives grows, so too can complexity be accommodated, and progress made toward optimal, or near-optimal solutions.</w:t>
      </w:r>
      <w:proofErr w:type="gramEnd"/>
      <w:r w:rsidR="00542D0B">
        <w:t xml:space="preserve">   </w:t>
      </w:r>
    </w:p>
    <w:p w:rsidR="00D253AB" w:rsidRDefault="00D253AB" w:rsidP="00D253AB">
      <w:r>
        <w:t>Structured decision-making is an approach to multi-objective problems that insulates</w:t>
      </w:r>
      <w:r w:rsidRPr="002E212B">
        <w:t xml:space="preserve"> against common traps in decision-making</w:t>
      </w:r>
      <w:r>
        <w:t xml:space="preserve"> (Hammond et al. 2006). Through considered evaluation of a handful of discrete alternatives it </w:t>
      </w:r>
      <w:r w:rsidRPr="002E212B">
        <w:t xml:space="preserve">seeks to provide good solutions </w:t>
      </w:r>
      <w:r>
        <w:t>rather than optimal solutions.  In recommending structured decision-making, we recognise that the rules and constraints for search</w:t>
      </w:r>
      <w:r w:rsidR="00532F48">
        <w:t>ing for optimal solutions among</w:t>
      </w:r>
      <w:r>
        <w:t xml:space="preserve"> a vast set of alternatives using programming approaches (</w:t>
      </w:r>
      <w:proofErr w:type="spellStart"/>
      <w:r>
        <w:t>Chankong</w:t>
      </w:r>
      <w:proofErr w:type="spellEnd"/>
      <w:r>
        <w:t xml:space="preserve"> and </w:t>
      </w:r>
      <w:proofErr w:type="spellStart"/>
      <w:r>
        <w:t>Haimes</w:t>
      </w:r>
      <w:proofErr w:type="spellEnd"/>
      <w:r>
        <w:t xml:space="preserve"> 2008)</w:t>
      </w:r>
      <w:r w:rsidR="002330B2">
        <w:t xml:space="preserve"> </w:t>
      </w:r>
      <w:r>
        <w:t xml:space="preserve">will themselves be a source of disquiet among stakeholders and co-managers. </w:t>
      </w:r>
    </w:p>
    <w:p w:rsidR="00D253AB" w:rsidRPr="00270687" w:rsidRDefault="002330B2" w:rsidP="00D253AB">
      <w:r>
        <w:t>Structured decision-making</w:t>
      </w:r>
      <w:r w:rsidR="00D253AB" w:rsidRPr="00270687">
        <w:t xml:space="preserve"> involves five iterative steps (adapted from </w:t>
      </w:r>
      <w:r w:rsidR="00D253AB">
        <w:t>Gregory</w:t>
      </w:r>
      <w:r w:rsidR="00D253AB" w:rsidRPr="00270687">
        <w:t xml:space="preserve"> et al. 20</w:t>
      </w:r>
      <w:r w:rsidR="00D253AB">
        <w:t>12</w:t>
      </w:r>
      <w:r w:rsidR="00D253AB" w:rsidRPr="00270687">
        <w:t xml:space="preserve">):  </w:t>
      </w:r>
    </w:p>
    <w:p w:rsidR="00D253AB" w:rsidRPr="00270687" w:rsidRDefault="00D253AB" w:rsidP="00C0513B">
      <w:pPr>
        <w:numPr>
          <w:ilvl w:val="0"/>
          <w:numId w:val="21"/>
        </w:numPr>
        <w:spacing w:after="0" w:line="240" w:lineRule="auto"/>
      </w:pPr>
      <w:r w:rsidRPr="00270687">
        <w:t>Step 1   Define the decision frame</w:t>
      </w:r>
    </w:p>
    <w:p w:rsidR="00D253AB" w:rsidRPr="00270687" w:rsidRDefault="00D253AB" w:rsidP="00C0513B">
      <w:pPr>
        <w:numPr>
          <w:ilvl w:val="0"/>
          <w:numId w:val="21"/>
        </w:numPr>
        <w:spacing w:after="0" w:line="240" w:lineRule="auto"/>
      </w:pPr>
      <w:r w:rsidRPr="00270687">
        <w:t>Step 2   Define objectives</w:t>
      </w:r>
    </w:p>
    <w:p w:rsidR="00D253AB" w:rsidRPr="00270687" w:rsidRDefault="00D253AB" w:rsidP="00C0513B">
      <w:pPr>
        <w:numPr>
          <w:ilvl w:val="0"/>
          <w:numId w:val="21"/>
        </w:numPr>
        <w:spacing w:after="0" w:line="240" w:lineRule="auto"/>
      </w:pPr>
      <w:r w:rsidRPr="00270687">
        <w:t>Step 3   Develop alternatives</w:t>
      </w:r>
    </w:p>
    <w:p w:rsidR="00D253AB" w:rsidRPr="00270687" w:rsidRDefault="00D253AB" w:rsidP="00C0513B">
      <w:pPr>
        <w:numPr>
          <w:ilvl w:val="0"/>
          <w:numId w:val="21"/>
        </w:numPr>
        <w:spacing w:after="0" w:line="240" w:lineRule="auto"/>
      </w:pPr>
      <w:r w:rsidRPr="00270687">
        <w:t>Step 4   Estimate expected consequences, including plausible bounds</w:t>
      </w:r>
    </w:p>
    <w:p w:rsidR="00D253AB" w:rsidRDefault="00D253AB" w:rsidP="00C0513B">
      <w:pPr>
        <w:numPr>
          <w:ilvl w:val="0"/>
          <w:numId w:val="21"/>
        </w:numPr>
        <w:spacing w:after="0" w:line="240" w:lineRule="auto"/>
      </w:pPr>
      <w:r w:rsidRPr="00270687">
        <w:t>Step 5   Evaluate trade-offs and select an alternative</w:t>
      </w:r>
    </w:p>
    <w:p w:rsidR="00D253AB" w:rsidRPr="00270687" w:rsidRDefault="00D253AB" w:rsidP="00D253AB">
      <w:pPr>
        <w:spacing w:after="0" w:line="240" w:lineRule="auto"/>
        <w:ind w:left="720"/>
      </w:pPr>
    </w:p>
    <w:p w:rsidR="0013080F" w:rsidRDefault="00D253AB" w:rsidP="00D253AB">
      <w:r w:rsidRPr="00270687">
        <w:t>Here we outline t</w:t>
      </w:r>
      <w:r>
        <w:t xml:space="preserve">hese steps </w:t>
      </w:r>
      <w:r w:rsidR="00354E0B">
        <w:t xml:space="preserve">using a hypothetical sketch that is placed </w:t>
      </w:r>
      <w:r>
        <w:t>in the context of adaptive management and the LTSP2050</w:t>
      </w:r>
      <w:r w:rsidRPr="00270687">
        <w:t>.</w:t>
      </w:r>
    </w:p>
    <w:p w:rsidR="00285916" w:rsidRPr="008E6209" w:rsidRDefault="00285916" w:rsidP="00D832BA">
      <w:pPr>
        <w:spacing w:after="0"/>
        <w:rPr>
          <w:b/>
          <w:i/>
        </w:rPr>
      </w:pPr>
      <w:r w:rsidRPr="00285916">
        <w:rPr>
          <w:b/>
          <w:i/>
        </w:rPr>
        <w:t>Ste</w:t>
      </w:r>
      <w:r w:rsidR="008E6209">
        <w:rPr>
          <w:b/>
          <w:i/>
        </w:rPr>
        <w:t>p 1   Define the decision frame</w:t>
      </w:r>
    </w:p>
    <w:p w:rsidR="00285916" w:rsidRDefault="00285916" w:rsidP="00BD110C">
      <w:r>
        <w:t xml:space="preserve">There are many decisions and many decision frames at play in the GBR.  Here we choose just one – the achievement of LTSP2050 targets associated with </w:t>
      </w:r>
      <w:r w:rsidR="00354E0B">
        <w:t>water quality and their impli</w:t>
      </w:r>
      <w:r>
        <w:t>cations for seagrass meadows.</w:t>
      </w:r>
    </w:p>
    <w:p w:rsidR="00285916" w:rsidRPr="008E6209" w:rsidRDefault="008E6209" w:rsidP="00D832BA">
      <w:pPr>
        <w:spacing w:after="0"/>
        <w:rPr>
          <w:b/>
          <w:i/>
        </w:rPr>
      </w:pPr>
      <w:r>
        <w:rPr>
          <w:b/>
          <w:i/>
        </w:rPr>
        <w:t>Step 2   Define objectives</w:t>
      </w:r>
    </w:p>
    <w:p w:rsidR="00354E0B" w:rsidRDefault="00354E0B" w:rsidP="00BD110C">
      <w:r>
        <w:t>Among the fundamental o</w:t>
      </w:r>
      <w:r w:rsidR="00285916">
        <w:t xml:space="preserve">bjectives </w:t>
      </w:r>
      <w:r>
        <w:t xml:space="preserve">of the defined decision frame are the </w:t>
      </w:r>
      <w:r w:rsidR="00BD110C">
        <w:t xml:space="preserve">LTSP2050 </w:t>
      </w:r>
      <w:r>
        <w:t>targets of immediate relevance</w:t>
      </w:r>
      <w:r w:rsidR="00BD110C">
        <w:t>,</w:t>
      </w:r>
      <w:r>
        <w:t xml:space="preserve"> including:</w:t>
      </w:r>
    </w:p>
    <w:p w:rsidR="00285916" w:rsidRDefault="008E6209" w:rsidP="00C0513B">
      <w:pPr>
        <w:pStyle w:val="ListParagraph"/>
        <w:numPr>
          <w:ilvl w:val="0"/>
          <w:numId w:val="23"/>
        </w:numPr>
      </w:pPr>
      <w:r>
        <w:t>Agricultural best pra</w:t>
      </w:r>
      <w:r w:rsidR="00354E0B">
        <w:t>ctice (more is better)</w:t>
      </w:r>
    </w:p>
    <w:p w:rsidR="00354E0B" w:rsidRDefault="00354E0B" w:rsidP="00C0513B">
      <w:pPr>
        <w:pStyle w:val="ListParagraph"/>
        <w:numPr>
          <w:ilvl w:val="0"/>
          <w:numId w:val="23"/>
        </w:numPr>
      </w:pPr>
      <w:r>
        <w:t>Ports and shipping best practice (more is better)</w:t>
      </w:r>
    </w:p>
    <w:p w:rsidR="00354E0B" w:rsidRDefault="00354E0B" w:rsidP="00C0513B">
      <w:pPr>
        <w:pStyle w:val="ListParagraph"/>
        <w:numPr>
          <w:ilvl w:val="0"/>
          <w:numId w:val="23"/>
        </w:numPr>
      </w:pPr>
      <w:r>
        <w:t>End of catchment contaminant loads (less is better)</w:t>
      </w:r>
    </w:p>
    <w:p w:rsidR="00285916" w:rsidRDefault="00354E0B" w:rsidP="00C0513B">
      <w:pPr>
        <w:pStyle w:val="ListParagraph"/>
        <w:numPr>
          <w:ilvl w:val="0"/>
          <w:numId w:val="23"/>
        </w:numPr>
      </w:pPr>
      <w:r>
        <w:t>Seagrass condition</w:t>
      </w:r>
      <w:r w:rsidR="00AC3FFC">
        <w:t xml:space="preserve"> a</w:t>
      </w:r>
      <w:r>
        <w:t>nd extent (more is better).</w:t>
      </w:r>
    </w:p>
    <w:p w:rsidR="008E6209" w:rsidRDefault="00354E0B" w:rsidP="00BD110C">
      <w:r>
        <w:t>These objectives need to be trade</w:t>
      </w:r>
      <w:r w:rsidR="00BD110C">
        <w:t xml:space="preserve">d </w:t>
      </w:r>
      <w:r>
        <w:t>off against the objective of monetary cost (less is better).</w:t>
      </w:r>
      <w:r w:rsidR="008E6209">
        <w:t xml:space="preserve">  Monetary costs may be incurred through direct management intervention or through the costs involved in administering </w:t>
      </w:r>
      <w:r w:rsidR="009C0B43">
        <w:t xml:space="preserve">a specified monitoring program. </w:t>
      </w:r>
      <w:r w:rsidR="008E6209">
        <w:t xml:space="preserve">There are also embedded objectives </w:t>
      </w:r>
      <w:r w:rsidR="00473B42">
        <w:t>involving the</w:t>
      </w:r>
      <w:r w:rsidR="008E6209">
        <w:t xml:space="preserve"> costs of false success and false harm (less is better).</w:t>
      </w:r>
    </w:p>
    <w:p w:rsidR="00D832BA" w:rsidRDefault="00D832BA" w:rsidP="00D832BA">
      <w:pPr>
        <w:spacing w:after="0"/>
        <w:rPr>
          <w:b/>
          <w:i/>
        </w:rPr>
      </w:pPr>
      <w:r>
        <w:rPr>
          <w:b/>
          <w:i/>
        </w:rPr>
        <w:t>Step 3   Develop alternatives</w:t>
      </w:r>
    </w:p>
    <w:p w:rsidR="00285916" w:rsidRPr="00D832BA" w:rsidRDefault="00BD110C" w:rsidP="00BD110C">
      <w:pPr>
        <w:rPr>
          <w:b/>
          <w:i/>
        </w:rPr>
      </w:pPr>
      <w:r>
        <w:t xml:space="preserve">Alternatives </w:t>
      </w:r>
      <w:r w:rsidR="00354E0B">
        <w:t xml:space="preserve">comprise </w:t>
      </w:r>
      <w:r>
        <w:t xml:space="preserve">a small </w:t>
      </w:r>
      <w:r w:rsidR="00354E0B">
        <w:t xml:space="preserve">discrete </w:t>
      </w:r>
      <w:r>
        <w:t xml:space="preserve">subset of the many </w:t>
      </w:r>
      <w:r w:rsidR="00354E0B">
        <w:t>options</w:t>
      </w:r>
      <w:r>
        <w:t xml:space="preserve"> available</w:t>
      </w:r>
      <w:r w:rsidR="00354E0B">
        <w:t xml:space="preserve"> for management intervention and monitoring effort.</w:t>
      </w:r>
      <w:r>
        <w:t xml:space="preserve">  The idea in developing mutual understan</w:t>
      </w:r>
      <w:r w:rsidR="00532F48">
        <w:t xml:space="preserve">ding in a multi-party decision </w:t>
      </w:r>
      <w:r>
        <w:t xml:space="preserve">problem is to have enough alternatives to expose key consequences and trade-offs, but not </w:t>
      </w:r>
      <w:r>
        <w:lastRenderedPageBreak/>
        <w:t>so many that man</w:t>
      </w:r>
      <w:r w:rsidR="001D2B15">
        <w:t>a</w:t>
      </w:r>
      <w:r>
        <w:t xml:space="preserve">gers and stakeholders become </w:t>
      </w:r>
      <w:r w:rsidR="00AC3FFC">
        <w:t>overwhelmed</w:t>
      </w:r>
      <w:r>
        <w:t xml:space="preserve"> with complexity.  </w:t>
      </w:r>
      <w:r w:rsidR="00354E0B">
        <w:t>In our hypothetical sketch, we include examples of management interventions documented in LTSP2050:</w:t>
      </w:r>
    </w:p>
    <w:p w:rsidR="00354E0B" w:rsidRDefault="00354E0B" w:rsidP="00C0513B">
      <w:pPr>
        <w:pStyle w:val="ListParagraph"/>
        <w:numPr>
          <w:ilvl w:val="0"/>
          <w:numId w:val="24"/>
        </w:numPr>
      </w:pPr>
      <w:r>
        <w:t xml:space="preserve">Greater investment in best </w:t>
      </w:r>
      <w:r w:rsidR="00AC3FFC">
        <w:t>practice</w:t>
      </w:r>
      <w:r>
        <w:t xml:space="preserve"> for ports and shipping</w:t>
      </w:r>
    </w:p>
    <w:p w:rsidR="00354E0B" w:rsidRDefault="00354E0B" w:rsidP="00C0513B">
      <w:pPr>
        <w:pStyle w:val="ListParagraph"/>
        <w:numPr>
          <w:ilvl w:val="0"/>
          <w:numId w:val="24"/>
        </w:numPr>
      </w:pPr>
      <w:r>
        <w:t xml:space="preserve">Greater investment in best </w:t>
      </w:r>
      <w:r w:rsidR="00AC3FFC">
        <w:t>practice</w:t>
      </w:r>
      <w:r>
        <w:t xml:space="preserve"> for agriculture</w:t>
      </w:r>
    </w:p>
    <w:p w:rsidR="00354E0B" w:rsidRDefault="00354E0B" w:rsidP="00C0513B">
      <w:pPr>
        <w:pStyle w:val="ListParagraph"/>
        <w:numPr>
          <w:ilvl w:val="0"/>
          <w:numId w:val="24"/>
        </w:numPr>
      </w:pPr>
      <w:r>
        <w:t>Greater investment in best practice for both ports and agriculture.</w:t>
      </w:r>
    </w:p>
    <w:p w:rsidR="008E6209" w:rsidRDefault="00354E0B" w:rsidP="00BD110C">
      <w:r>
        <w:t xml:space="preserve">As a basis for comparison, </w:t>
      </w:r>
      <w:r w:rsidR="008E6209">
        <w:t>structured decision-making also rou</w:t>
      </w:r>
      <w:r>
        <w:t>tinely include</w:t>
      </w:r>
      <w:r w:rsidR="008E6209">
        <w:t>s</w:t>
      </w:r>
      <w:r>
        <w:t xml:space="preserve"> status quo management arrangements and the ‘</w:t>
      </w:r>
      <w:proofErr w:type="gramStart"/>
      <w:r>
        <w:t>do</w:t>
      </w:r>
      <w:proofErr w:type="gramEnd"/>
      <w:r>
        <w:t xml:space="preserve"> nothing’ option.</w:t>
      </w:r>
    </w:p>
    <w:p w:rsidR="00354E0B" w:rsidRDefault="008E6209" w:rsidP="00580857">
      <w:pPr>
        <w:spacing w:after="0"/>
      </w:pPr>
      <w:r>
        <w:t>For monitoring effort, we include the following alternatives:</w:t>
      </w:r>
    </w:p>
    <w:p w:rsidR="008E6209" w:rsidRDefault="008E6209" w:rsidP="00C0513B">
      <w:pPr>
        <w:pStyle w:val="ListParagraph"/>
        <w:numPr>
          <w:ilvl w:val="0"/>
          <w:numId w:val="25"/>
        </w:numPr>
      </w:pPr>
      <w:r>
        <w:t>Status quo</w:t>
      </w:r>
    </w:p>
    <w:p w:rsidR="00BD110C" w:rsidRDefault="00BD110C" w:rsidP="00C0513B">
      <w:pPr>
        <w:pStyle w:val="ListParagraph"/>
        <w:numPr>
          <w:ilvl w:val="0"/>
          <w:numId w:val="25"/>
        </w:numPr>
      </w:pPr>
      <w:r>
        <w:t>Double the sampling effort</w:t>
      </w:r>
    </w:p>
    <w:p w:rsidR="00354E0B" w:rsidRDefault="00BD110C" w:rsidP="00C0513B">
      <w:pPr>
        <w:pStyle w:val="ListParagraph"/>
        <w:numPr>
          <w:ilvl w:val="0"/>
          <w:numId w:val="25"/>
        </w:numPr>
      </w:pPr>
      <w:r>
        <w:t>Triple the sampling effort</w:t>
      </w:r>
    </w:p>
    <w:p w:rsidR="00580857" w:rsidRDefault="00580857" w:rsidP="00D832BA">
      <w:pPr>
        <w:spacing w:after="0"/>
        <w:rPr>
          <w:b/>
          <w:i/>
        </w:rPr>
      </w:pPr>
    </w:p>
    <w:p w:rsidR="00285916" w:rsidRPr="00BD110C" w:rsidRDefault="00285916" w:rsidP="00D832BA">
      <w:pPr>
        <w:spacing w:after="0"/>
        <w:rPr>
          <w:b/>
          <w:i/>
        </w:rPr>
      </w:pPr>
      <w:r w:rsidRPr="00285916">
        <w:rPr>
          <w:b/>
          <w:i/>
        </w:rPr>
        <w:t xml:space="preserve">Step 4   </w:t>
      </w:r>
      <w:r w:rsidR="00354E0B">
        <w:rPr>
          <w:b/>
          <w:i/>
        </w:rPr>
        <w:t>Estimate expected consequences of each alternative against each objective</w:t>
      </w:r>
    </w:p>
    <w:p w:rsidR="00285916" w:rsidRDefault="00BD110C" w:rsidP="00BD110C">
      <w:r>
        <w:t xml:space="preserve">This step is the domain of predictive science (and for </w:t>
      </w:r>
      <w:r w:rsidR="00AC3FFC">
        <w:t>monetary</w:t>
      </w:r>
      <w:r>
        <w:t xml:space="preserve"> costs, the domain of accounting).  </w:t>
      </w:r>
      <w:r w:rsidR="00AC3FFC">
        <w:t>Again</w:t>
      </w:r>
      <w:r>
        <w:t xml:space="preserve">, credible models should be </w:t>
      </w:r>
      <w:r w:rsidR="00AC3FFC">
        <w:t>made</w:t>
      </w:r>
      <w:r>
        <w:t xml:space="preserve"> available for interrogation and cross-examination.  For the purposes of </w:t>
      </w:r>
      <w:r w:rsidR="00AC3FFC">
        <w:t>illustration</w:t>
      </w:r>
      <w:r>
        <w:t xml:space="preserve"> and </w:t>
      </w:r>
      <w:r w:rsidR="00AC3FFC">
        <w:t>communication</w:t>
      </w:r>
      <w:r>
        <w:t xml:space="preserve">, the key insights of multiple models and lines of evidence could be synthesised in a summary </w:t>
      </w:r>
      <w:proofErr w:type="spellStart"/>
      <w:r w:rsidR="00AC3FFC">
        <w:t>Bayes</w:t>
      </w:r>
      <w:proofErr w:type="spellEnd"/>
      <w:r>
        <w:t xml:space="preserve"> net, such as the one </w:t>
      </w:r>
      <w:r w:rsidR="00AC3FFC">
        <w:t>depicted</w:t>
      </w:r>
      <w:r>
        <w:t xml:space="preserve"> in </w:t>
      </w:r>
      <w:r w:rsidR="00AC3FFC">
        <w:t>Figure</w:t>
      </w:r>
      <w:r>
        <w:t xml:space="preserve"> </w:t>
      </w:r>
      <w:r w:rsidR="007C31DB">
        <w:t>21</w:t>
      </w:r>
      <w:r>
        <w:t>.</w:t>
      </w:r>
    </w:p>
    <w:p w:rsidR="00BD110C" w:rsidRDefault="00BD110C" w:rsidP="00BD110C"/>
    <w:p w:rsidR="00354E0B" w:rsidRDefault="00354E0B" w:rsidP="00BD110C">
      <w:r w:rsidRPr="00D83687">
        <w:rPr>
          <w:noProof/>
          <w:lang w:eastAsia="en-AU"/>
        </w:rPr>
        <w:drawing>
          <wp:inline distT="0" distB="0" distL="0" distR="0">
            <wp:extent cx="5836920" cy="2853055"/>
            <wp:effectExtent l="0" t="0" r="0" b="4445"/>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8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6920" cy="2853055"/>
                    </a:xfrm>
                    <a:prstGeom prst="rect">
                      <a:avLst/>
                    </a:prstGeom>
                    <a:noFill/>
                    <a:ln>
                      <a:noFill/>
                    </a:ln>
                    <a:effectLst/>
                    <a:extLst/>
                  </pic:spPr>
                </pic:pic>
              </a:graphicData>
            </a:graphic>
          </wp:inline>
        </w:drawing>
      </w:r>
    </w:p>
    <w:p w:rsidR="00354E0B" w:rsidRPr="00BD110C" w:rsidRDefault="00BD110C" w:rsidP="00BD110C">
      <w:pPr>
        <w:rPr>
          <w:sz w:val="20"/>
          <w:szCs w:val="20"/>
        </w:rPr>
      </w:pPr>
      <w:proofErr w:type="gramStart"/>
      <w:r w:rsidRPr="00BD110C">
        <w:rPr>
          <w:b/>
          <w:sz w:val="20"/>
          <w:szCs w:val="20"/>
        </w:rPr>
        <w:t xml:space="preserve">Figure </w:t>
      </w:r>
      <w:r w:rsidR="00F548F8">
        <w:rPr>
          <w:b/>
          <w:sz w:val="20"/>
          <w:szCs w:val="20"/>
        </w:rPr>
        <w:t>21</w:t>
      </w:r>
      <w:r w:rsidRPr="00BD110C">
        <w:rPr>
          <w:b/>
          <w:sz w:val="20"/>
          <w:szCs w:val="20"/>
        </w:rPr>
        <w:t>.</w:t>
      </w:r>
      <w:proofErr w:type="gramEnd"/>
      <w:r w:rsidRPr="00BD110C">
        <w:rPr>
          <w:sz w:val="20"/>
          <w:szCs w:val="20"/>
        </w:rPr>
        <w:t xml:space="preserve">  Hypothetical summary </w:t>
      </w:r>
      <w:proofErr w:type="spellStart"/>
      <w:r w:rsidRPr="00BD110C">
        <w:rPr>
          <w:sz w:val="20"/>
          <w:szCs w:val="20"/>
        </w:rPr>
        <w:t>Bayes</w:t>
      </w:r>
      <w:proofErr w:type="spellEnd"/>
      <w:r w:rsidRPr="00BD110C">
        <w:rPr>
          <w:sz w:val="20"/>
          <w:szCs w:val="20"/>
        </w:rPr>
        <w:t xml:space="preserve"> net for the decision frame</w:t>
      </w:r>
      <w:r>
        <w:rPr>
          <w:sz w:val="20"/>
          <w:szCs w:val="20"/>
        </w:rPr>
        <w:t>.  Summar</w:t>
      </w:r>
      <w:r w:rsidRPr="00BD110C">
        <w:rPr>
          <w:sz w:val="20"/>
          <w:szCs w:val="20"/>
        </w:rPr>
        <w:t xml:space="preserve">y models </w:t>
      </w:r>
      <w:r>
        <w:rPr>
          <w:sz w:val="20"/>
          <w:szCs w:val="20"/>
        </w:rPr>
        <w:t>may</w:t>
      </w:r>
      <w:r w:rsidRPr="00BD110C">
        <w:rPr>
          <w:sz w:val="20"/>
          <w:szCs w:val="20"/>
        </w:rPr>
        <w:t xml:space="preserve"> be more effective in </w:t>
      </w:r>
      <w:r w:rsidR="00AC3FFC" w:rsidRPr="00BD110C">
        <w:rPr>
          <w:sz w:val="20"/>
          <w:szCs w:val="20"/>
        </w:rPr>
        <w:t>communicating consequences</w:t>
      </w:r>
      <w:r w:rsidRPr="00BD110C">
        <w:rPr>
          <w:sz w:val="20"/>
          <w:szCs w:val="20"/>
        </w:rPr>
        <w:t xml:space="preserve"> of various alternatives than the high-</w:t>
      </w:r>
      <w:r w:rsidR="00AC3FFC" w:rsidRPr="00BD110C">
        <w:rPr>
          <w:sz w:val="20"/>
          <w:szCs w:val="20"/>
        </w:rPr>
        <w:t>fidelity</w:t>
      </w:r>
      <w:r w:rsidRPr="00BD110C">
        <w:rPr>
          <w:sz w:val="20"/>
          <w:szCs w:val="20"/>
        </w:rPr>
        <w:t xml:space="preserve">, high-complexity models from which their </w:t>
      </w:r>
      <w:r w:rsidR="00AC3FFC" w:rsidRPr="00BD110C">
        <w:rPr>
          <w:sz w:val="20"/>
          <w:szCs w:val="20"/>
        </w:rPr>
        <w:t>inferences</w:t>
      </w:r>
      <w:r w:rsidRPr="00BD110C">
        <w:rPr>
          <w:sz w:val="20"/>
          <w:szCs w:val="20"/>
        </w:rPr>
        <w:t xml:space="preserve"> are drawn.</w:t>
      </w:r>
    </w:p>
    <w:p w:rsidR="00BD110C" w:rsidRDefault="00BD110C" w:rsidP="00BD110C"/>
    <w:p w:rsidR="00354E0B" w:rsidRDefault="00BD110C" w:rsidP="00BD110C">
      <w:r>
        <w:t>After estimating t</w:t>
      </w:r>
      <w:r w:rsidR="00520FB1">
        <w:t xml:space="preserve">he performance of alternatives against </w:t>
      </w:r>
      <w:r>
        <w:t>objectives, outcomes can be compactly de</w:t>
      </w:r>
      <w:r w:rsidR="00520FB1">
        <w:t xml:space="preserve">scribed in a consequence table (Table </w:t>
      </w:r>
      <w:r w:rsidR="00806215">
        <w:t>6</w:t>
      </w:r>
      <w:r w:rsidR="00520FB1">
        <w:t xml:space="preserve">) and in graphical form (Figure </w:t>
      </w:r>
      <w:r w:rsidR="007C31DB">
        <w:t>22</w:t>
      </w:r>
      <w:r w:rsidR="00520FB1">
        <w:t>).</w:t>
      </w:r>
    </w:p>
    <w:p w:rsidR="00180AF3" w:rsidRDefault="00180AF3" w:rsidP="00BD110C"/>
    <w:p w:rsidR="00BD110C" w:rsidRPr="00520FB1" w:rsidRDefault="00520FB1" w:rsidP="00BD110C">
      <w:pPr>
        <w:rPr>
          <w:sz w:val="20"/>
          <w:szCs w:val="20"/>
        </w:rPr>
      </w:pPr>
      <w:proofErr w:type="gramStart"/>
      <w:r w:rsidRPr="00520FB1">
        <w:rPr>
          <w:b/>
          <w:sz w:val="20"/>
          <w:szCs w:val="20"/>
        </w:rPr>
        <w:t xml:space="preserve">Table </w:t>
      </w:r>
      <w:r w:rsidR="00806215">
        <w:rPr>
          <w:b/>
          <w:sz w:val="20"/>
          <w:szCs w:val="20"/>
        </w:rPr>
        <w:t>6</w:t>
      </w:r>
      <w:r w:rsidRPr="00520FB1">
        <w:rPr>
          <w:b/>
          <w:sz w:val="20"/>
          <w:szCs w:val="20"/>
        </w:rPr>
        <w:t>.</w:t>
      </w:r>
      <w:proofErr w:type="gramEnd"/>
      <w:r w:rsidRPr="00520FB1">
        <w:rPr>
          <w:b/>
          <w:sz w:val="20"/>
          <w:szCs w:val="20"/>
        </w:rPr>
        <w:t xml:space="preserve"> </w:t>
      </w:r>
      <w:proofErr w:type="gramStart"/>
      <w:r w:rsidRPr="00520FB1">
        <w:rPr>
          <w:sz w:val="20"/>
          <w:szCs w:val="20"/>
        </w:rPr>
        <w:t>Consequence table for the hypothetical decision frame.</w:t>
      </w:r>
      <w:proofErr w:type="gramEnd"/>
      <w:r>
        <w:rPr>
          <w:sz w:val="20"/>
          <w:szCs w:val="20"/>
        </w:rPr>
        <w:t xml:space="preserve"> Note that this consequence table is restricted to alternatives involving management intervention.  </w:t>
      </w:r>
      <w:r w:rsidR="00AC3FFC">
        <w:rPr>
          <w:sz w:val="20"/>
          <w:szCs w:val="20"/>
        </w:rPr>
        <w:t>Alternatives</w:t>
      </w:r>
      <w:r>
        <w:rPr>
          <w:sz w:val="20"/>
          <w:szCs w:val="20"/>
        </w:rPr>
        <w:t xml:space="preserve"> </w:t>
      </w:r>
      <w:r w:rsidR="00AC3FFC">
        <w:rPr>
          <w:sz w:val="20"/>
          <w:szCs w:val="20"/>
        </w:rPr>
        <w:t>pertaining</w:t>
      </w:r>
      <w:r>
        <w:rPr>
          <w:sz w:val="20"/>
          <w:szCs w:val="20"/>
        </w:rPr>
        <w:t xml:space="preserve"> to monitoring effort are dealt with subsequently.</w:t>
      </w:r>
    </w:p>
    <w:tbl>
      <w:tblPr>
        <w:tblW w:w="8520" w:type="dxa"/>
        <w:tblCellMar>
          <w:left w:w="0" w:type="dxa"/>
          <w:right w:w="0" w:type="dxa"/>
        </w:tblCellMar>
        <w:tblLook w:val="0600"/>
      </w:tblPr>
      <w:tblGrid>
        <w:gridCol w:w="2567"/>
        <w:gridCol w:w="1276"/>
        <w:gridCol w:w="1275"/>
        <w:gridCol w:w="1134"/>
        <w:gridCol w:w="1134"/>
        <w:gridCol w:w="1134"/>
      </w:tblGrid>
      <w:tr w:rsidR="00BD110C" w:rsidRPr="00396FFB" w:rsidTr="00520FB1">
        <w:trPr>
          <w:trHeight w:val="284"/>
        </w:trPr>
        <w:tc>
          <w:tcPr>
            <w:tcW w:w="2567" w:type="dxa"/>
            <w:tcBorders>
              <w:top w:val="single" w:sz="8" w:space="0" w:color="FFFFFF"/>
              <w:left w:val="single" w:sz="8" w:space="0" w:color="FFFFFF"/>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10C" w:rsidRPr="00396FFB" w:rsidRDefault="00BD110C" w:rsidP="00CB315A">
            <w:pPr>
              <w:spacing w:after="0" w:line="240" w:lineRule="auto"/>
              <w:rPr>
                <w:rFonts w:ascii="Arial" w:eastAsia="Times New Roman" w:hAnsi="Arial" w:cs="Arial"/>
                <w:lang w:eastAsia="en-AU"/>
              </w:rPr>
            </w:pPr>
          </w:p>
        </w:tc>
        <w:tc>
          <w:tcPr>
            <w:tcW w:w="4819" w:type="dxa"/>
            <w:gridSpan w:val="4"/>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b/>
                <w:bCs/>
                <w:color w:val="000000" w:themeColor="dark1"/>
                <w:kern w:val="24"/>
                <w:lang w:eastAsia="en-AU"/>
              </w:rPr>
              <w:t>Chance of being on-target (%)</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b/>
                <w:bCs/>
                <w:color w:val="000000" w:themeColor="dark1"/>
                <w:kern w:val="24"/>
                <w:lang w:eastAsia="en-AU"/>
              </w:rPr>
              <w:t>cost ($M)</w:t>
            </w:r>
          </w:p>
        </w:tc>
      </w:tr>
      <w:tr w:rsidR="00BD110C" w:rsidRPr="00396FFB" w:rsidTr="00520FB1">
        <w:trPr>
          <w:trHeight w:val="284"/>
        </w:trPr>
        <w:tc>
          <w:tcPr>
            <w:tcW w:w="2567" w:type="dxa"/>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b/>
                <w:bCs/>
                <w:color w:val="000000"/>
                <w:kern w:val="24"/>
                <w:lang w:eastAsia="en-AU"/>
              </w:rPr>
              <w:t>ALTERNATIVES</w:t>
            </w:r>
          </w:p>
        </w:tc>
        <w:tc>
          <w:tcPr>
            <w:tcW w:w="1276" w:type="dxa"/>
            <w:tcBorders>
              <w:top w:val="single" w:sz="8" w:space="0" w:color="000000"/>
              <w:left w:val="single" w:sz="8" w:space="0" w:color="000000"/>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b/>
                <w:bCs/>
                <w:color w:val="000000" w:themeColor="dark1"/>
                <w:kern w:val="24"/>
                <w:lang w:eastAsia="en-AU"/>
              </w:rPr>
              <w:t>seagrass</w:t>
            </w:r>
          </w:p>
        </w:tc>
        <w:tc>
          <w:tcPr>
            <w:tcW w:w="1275" w:type="dxa"/>
            <w:tcBorders>
              <w:top w:val="single" w:sz="8" w:space="0" w:color="000000"/>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b/>
                <w:bCs/>
                <w:color w:val="000000" w:themeColor="dark1"/>
                <w:kern w:val="24"/>
                <w:lang w:eastAsia="en-AU"/>
              </w:rPr>
              <w:t>loads</w:t>
            </w:r>
          </w:p>
        </w:tc>
        <w:tc>
          <w:tcPr>
            <w:tcW w:w="1134" w:type="dxa"/>
            <w:tcBorders>
              <w:top w:val="single" w:sz="8" w:space="0" w:color="000000"/>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proofErr w:type="spellStart"/>
            <w:r w:rsidRPr="00396FFB">
              <w:rPr>
                <w:rFonts w:ascii="Calibri" w:eastAsia="Times New Roman" w:hAnsi="Calibri" w:cs="Arial"/>
                <w:b/>
                <w:bCs/>
                <w:color w:val="000000" w:themeColor="dark1"/>
                <w:kern w:val="24"/>
                <w:lang w:eastAsia="en-AU"/>
              </w:rPr>
              <w:t>ag</w:t>
            </w:r>
            <w:proofErr w:type="spellEnd"/>
            <w:r w:rsidRPr="00396FFB">
              <w:rPr>
                <w:rFonts w:ascii="Calibri" w:eastAsia="Times New Roman" w:hAnsi="Calibri" w:cs="Arial"/>
                <w:b/>
                <w:bCs/>
                <w:color w:val="000000" w:themeColor="dark1"/>
                <w:kern w:val="24"/>
                <w:lang w:eastAsia="en-AU"/>
              </w:rPr>
              <w:t xml:space="preserve"> BMP</w:t>
            </w:r>
          </w:p>
        </w:tc>
        <w:tc>
          <w:tcPr>
            <w:tcW w:w="1134" w:type="dxa"/>
            <w:tcBorders>
              <w:top w:val="single" w:sz="8" w:space="0" w:color="000000"/>
              <w:left w:val="single" w:sz="8" w:space="0" w:color="FFFFFF"/>
              <w:bottom w:val="single" w:sz="8" w:space="0" w:color="000000"/>
              <w:right w:val="single" w:sz="8" w:space="0" w:color="000000"/>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b/>
                <w:bCs/>
                <w:color w:val="000000" w:themeColor="dark1"/>
                <w:kern w:val="24"/>
                <w:lang w:eastAsia="en-AU"/>
              </w:rPr>
              <w:t>ports BMP</w:t>
            </w: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BD110C" w:rsidRPr="00396FFB" w:rsidRDefault="00BD110C" w:rsidP="00CB315A">
            <w:pPr>
              <w:spacing w:after="0" w:line="240" w:lineRule="auto"/>
              <w:rPr>
                <w:rFonts w:ascii="Arial" w:eastAsia="Times New Roman" w:hAnsi="Arial" w:cs="Arial"/>
                <w:lang w:eastAsia="en-AU"/>
              </w:rPr>
            </w:pPr>
          </w:p>
        </w:tc>
      </w:tr>
      <w:tr w:rsidR="00BD110C" w:rsidRPr="00396FFB" w:rsidTr="00520FB1">
        <w:trPr>
          <w:trHeight w:val="284"/>
        </w:trPr>
        <w:tc>
          <w:tcPr>
            <w:tcW w:w="2567" w:type="dxa"/>
            <w:tcBorders>
              <w:top w:val="single" w:sz="8" w:space="0" w:color="000000"/>
              <w:left w:val="single" w:sz="8" w:space="0" w:color="000000"/>
              <w:bottom w:val="single" w:sz="8" w:space="0" w:color="FFFFFF"/>
              <w:right w:val="single" w:sz="8" w:space="0" w:color="000000"/>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do nothing</w:t>
            </w:r>
          </w:p>
        </w:tc>
        <w:tc>
          <w:tcPr>
            <w:tcW w:w="1276" w:type="dxa"/>
            <w:tcBorders>
              <w:top w:val="single" w:sz="8" w:space="0" w:color="000000"/>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33.7</w:t>
            </w:r>
          </w:p>
        </w:tc>
        <w:tc>
          <w:tcPr>
            <w:tcW w:w="1275"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23.3</w:t>
            </w:r>
          </w:p>
        </w:tc>
        <w:tc>
          <w:tcPr>
            <w:tcW w:w="1134"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0</w:t>
            </w:r>
          </w:p>
        </w:tc>
        <w:tc>
          <w:tcPr>
            <w:tcW w:w="1134" w:type="dxa"/>
            <w:tcBorders>
              <w:top w:val="single" w:sz="8" w:space="0" w:color="000000"/>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0</w:t>
            </w:r>
          </w:p>
        </w:tc>
        <w:tc>
          <w:tcPr>
            <w:tcW w:w="1134" w:type="dxa"/>
            <w:tcBorders>
              <w:top w:val="single" w:sz="8" w:space="0" w:color="000000"/>
              <w:left w:val="single" w:sz="8" w:space="0" w:color="000000"/>
              <w:bottom w:val="single" w:sz="8" w:space="0" w:color="FFFFFF"/>
              <w:right w:val="single" w:sz="8" w:space="0" w:color="000000"/>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$0</w:t>
            </w:r>
          </w:p>
        </w:tc>
      </w:tr>
      <w:tr w:rsidR="00BD110C" w:rsidRPr="00396FFB" w:rsidTr="00520FB1">
        <w:trPr>
          <w:trHeight w:val="284"/>
        </w:trPr>
        <w:tc>
          <w:tcPr>
            <w:tcW w:w="2567" w:type="dxa"/>
            <w:tcBorders>
              <w:top w:val="single" w:sz="8" w:space="0" w:color="FFFFFF"/>
              <w:left w:val="single" w:sz="8" w:space="0" w:color="000000"/>
              <w:bottom w:val="single" w:sz="8" w:space="0" w:color="FFFFFF"/>
              <w:right w:val="single" w:sz="8" w:space="0" w:color="000000"/>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status quo</w:t>
            </w:r>
          </w:p>
        </w:tc>
        <w:tc>
          <w:tcPr>
            <w:tcW w:w="1276"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40.5</w:t>
            </w:r>
          </w:p>
        </w:tc>
        <w:tc>
          <w:tcPr>
            <w:tcW w:w="127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42</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49</w:t>
            </w:r>
          </w:p>
        </w:tc>
        <w:tc>
          <w:tcPr>
            <w:tcW w:w="1134"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50</w:t>
            </w:r>
          </w:p>
        </w:tc>
        <w:tc>
          <w:tcPr>
            <w:tcW w:w="1134" w:type="dxa"/>
            <w:tcBorders>
              <w:top w:val="single" w:sz="8" w:space="0" w:color="FFFFFF"/>
              <w:left w:val="single" w:sz="8" w:space="0" w:color="000000"/>
              <w:bottom w:val="single" w:sz="8" w:space="0" w:color="FFFFFF"/>
              <w:right w:val="single" w:sz="8" w:space="0" w:color="000000"/>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$5</w:t>
            </w:r>
          </w:p>
        </w:tc>
      </w:tr>
      <w:tr w:rsidR="00BD110C" w:rsidRPr="00396FFB" w:rsidTr="00520FB1">
        <w:trPr>
          <w:trHeight w:val="284"/>
        </w:trPr>
        <w:tc>
          <w:tcPr>
            <w:tcW w:w="2567" w:type="dxa"/>
            <w:tcBorders>
              <w:top w:val="single" w:sz="8" w:space="0" w:color="FFFFFF"/>
              <w:left w:val="single" w:sz="8" w:space="0" w:color="000000"/>
              <w:bottom w:val="single" w:sz="8" w:space="0" w:color="FFFFFF"/>
              <w:right w:val="single" w:sz="8" w:space="0" w:color="000000"/>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more BMP for agriculture</w:t>
            </w:r>
          </w:p>
        </w:tc>
        <w:tc>
          <w:tcPr>
            <w:tcW w:w="1276"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47.4</w:t>
            </w:r>
          </w:p>
        </w:tc>
        <w:tc>
          <w:tcPr>
            <w:tcW w:w="127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62</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100</w:t>
            </w:r>
          </w:p>
        </w:tc>
        <w:tc>
          <w:tcPr>
            <w:tcW w:w="1134"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50</w:t>
            </w:r>
          </w:p>
        </w:tc>
        <w:tc>
          <w:tcPr>
            <w:tcW w:w="1134" w:type="dxa"/>
            <w:tcBorders>
              <w:top w:val="single" w:sz="8" w:space="0" w:color="FFFFFF"/>
              <w:left w:val="single" w:sz="8" w:space="0" w:color="000000"/>
              <w:bottom w:val="single" w:sz="8" w:space="0" w:color="FFFFFF"/>
              <w:right w:val="single" w:sz="8" w:space="0" w:color="000000"/>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$8</w:t>
            </w:r>
          </w:p>
        </w:tc>
      </w:tr>
      <w:tr w:rsidR="00BD110C" w:rsidRPr="00396FFB" w:rsidTr="00520FB1">
        <w:trPr>
          <w:trHeight w:val="284"/>
        </w:trPr>
        <w:tc>
          <w:tcPr>
            <w:tcW w:w="2567" w:type="dxa"/>
            <w:tcBorders>
              <w:top w:val="single" w:sz="8" w:space="0" w:color="FFFFFF"/>
              <w:left w:val="single" w:sz="8" w:space="0" w:color="000000"/>
              <w:bottom w:val="single" w:sz="8" w:space="0" w:color="FFFFFF"/>
              <w:right w:val="single" w:sz="8" w:space="0" w:color="000000"/>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more BMP for ports</w:t>
            </w:r>
          </w:p>
        </w:tc>
        <w:tc>
          <w:tcPr>
            <w:tcW w:w="1276"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41.2</w:t>
            </w:r>
          </w:p>
        </w:tc>
        <w:tc>
          <w:tcPr>
            <w:tcW w:w="127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42</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49</w:t>
            </w:r>
          </w:p>
        </w:tc>
        <w:tc>
          <w:tcPr>
            <w:tcW w:w="1134"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100</w:t>
            </w:r>
          </w:p>
        </w:tc>
        <w:tc>
          <w:tcPr>
            <w:tcW w:w="1134" w:type="dxa"/>
            <w:tcBorders>
              <w:top w:val="single" w:sz="8" w:space="0" w:color="FFFFFF"/>
              <w:left w:val="single" w:sz="8" w:space="0" w:color="000000"/>
              <w:bottom w:val="single" w:sz="8" w:space="0" w:color="FFFFFF"/>
              <w:right w:val="single" w:sz="8" w:space="0" w:color="000000"/>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$6</w:t>
            </w:r>
          </w:p>
        </w:tc>
      </w:tr>
      <w:tr w:rsidR="00BD110C" w:rsidRPr="00396FFB" w:rsidTr="00520FB1">
        <w:trPr>
          <w:trHeight w:val="284"/>
        </w:trPr>
        <w:tc>
          <w:tcPr>
            <w:tcW w:w="2567" w:type="dxa"/>
            <w:tcBorders>
              <w:top w:val="single" w:sz="8" w:space="0" w:color="FFFFFF"/>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more BMP for both</w:t>
            </w:r>
          </w:p>
        </w:tc>
        <w:tc>
          <w:tcPr>
            <w:tcW w:w="1276" w:type="dxa"/>
            <w:tcBorders>
              <w:top w:val="single" w:sz="8" w:space="0" w:color="FFFFFF"/>
              <w:left w:val="single" w:sz="8" w:space="0" w:color="000000"/>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48.2</w:t>
            </w:r>
          </w:p>
        </w:tc>
        <w:tc>
          <w:tcPr>
            <w:tcW w:w="1275"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62</w:t>
            </w:r>
          </w:p>
        </w:tc>
        <w:tc>
          <w:tcPr>
            <w:tcW w:w="1134"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100</w:t>
            </w:r>
          </w:p>
        </w:tc>
        <w:tc>
          <w:tcPr>
            <w:tcW w:w="1134" w:type="dxa"/>
            <w:tcBorders>
              <w:top w:val="single" w:sz="8" w:space="0" w:color="FFFFFF"/>
              <w:left w:val="single" w:sz="8" w:space="0" w:color="FFFFFF"/>
              <w:bottom w:val="single" w:sz="8" w:space="0" w:color="000000"/>
              <w:right w:val="single" w:sz="8" w:space="0" w:color="000000"/>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100</w:t>
            </w:r>
          </w:p>
        </w:tc>
        <w:tc>
          <w:tcPr>
            <w:tcW w:w="1134" w:type="dxa"/>
            <w:tcBorders>
              <w:top w:val="single" w:sz="8" w:space="0" w:color="FFFFFF"/>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rsidR="00BD110C" w:rsidRPr="00396FFB" w:rsidRDefault="00BD110C"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$14</w:t>
            </w:r>
          </w:p>
        </w:tc>
      </w:tr>
    </w:tbl>
    <w:p w:rsidR="00BD110C" w:rsidRDefault="00BD110C" w:rsidP="00BD110C"/>
    <w:p w:rsidR="00520FB1" w:rsidRDefault="00520FB1" w:rsidP="00520FB1"/>
    <w:p w:rsidR="00520FB1" w:rsidRDefault="00520FB1" w:rsidP="00520FB1">
      <w:r>
        <w:rPr>
          <w:noProof/>
          <w:lang w:eastAsia="en-AU"/>
        </w:rPr>
        <w:drawing>
          <wp:inline distT="0" distB="0" distL="0" distR="0">
            <wp:extent cx="4514400" cy="3031200"/>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4400" cy="3031200"/>
                    </a:xfrm>
                    <a:prstGeom prst="rect">
                      <a:avLst/>
                    </a:prstGeom>
                    <a:noFill/>
                  </pic:spPr>
                </pic:pic>
              </a:graphicData>
            </a:graphic>
          </wp:inline>
        </w:drawing>
      </w:r>
    </w:p>
    <w:p w:rsidR="00520FB1" w:rsidRPr="00520FB1" w:rsidRDefault="00520FB1" w:rsidP="00BD110C">
      <w:pPr>
        <w:rPr>
          <w:sz w:val="20"/>
          <w:szCs w:val="20"/>
        </w:rPr>
      </w:pPr>
      <w:proofErr w:type="gramStart"/>
      <w:r w:rsidRPr="00520FB1">
        <w:rPr>
          <w:b/>
          <w:sz w:val="20"/>
          <w:szCs w:val="20"/>
        </w:rPr>
        <w:t xml:space="preserve">Figure </w:t>
      </w:r>
      <w:r w:rsidR="00F548F8">
        <w:rPr>
          <w:b/>
          <w:sz w:val="20"/>
          <w:szCs w:val="20"/>
        </w:rPr>
        <w:t>22</w:t>
      </w:r>
      <w:r w:rsidRPr="00520FB1">
        <w:rPr>
          <w:b/>
          <w:sz w:val="20"/>
          <w:szCs w:val="20"/>
        </w:rPr>
        <w:t>.</w:t>
      </w:r>
      <w:proofErr w:type="gramEnd"/>
      <w:r w:rsidRPr="00520FB1">
        <w:rPr>
          <w:b/>
          <w:sz w:val="20"/>
          <w:szCs w:val="20"/>
        </w:rPr>
        <w:t xml:space="preserve"> </w:t>
      </w:r>
      <w:r w:rsidRPr="00520FB1">
        <w:rPr>
          <w:sz w:val="20"/>
          <w:szCs w:val="20"/>
        </w:rPr>
        <w:t>Summary of expected performance of each management interven</w:t>
      </w:r>
      <w:r>
        <w:rPr>
          <w:sz w:val="20"/>
          <w:szCs w:val="20"/>
        </w:rPr>
        <w:t>tion alternative for each of</w:t>
      </w:r>
      <w:r w:rsidRPr="00520FB1">
        <w:rPr>
          <w:sz w:val="20"/>
          <w:szCs w:val="20"/>
        </w:rPr>
        <w:t xml:space="preserve"> </w:t>
      </w:r>
      <w:r>
        <w:rPr>
          <w:sz w:val="20"/>
          <w:szCs w:val="20"/>
        </w:rPr>
        <w:t>four relevant LTSP2050 targets relative to the ‘</w:t>
      </w:r>
      <w:proofErr w:type="gramStart"/>
      <w:r>
        <w:rPr>
          <w:sz w:val="20"/>
          <w:szCs w:val="20"/>
        </w:rPr>
        <w:t>do</w:t>
      </w:r>
      <w:proofErr w:type="gramEnd"/>
      <w:r>
        <w:rPr>
          <w:sz w:val="20"/>
          <w:szCs w:val="20"/>
        </w:rPr>
        <w:t xml:space="preserve"> nothing’ alternative.</w:t>
      </w:r>
    </w:p>
    <w:p w:rsidR="00285916" w:rsidRDefault="00285916" w:rsidP="00BD110C"/>
    <w:p w:rsidR="00285916" w:rsidRPr="00285916" w:rsidRDefault="00285916" w:rsidP="00BD110C">
      <w:pPr>
        <w:rPr>
          <w:b/>
          <w:i/>
        </w:rPr>
      </w:pPr>
      <w:r w:rsidRPr="00285916">
        <w:rPr>
          <w:b/>
          <w:i/>
        </w:rPr>
        <w:t>Step 5   Evaluate trade-offs and select an alternative</w:t>
      </w:r>
    </w:p>
    <w:p w:rsidR="008041E6" w:rsidRDefault="00520FB1" w:rsidP="008556CE">
      <w:r>
        <w:t xml:space="preserve">The outcomes shown in Figure </w:t>
      </w:r>
      <w:r w:rsidR="007C31DB">
        <w:t>22</w:t>
      </w:r>
      <w:r>
        <w:t xml:space="preserve"> can mislead.  Most managers will be more concerned </w:t>
      </w:r>
      <w:r w:rsidR="008556CE">
        <w:t>being</w:t>
      </w:r>
      <w:r>
        <w:t xml:space="preserve"> on-target for seagrass than for implementation of best management practices as outcomes of substance in and of themselves.   Managers and key stakeholders need to</w:t>
      </w:r>
      <w:r w:rsidR="008556CE">
        <w:t xml:space="preserve"> weigh the re</w:t>
      </w:r>
      <w:r>
        <w:t>lative importance of each target.  Hypothetical judgments are shown in</w:t>
      </w:r>
      <w:r w:rsidR="008556CE">
        <w:t xml:space="preserve"> T</w:t>
      </w:r>
      <w:r>
        <w:t xml:space="preserve">able </w:t>
      </w:r>
      <w:r w:rsidR="00806215">
        <w:t>7</w:t>
      </w:r>
      <w:r>
        <w:t xml:space="preserve"> and the outcomes shown in Figure </w:t>
      </w:r>
      <w:r w:rsidR="007C31DB">
        <w:t>23</w:t>
      </w:r>
      <w:r>
        <w:t>.</w:t>
      </w:r>
      <w:r w:rsidR="008556CE">
        <w:t xml:space="preserve"> Weights are derived using the swing weighting method of von </w:t>
      </w:r>
      <w:proofErr w:type="spellStart"/>
      <w:r w:rsidR="008556CE">
        <w:t>Winterfeldt</w:t>
      </w:r>
      <w:proofErr w:type="spellEnd"/>
      <w:r w:rsidR="008556CE">
        <w:t xml:space="preserve"> and Edwards (1986)</w:t>
      </w:r>
      <w:r w:rsidR="00532F48">
        <w:t xml:space="preserve">, which involves assigning utilities on an interval scale based on </w:t>
      </w:r>
      <w:r w:rsidR="00D608DC">
        <w:t xml:space="preserve">a specified </w:t>
      </w:r>
      <w:r w:rsidR="00532F48">
        <w:t xml:space="preserve">range of </w:t>
      </w:r>
      <w:r w:rsidR="00D608DC">
        <w:t>consequences, ‘swinging’ from worst to best</w:t>
      </w:r>
      <w:r w:rsidR="008556CE">
        <w:t xml:space="preserve">. We emphasise that the </w:t>
      </w:r>
      <w:r w:rsidR="009C0B43">
        <w:t>judgments highlighted in Table 7</w:t>
      </w:r>
      <w:r w:rsidR="008556CE">
        <w:t xml:space="preserve"> are not scientific judgments.  </w:t>
      </w:r>
      <w:r w:rsidR="008556CE">
        <w:lastRenderedPageBreak/>
        <w:t xml:space="preserve">They are value judgments that organisations </w:t>
      </w:r>
      <w:r w:rsidR="00AC3FFC">
        <w:t>implicitly</w:t>
      </w:r>
      <w:r w:rsidR="008556CE">
        <w:t xml:space="preserve"> make routinely on behalf of the broader community.  In making these judgments explicit, co-managers and stakeholders </w:t>
      </w:r>
      <w:r w:rsidR="00473B42">
        <w:t>develop mutual</w:t>
      </w:r>
      <w:r w:rsidR="008556CE">
        <w:t xml:space="preserve"> appreciation for the necessity of coherent i</w:t>
      </w:r>
      <w:r w:rsidR="006C320C">
        <w:t>ntegratio</w:t>
      </w:r>
      <w:r w:rsidR="008556CE">
        <w:t>n of value judgments and scientific judgments.</w:t>
      </w:r>
    </w:p>
    <w:p w:rsidR="006C320C" w:rsidRDefault="006C320C" w:rsidP="008556CE"/>
    <w:p w:rsidR="008556CE" w:rsidRPr="008556CE" w:rsidRDefault="008556CE" w:rsidP="008556CE">
      <w:pPr>
        <w:rPr>
          <w:sz w:val="20"/>
          <w:szCs w:val="20"/>
        </w:rPr>
      </w:pPr>
      <w:proofErr w:type="gramStart"/>
      <w:r w:rsidRPr="008556CE">
        <w:rPr>
          <w:b/>
          <w:sz w:val="20"/>
          <w:szCs w:val="20"/>
        </w:rPr>
        <w:t xml:space="preserve">Table </w:t>
      </w:r>
      <w:r w:rsidR="00806215">
        <w:rPr>
          <w:b/>
          <w:sz w:val="20"/>
          <w:szCs w:val="20"/>
        </w:rPr>
        <w:t>7</w:t>
      </w:r>
      <w:r w:rsidRPr="008556CE">
        <w:rPr>
          <w:b/>
          <w:sz w:val="20"/>
          <w:szCs w:val="20"/>
        </w:rPr>
        <w:t>.</w:t>
      </w:r>
      <w:proofErr w:type="gramEnd"/>
      <w:r w:rsidRPr="008556CE">
        <w:rPr>
          <w:b/>
          <w:sz w:val="20"/>
          <w:szCs w:val="20"/>
        </w:rPr>
        <w:t xml:space="preserve"> </w:t>
      </w:r>
      <w:proofErr w:type="gramStart"/>
      <w:r w:rsidRPr="008556CE">
        <w:rPr>
          <w:sz w:val="20"/>
          <w:szCs w:val="20"/>
        </w:rPr>
        <w:t>Hypothetical value judgments</w:t>
      </w:r>
      <w:r>
        <w:rPr>
          <w:sz w:val="20"/>
          <w:szCs w:val="20"/>
        </w:rPr>
        <w:t xml:space="preserve"> for target objectives.</w:t>
      </w:r>
      <w:proofErr w:type="gramEnd"/>
    </w:p>
    <w:tbl>
      <w:tblPr>
        <w:tblW w:w="9371" w:type="dxa"/>
        <w:tblCellMar>
          <w:left w:w="0" w:type="dxa"/>
          <w:right w:w="0" w:type="dxa"/>
        </w:tblCellMar>
        <w:tblLook w:val="0600"/>
      </w:tblPr>
      <w:tblGrid>
        <w:gridCol w:w="1575"/>
        <w:gridCol w:w="1559"/>
        <w:gridCol w:w="1417"/>
        <w:gridCol w:w="1560"/>
        <w:gridCol w:w="1559"/>
        <w:gridCol w:w="1701"/>
      </w:tblGrid>
      <w:tr w:rsidR="008556CE" w:rsidRPr="00396FFB" w:rsidTr="00CB315A">
        <w:trPr>
          <w:trHeight w:val="284"/>
        </w:trPr>
        <w:tc>
          <w:tcPr>
            <w:tcW w:w="1575" w:type="dxa"/>
            <w:tcBorders>
              <w:top w:val="single" w:sz="8" w:space="0" w:color="FFFFFF"/>
              <w:left w:val="single" w:sz="8" w:space="0" w:color="FFFFFF"/>
              <w:bottom w:val="single" w:sz="8" w:space="0" w:color="FFFFFF"/>
              <w:right w:val="single" w:sz="8" w:space="0" w:color="000000"/>
            </w:tcBorders>
            <w:shd w:val="clear" w:color="auto" w:fill="auto"/>
            <w:tcMar>
              <w:top w:w="15" w:type="dxa"/>
              <w:left w:w="15" w:type="dxa"/>
              <w:bottom w:w="0" w:type="dxa"/>
              <w:right w:w="15" w:type="dxa"/>
            </w:tcMar>
            <w:vAlign w:val="center"/>
            <w:hideMark/>
          </w:tcPr>
          <w:p w:rsidR="008556CE" w:rsidRPr="00396FFB" w:rsidRDefault="008556CE" w:rsidP="00CB315A">
            <w:pPr>
              <w:spacing w:after="0" w:line="240" w:lineRule="auto"/>
              <w:rPr>
                <w:rFonts w:ascii="Arial" w:eastAsia="Times New Roman" w:hAnsi="Arial" w:cs="Arial"/>
                <w:lang w:eastAsia="en-AU"/>
              </w:rPr>
            </w:pPr>
          </w:p>
        </w:tc>
        <w:tc>
          <w:tcPr>
            <w:tcW w:w="2976" w:type="dxa"/>
            <w:gridSpan w:val="2"/>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Chance of being on-target (%)</w:t>
            </w:r>
          </w:p>
        </w:tc>
        <w:tc>
          <w:tcPr>
            <w:tcW w:w="1560" w:type="dxa"/>
            <w:tcBorders>
              <w:top w:val="single" w:sz="8" w:space="0" w:color="FFFFFF"/>
              <w:left w:val="single" w:sz="8" w:space="0" w:color="000000"/>
              <w:bottom w:val="single" w:sz="8" w:space="0" w:color="000000"/>
              <w:right w:val="single" w:sz="8" w:space="0" w:color="FFFFFF"/>
            </w:tcBorders>
            <w:shd w:val="clear" w:color="auto" w:fill="auto"/>
            <w:tcMar>
              <w:top w:w="15" w:type="dxa"/>
              <w:left w:w="15" w:type="dxa"/>
              <w:bottom w:w="0" w:type="dxa"/>
              <w:right w:w="15" w:type="dxa"/>
            </w:tcMar>
            <w:vAlign w:val="center"/>
            <w:hideMark/>
          </w:tcPr>
          <w:p w:rsidR="008556CE" w:rsidRPr="00396FFB" w:rsidRDefault="008556CE" w:rsidP="00CB315A">
            <w:pPr>
              <w:spacing w:after="0" w:line="240" w:lineRule="auto"/>
              <w:rPr>
                <w:rFonts w:ascii="Arial" w:eastAsia="Times New Roman" w:hAnsi="Arial" w:cs="Arial"/>
                <w:lang w:eastAsia="en-AU"/>
              </w:rPr>
            </w:pPr>
          </w:p>
        </w:tc>
        <w:tc>
          <w:tcPr>
            <w:tcW w:w="1559" w:type="dxa"/>
            <w:tcBorders>
              <w:top w:val="single" w:sz="8" w:space="0" w:color="FFFFFF"/>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rsidR="008556CE" w:rsidRPr="00396FFB" w:rsidRDefault="008556CE" w:rsidP="00CB315A">
            <w:pPr>
              <w:spacing w:after="0" w:line="240" w:lineRule="auto"/>
              <w:rPr>
                <w:rFonts w:ascii="Arial" w:eastAsia="Times New Roman" w:hAnsi="Arial" w:cs="Arial"/>
                <w:lang w:eastAsia="en-AU"/>
              </w:rPr>
            </w:pPr>
          </w:p>
        </w:tc>
        <w:tc>
          <w:tcPr>
            <w:tcW w:w="1701" w:type="dxa"/>
            <w:tcBorders>
              <w:top w:val="single" w:sz="8" w:space="0" w:color="FFFFFF"/>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rsidR="008556CE" w:rsidRPr="00396FFB" w:rsidRDefault="008556CE" w:rsidP="00CB315A">
            <w:pPr>
              <w:spacing w:after="0" w:line="240" w:lineRule="auto"/>
              <w:rPr>
                <w:rFonts w:ascii="Arial" w:eastAsia="Times New Roman" w:hAnsi="Arial" w:cs="Arial"/>
                <w:lang w:eastAsia="en-AU"/>
              </w:rPr>
            </w:pPr>
          </w:p>
        </w:tc>
      </w:tr>
      <w:tr w:rsidR="008556CE" w:rsidRPr="00396FFB" w:rsidTr="00CB315A">
        <w:trPr>
          <w:trHeight w:val="284"/>
        </w:trPr>
        <w:tc>
          <w:tcPr>
            <w:tcW w:w="1575" w:type="dxa"/>
            <w:tcBorders>
              <w:top w:val="single" w:sz="8" w:space="0" w:color="FFFFFF"/>
              <w:left w:val="single" w:sz="8" w:space="0" w:color="FFFFFF"/>
              <w:bottom w:val="single" w:sz="8" w:space="0" w:color="000000"/>
              <w:right w:val="single" w:sz="8" w:space="0" w:color="000000"/>
            </w:tcBorders>
            <w:shd w:val="clear" w:color="auto" w:fill="auto"/>
            <w:tcMar>
              <w:top w:w="15" w:type="dxa"/>
              <w:left w:w="15" w:type="dxa"/>
              <w:bottom w:w="0" w:type="dxa"/>
              <w:right w:w="15" w:type="dxa"/>
            </w:tcMar>
            <w:vAlign w:val="center"/>
            <w:hideMark/>
          </w:tcPr>
          <w:p w:rsidR="008556CE" w:rsidRPr="00396FFB" w:rsidRDefault="008556CE" w:rsidP="00CB315A">
            <w:pPr>
              <w:spacing w:after="0" w:line="240" w:lineRule="auto"/>
              <w:rPr>
                <w:rFonts w:ascii="Arial" w:eastAsia="Times New Roman" w:hAnsi="Arial" w:cs="Arial"/>
                <w:lang w:eastAsia="en-AU"/>
              </w:rPr>
            </w:pPr>
          </w:p>
        </w:tc>
        <w:tc>
          <w:tcPr>
            <w:tcW w:w="1559" w:type="dxa"/>
            <w:tcBorders>
              <w:top w:val="single" w:sz="8" w:space="0" w:color="000000"/>
              <w:left w:val="single" w:sz="8" w:space="0" w:color="000000"/>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worst</w:t>
            </w:r>
          </w:p>
        </w:tc>
        <w:tc>
          <w:tcPr>
            <w:tcW w:w="1417" w:type="dxa"/>
            <w:tcBorders>
              <w:top w:val="single" w:sz="8" w:space="0" w:color="000000"/>
              <w:left w:val="single" w:sz="8" w:space="0" w:color="FFFFFF"/>
              <w:bottom w:val="single" w:sz="8" w:space="0" w:color="000000"/>
              <w:right w:val="single" w:sz="8" w:space="0" w:color="000000"/>
            </w:tcBorders>
            <w:shd w:val="clear" w:color="auto" w:fill="E9EDF4"/>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best</w:t>
            </w:r>
          </w:p>
        </w:tc>
        <w:tc>
          <w:tcPr>
            <w:tcW w:w="1560" w:type="dxa"/>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rank</w:t>
            </w:r>
          </w:p>
        </w:tc>
        <w:tc>
          <w:tcPr>
            <w:tcW w:w="1559" w:type="dxa"/>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utility</w:t>
            </w:r>
          </w:p>
        </w:tc>
        <w:tc>
          <w:tcPr>
            <w:tcW w:w="1701" w:type="dxa"/>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weight</w:t>
            </w:r>
          </w:p>
        </w:tc>
      </w:tr>
      <w:tr w:rsidR="008556CE" w:rsidRPr="00396FFB" w:rsidTr="00CB315A">
        <w:trPr>
          <w:trHeight w:val="284"/>
        </w:trPr>
        <w:tc>
          <w:tcPr>
            <w:tcW w:w="1575" w:type="dxa"/>
            <w:tcBorders>
              <w:top w:val="single" w:sz="8" w:space="0" w:color="000000"/>
              <w:left w:val="single" w:sz="8" w:space="0" w:color="000000"/>
              <w:bottom w:val="single" w:sz="8" w:space="0" w:color="FFFFFF"/>
              <w:right w:val="single" w:sz="8" w:space="0" w:color="000000"/>
            </w:tcBorders>
            <w:shd w:val="clear" w:color="auto" w:fill="E9EDF4"/>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seagrass</w:t>
            </w:r>
          </w:p>
        </w:tc>
        <w:tc>
          <w:tcPr>
            <w:tcW w:w="1559" w:type="dxa"/>
            <w:tcBorders>
              <w:top w:val="single" w:sz="8" w:space="0" w:color="000000"/>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0</w:t>
            </w:r>
          </w:p>
        </w:tc>
        <w:tc>
          <w:tcPr>
            <w:tcW w:w="1417" w:type="dxa"/>
            <w:tcBorders>
              <w:top w:val="single" w:sz="8" w:space="0" w:color="000000"/>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100</w:t>
            </w:r>
          </w:p>
        </w:tc>
        <w:tc>
          <w:tcPr>
            <w:tcW w:w="1560" w:type="dxa"/>
            <w:tcBorders>
              <w:top w:val="single" w:sz="8" w:space="0" w:color="000000"/>
              <w:left w:val="single" w:sz="8" w:space="0" w:color="000000"/>
              <w:bottom w:val="single" w:sz="8" w:space="0" w:color="FFFFFF"/>
              <w:right w:val="single" w:sz="8" w:space="0" w:color="000000"/>
            </w:tcBorders>
            <w:shd w:val="clear" w:color="auto" w:fill="E9EDF4"/>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1</w:t>
            </w:r>
          </w:p>
        </w:tc>
        <w:tc>
          <w:tcPr>
            <w:tcW w:w="1559" w:type="dxa"/>
            <w:tcBorders>
              <w:top w:val="single" w:sz="8" w:space="0" w:color="000000"/>
              <w:left w:val="single" w:sz="8" w:space="0" w:color="000000"/>
              <w:bottom w:val="single" w:sz="8" w:space="0" w:color="FFFFFF"/>
              <w:right w:val="single" w:sz="8" w:space="0" w:color="000000"/>
            </w:tcBorders>
            <w:shd w:val="clear" w:color="auto" w:fill="FAC090"/>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100</w:t>
            </w:r>
          </w:p>
        </w:tc>
        <w:tc>
          <w:tcPr>
            <w:tcW w:w="1701" w:type="dxa"/>
            <w:tcBorders>
              <w:top w:val="single" w:sz="8" w:space="0" w:color="000000"/>
              <w:left w:val="single" w:sz="8" w:space="0" w:color="000000"/>
              <w:bottom w:val="single" w:sz="8" w:space="0" w:color="FFFFFF"/>
              <w:right w:val="single" w:sz="8" w:space="0" w:color="000000"/>
            </w:tcBorders>
            <w:shd w:val="clear" w:color="auto" w:fill="E9EDF4"/>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0.74</w:t>
            </w:r>
          </w:p>
        </w:tc>
      </w:tr>
      <w:tr w:rsidR="008556CE" w:rsidRPr="00396FFB" w:rsidTr="00CB315A">
        <w:trPr>
          <w:trHeight w:val="284"/>
        </w:trPr>
        <w:tc>
          <w:tcPr>
            <w:tcW w:w="1575" w:type="dxa"/>
            <w:tcBorders>
              <w:top w:val="single" w:sz="8" w:space="0" w:color="FFFFFF"/>
              <w:left w:val="single" w:sz="8" w:space="0" w:color="000000"/>
              <w:bottom w:val="single" w:sz="8" w:space="0" w:color="FFFFFF"/>
              <w:right w:val="single" w:sz="8" w:space="0" w:color="000000"/>
            </w:tcBorders>
            <w:shd w:val="clear" w:color="auto" w:fill="E9EDF4"/>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loads</w:t>
            </w:r>
          </w:p>
        </w:tc>
        <w:tc>
          <w:tcPr>
            <w:tcW w:w="1559"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0</w:t>
            </w:r>
          </w:p>
        </w:tc>
        <w:tc>
          <w:tcPr>
            <w:tcW w:w="1417"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100</w:t>
            </w:r>
          </w:p>
        </w:tc>
        <w:tc>
          <w:tcPr>
            <w:tcW w:w="1560" w:type="dxa"/>
            <w:tcBorders>
              <w:top w:val="single" w:sz="8" w:space="0" w:color="FFFFFF"/>
              <w:left w:val="single" w:sz="8" w:space="0" w:color="000000"/>
              <w:bottom w:val="single" w:sz="8" w:space="0" w:color="FFFFFF"/>
              <w:right w:val="single" w:sz="8" w:space="0" w:color="000000"/>
            </w:tcBorders>
            <w:shd w:val="clear" w:color="auto" w:fill="E9EDF4"/>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2</w:t>
            </w:r>
          </w:p>
        </w:tc>
        <w:tc>
          <w:tcPr>
            <w:tcW w:w="1559" w:type="dxa"/>
            <w:tcBorders>
              <w:top w:val="single" w:sz="8" w:space="0" w:color="FFFFFF"/>
              <w:left w:val="single" w:sz="8" w:space="0" w:color="000000"/>
              <w:bottom w:val="single" w:sz="8" w:space="0" w:color="FFFFFF"/>
              <w:right w:val="single" w:sz="8" w:space="0" w:color="000000"/>
            </w:tcBorders>
            <w:shd w:val="clear" w:color="auto" w:fill="FAC090"/>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25</w:t>
            </w:r>
          </w:p>
        </w:tc>
        <w:tc>
          <w:tcPr>
            <w:tcW w:w="1701" w:type="dxa"/>
            <w:tcBorders>
              <w:top w:val="single" w:sz="8" w:space="0" w:color="FFFFFF"/>
              <w:left w:val="single" w:sz="8" w:space="0" w:color="000000"/>
              <w:bottom w:val="single" w:sz="8" w:space="0" w:color="FFFFFF"/>
              <w:right w:val="single" w:sz="8" w:space="0" w:color="000000"/>
            </w:tcBorders>
            <w:shd w:val="clear" w:color="auto" w:fill="E9EDF4"/>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0.19</w:t>
            </w:r>
          </w:p>
        </w:tc>
      </w:tr>
      <w:tr w:rsidR="008556CE" w:rsidRPr="00396FFB" w:rsidTr="00CB315A">
        <w:trPr>
          <w:trHeight w:val="284"/>
        </w:trPr>
        <w:tc>
          <w:tcPr>
            <w:tcW w:w="1575" w:type="dxa"/>
            <w:tcBorders>
              <w:top w:val="single" w:sz="8" w:space="0" w:color="FFFFFF"/>
              <w:left w:val="single" w:sz="8" w:space="0" w:color="000000"/>
              <w:bottom w:val="single" w:sz="8" w:space="0" w:color="FFFFFF"/>
              <w:right w:val="single" w:sz="8" w:space="0" w:color="000000"/>
            </w:tcBorders>
            <w:shd w:val="clear" w:color="auto" w:fill="E9EDF4"/>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proofErr w:type="spellStart"/>
            <w:r w:rsidRPr="00396FFB">
              <w:rPr>
                <w:rFonts w:ascii="Calibri" w:eastAsia="Times New Roman" w:hAnsi="Calibri" w:cs="Arial"/>
                <w:color w:val="000000" w:themeColor="dark1"/>
                <w:kern w:val="24"/>
                <w:lang w:eastAsia="en-AU"/>
              </w:rPr>
              <w:t>ag</w:t>
            </w:r>
            <w:proofErr w:type="spellEnd"/>
            <w:r w:rsidRPr="00396FFB">
              <w:rPr>
                <w:rFonts w:ascii="Calibri" w:eastAsia="Times New Roman" w:hAnsi="Calibri" w:cs="Arial"/>
                <w:color w:val="000000" w:themeColor="dark1"/>
                <w:kern w:val="24"/>
                <w:lang w:eastAsia="en-AU"/>
              </w:rPr>
              <w:t xml:space="preserve"> BMP</w:t>
            </w:r>
          </w:p>
        </w:tc>
        <w:tc>
          <w:tcPr>
            <w:tcW w:w="1559" w:type="dxa"/>
            <w:tcBorders>
              <w:top w:val="single" w:sz="8" w:space="0" w:color="FFFFFF"/>
              <w:left w:val="single" w:sz="8" w:space="0" w:color="000000"/>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0</w:t>
            </w:r>
          </w:p>
        </w:tc>
        <w:tc>
          <w:tcPr>
            <w:tcW w:w="1417" w:type="dxa"/>
            <w:tcBorders>
              <w:top w:val="single" w:sz="8" w:space="0" w:color="FFFFFF"/>
              <w:left w:val="single" w:sz="8" w:space="0" w:color="FFFFFF"/>
              <w:bottom w:val="single" w:sz="8" w:space="0" w:color="FFFFFF"/>
              <w:right w:val="single" w:sz="8" w:space="0" w:color="000000"/>
            </w:tcBorders>
            <w:shd w:val="clear" w:color="auto" w:fill="E9EDF4"/>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100</w:t>
            </w:r>
          </w:p>
        </w:tc>
        <w:tc>
          <w:tcPr>
            <w:tcW w:w="1560" w:type="dxa"/>
            <w:tcBorders>
              <w:top w:val="single" w:sz="8" w:space="0" w:color="FFFFFF"/>
              <w:left w:val="single" w:sz="8" w:space="0" w:color="000000"/>
              <w:bottom w:val="single" w:sz="8" w:space="0" w:color="FFFFFF"/>
              <w:right w:val="single" w:sz="8" w:space="0" w:color="000000"/>
            </w:tcBorders>
            <w:shd w:val="clear" w:color="auto" w:fill="E9EDF4"/>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3</w:t>
            </w:r>
          </w:p>
        </w:tc>
        <w:tc>
          <w:tcPr>
            <w:tcW w:w="1559" w:type="dxa"/>
            <w:tcBorders>
              <w:top w:val="single" w:sz="8" w:space="0" w:color="FFFFFF"/>
              <w:left w:val="single" w:sz="8" w:space="0" w:color="000000"/>
              <w:bottom w:val="single" w:sz="8" w:space="0" w:color="FFFFFF"/>
              <w:right w:val="single" w:sz="8" w:space="0" w:color="000000"/>
            </w:tcBorders>
            <w:shd w:val="clear" w:color="auto" w:fill="FAC090"/>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5</w:t>
            </w:r>
          </w:p>
        </w:tc>
        <w:tc>
          <w:tcPr>
            <w:tcW w:w="1701" w:type="dxa"/>
            <w:tcBorders>
              <w:top w:val="single" w:sz="8" w:space="0" w:color="FFFFFF"/>
              <w:left w:val="single" w:sz="8" w:space="0" w:color="000000"/>
              <w:bottom w:val="single" w:sz="8" w:space="0" w:color="FFFFFF"/>
              <w:right w:val="single" w:sz="8" w:space="0" w:color="000000"/>
            </w:tcBorders>
            <w:shd w:val="clear" w:color="auto" w:fill="E9EDF4"/>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0.04</w:t>
            </w:r>
          </w:p>
        </w:tc>
      </w:tr>
      <w:tr w:rsidR="008556CE" w:rsidRPr="00396FFB" w:rsidTr="00CB315A">
        <w:trPr>
          <w:trHeight w:val="284"/>
        </w:trPr>
        <w:tc>
          <w:tcPr>
            <w:tcW w:w="1575" w:type="dxa"/>
            <w:tcBorders>
              <w:top w:val="single" w:sz="8" w:space="0" w:color="FFFFFF"/>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ports BMP</w:t>
            </w:r>
          </w:p>
        </w:tc>
        <w:tc>
          <w:tcPr>
            <w:tcW w:w="1559" w:type="dxa"/>
            <w:tcBorders>
              <w:top w:val="single" w:sz="8" w:space="0" w:color="FFFFFF"/>
              <w:left w:val="single" w:sz="8" w:space="0" w:color="000000"/>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0</w:t>
            </w:r>
          </w:p>
        </w:tc>
        <w:tc>
          <w:tcPr>
            <w:tcW w:w="1417" w:type="dxa"/>
            <w:tcBorders>
              <w:top w:val="single" w:sz="8" w:space="0" w:color="FFFFFF"/>
              <w:left w:val="single" w:sz="8" w:space="0" w:color="FFFFFF"/>
              <w:bottom w:val="single" w:sz="8" w:space="0" w:color="000000"/>
              <w:right w:val="single" w:sz="8" w:space="0" w:color="000000"/>
            </w:tcBorders>
            <w:shd w:val="clear" w:color="auto" w:fill="E9EDF4"/>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100</w:t>
            </w:r>
          </w:p>
        </w:tc>
        <w:tc>
          <w:tcPr>
            <w:tcW w:w="1560" w:type="dxa"/>
            <w:tcBorders>
              <w:top w:val="single" w:sz="8" w:space="0" w:color="FFFFFF"/>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3</w:t>
            </w:r>
          </w:p>
        </w:tc>
        <w:tc>
          <w:tcPr>
            <w:tcW w:w="1559" w:type="dxa"/>
            <w:tcBorders>
              <w:top w:val="single" w:sz="8" w:space="0" w:color="FFFFFF"/>
              <w:left w:val="single" w:sz="8" w:space="0" w:color="000000"/>
              <w:bottom w:val="single" w:sz="8" w:space="0" w:color="000000"/>
              <w:right w:val="single" w:sz="8" w:space="0" w:color="000000"/>
            </w:tcBorders>
            <w:shd w:val="clear" w:color="auto" w:fill="FAC090"/>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5</w:t>
            </w:r>
          </w:p>
        </w:tc>
        <w:tc>
          <w:tcPr>
            <w:tcW w:w="1701" w:type="dxa"/>
            <w:tcBorders>
              <w:top w:val="single" w:sz="8" w:space="0" w:color="FFFFFF"/>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0.04</w:t>
            </w:r>
          </w:p>
        </w:tc>
      </w:tr>
      <w:tr w:rsidR="008556CE" w:rsidRPr="00396FFB" w:rsidTr="00CB315A">
        <w:trPr>
          <w:trHeight w:val="284"/>
        </w:trPr>
        <w:tc>
          <w:tcPr>
            <w:tcW w:w="1575" w:type="dxa"/>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8556CE" w:rsidRPr="00396FFB" w:rsidRDefault="008556CE" w:rsidP="00CB315A">
            <w:pPr>
              <w:spacing w:after="0" w:line="240" w:lineRule="auto"/>
              <w:rPr>
                <w:rFonts w:ascii="Arial" w:eastAsia="Times New Roman" w:hAnsi="Arial" w:cs="Arial"/>
                <w:lang w:eastAsia="en-AU"/>
              </w:rPr>
            </w:pPr>
          </w:p>
        </w:tc>
        <w:tc>
          <w:tcPr>
            <w:tcW w:w="1559" w:type="dxa"/>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8556CE" w:rsidRPr="00396FFB" w:rsidRDefault="008556CE" w:rsidP="00CB315A">
            <w:pPr>
              <w:spacing w:after="0" w:line="240" w:lineRule="auto"/>
              <w:rPr>
                <w:rFonts w:ascii="Arial" w:eastAsia="Times New Roman" w:hAnsi="Arial" w:cs="Arial"/>
                <w:lang w:eastAsia="en-AU"/>
              </w:rPr>
            </w:pPr>
          </w:p>
        </w:tc>
        <w:tc>
          <w:tcPr>
            <w:tcW w:w="1417" w:type="dxa"/>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8556CE" w:rsidRPr="00396FFB" w:rsidRDefault="008556CE" w:rsidP="00CB315A">
            <w:pPr>
              <w:spacing w:after="0" w:line="240" w:lineRule="auto"/>
              <w:rPr>
                <w:rFonts w:ascii="Arial" w:eastAsia="Times New Roman" w:hAnsi="Arial" w:cs="Arial"/>
                <w:lang w:eastAsia="en-AU"/>
              </w:rPr>
            </w:pPr>
          </w:p>
        </w:tc>
        <w:tc>
          <w:tcPr>
            <w:tcW w:w="1560" w:type="dxa"/>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8556CE" w:rsidRPr="00396FFB" w:rsidRDefault="008556CE" w:rsidP="00CB315A">
            <w:pPr>
              <w:spacing w:after="0" w:line="240" w:lineRule="auto"/>
              <w:rPr>
                <w:rFonts w:ascii="Arial" w:eastAsia="Times New Roman" w:hAnsi="Arial" w:cs="Arial"/>
                <w:lang w:eastAsia="en-AU"/>
              </w:rPr>
            </w:pPr>
          </w:p>
        </w:tc>
        <w:tc>
          <w:tcPr>
            <w:tcW w:w="1559" w:type="dxa"/>
            <w:tcBorders>
              <w:top w:val="single" w:sz="8" w:space="0" w:color="000000"/>
              <w:left w:val="single" w:sz="8" w:space="0" w:color="FFFFFF"/>
              <w:bottom w:val="single" w:sz="8" w:space="0" w:color="FFFFFF"/>
              <w:right w:val="single" w:sz="8" w:space="0" w:color="000000"/>
            </w:tcBorders>
            <w:shd w:val="clear" w:color="auto" w:fill="auto"/>
            <w:tcMar>
              <w:top w:w="15" w:type="dxa"/>
              <w:left w:w="15" w:type="dxa"/>
              <w:bottom w:w="0" w:type="dxa"/>
              <w:right w:w="15" w:type="dxa"/>
            </w:tcMar>
            <w:vAlign w:val="center"/>
            <w:hideMark/>
          </w:tcPr>
          <w:p w:rsidR="008556CE" w:rsidRPr="00396FFB" w:rsidRDefault="008556CE" w:rsidP="00CB315A">
            <w:pPr>
              <w:spacing w:after="0" w:line="240" w:lineRule="auto"/>
              <w:rPr>
                <w:rFonts w:ascii="Arial" w:eastAsia="Times New Roman" w:hAnsi="Arial" w:cs="Arial"/>
                <w:lang w:eastAsia="en-AU"/>
              </w:rPr>
            </w:pPr>
          </w:p>
        </w:tc>
        <w:tc>
          <w:tcPr>
            <w:tcW w:w="1701" w:type="dxa"/>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rsidR="008556CE" w:rsidRPr="00396FFB" w:rsidRDefault="008556CE" w:rsidP="00CB315A">
            <w:pPr>
              <w:spacing w:after="0" w:line="240" w:lineRule="auto"/>
              <w:jc w:val="center"/>
              <w:textAlignment w:val="bottom"/>
              <w:rPr>
                <w:rFonts w:ascii="Arial" w:eastAsia="Times New Roman" w:hAnsi="Arial" w:cs="Arial"/>
                <w:lang w:eastAsia="en-AU"/>
              </w:rPr>
            </w:pPr>
            <w:r w:rsidRPr="00396FFB">
              <w:rPr>
                <w:rFonts w:ascii="Calibri" w:eastAsia="Times New Roman" w:hAnsi="Calibri" w:cs="Arial"/>
                <w:color w:val="000000" w:themeColor="dark1"/>
                <w:kern w:val="24"/>
                <w:lang w:eastAsia="en-AU"/>
              </w:rPr>
              <w:t>1.00</w:t>
            </w:r>
          </w:p>
        </w:tc>
      </w:tr>
    </w:tbl>
    <w:p w:rsidR="008556CE" w:rsidRDefault="008556CE" w:rsidP="008556CE"/>
    <w:p w:rsidR="008556CE" w:rsidRDefault="008556CE" w:rsidP="008556CE"/>
    <w:p w:rsidR="008556CE" w:rsidRDefault="008556CE" w:rsidP="008556CE"/>
    <w:p w:rsidR="008556CE" w:rsidRDefault="008556CE" w:rsidP="008556CE">
      <w:r w:rsidRPr="00396FFB">
        <w:rPr>
          <w:noProof/>
          <w:lang w:eastAsia="en-AU"/>
        </w:rPr>
        <w:drawing>
          <wp:inline distT="0" distB="0" distL="0" distR="0">
            <wp:extent cx="4330800" cy="3366000"/>
            <wp:effectExtent l="0" t="0" r="0" b="6350"/>
            <wp:docPr id="20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8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0800" cy="3366000"/>
                    </a:xfrm>
                    <a:prstGeom prst="rect">
                      <a:avLst/>
                    </a:prstGeom>
                    <a:noFill/>
                    <a:ln>
                      <a:noFill/>
                    </a:ln>
                    <a:effectLst/>
                    <a:extLst/>
                  </pic:spPr>
                </pic:pic>
              </a:graphicData>
            </a:graphic>
          </wp:inline>
        </w:drawing>
      </w:r>
    </w:p>
    <w:p w:rsidR="008041E6" w:rsidRPr="00520FB1" w:rsidRDefault="008041E6" w:rsidP="008041E6">
      <w:pPr>
        <w:rPr>
          <w:sz w:val="20"/>
          <w:szCs w:val="20"/>
        </w:rPr>
      </w:pPr>
      <w:proofErr w:type="gramStart"/>
      <w:r w:rsidRPr="00520FB1">
        <w:rPr>
          <w:b/>
          <w:sz w:val="20"/>
          <w:szCs w:val="20"/>
        </w:rPr>
        <w:t xml:space="preserve">Figure </w:t>
      </w:r>
      <w:r w:rsidR="00F548F8">
        <w:rPr>
          <w:b/>
          <w:sz w:val="20"/>
          <w:szCs w:val="20"/>
        </w:rPr>
        <w:t>23</w:t>
      </w:r>
      <w:r w:rsidRPr="00520FB1">
        <w:rPr>
          <w:b/>
          <w:sz w:val="20"/>
          <w:szCs w:val="20"/>
        </w:rPr>
        <w:t>.</w:t>
      </w:r>
      <w:proofErr w:type="gramEnd"/>
      <w:r w:rsidRPr="00520FB1">
        <w:rPr>
          <w:b/>
          <w:sz w:val="20"/>
          <w:szCs w:val="20"/>
        </w:rPr>
        <w:t xml:space="preserve"> </w:t>
      </w:r>
      <w:r w:rsidRPr="00520FB1">
        <w:rPr>
          <w:sz w:val="20"/>
          <w:szCs w:val="20"/>
        </w:rPr>
        <w:t xml:space="preserve">Summary of </w:t>
      </w:r>
      <w:r>
        <w:rPr>
          <w:sz w:val="20"/>
          <w:szCs w:val="20"/>
        </w:rPr>
        <w:t xml:space="preserve">weighted </w:t>
      </w:r>
      <w:r w:rsidRPr="00520FB1">
        <w:rPr>
          <w:sz w:val="20"/>
          <w:szCs w:val="20"/>
        </w:rPr>
        <w:t>expected performance of each management interven</w:t>
      </w:r>
      <w:r>
        <w:rPr>
          <w:sz w:val="20"/>
          <w:szCs w:val="20"/>
        </w:rPr>
        <w:t>tion alternative for each of</w:t>
      </w:r>
      <w:r w:rsidRPr="00520FB1">
        <w:rPr>
          <w:sz w:val="20"/>
          <w:szCs w:val="20"/>
        </w:rPr>
        <w:t xml:space="preserve"> </w:t>
      </w:r>
      <w:r>
        <w:rPr>
          <w:sz w:val="20"/>
          <w:szCs w:val="20"/>
        </w:rPr>
        <w:t>four relevant LTSP2050 targets relative to the ‘</w:t>
      </w:r>
      <w:proofErr w:type="gramStart"/>
      <w:r>
        <w:rPr>
          <w:sz w:val="20"/>
          <w:szCs w:val="20"/>
        </w:rPr>
        <w:t>do</w:t>
      </w:r>
      <w:proofErr w:type="gramEnd"/>
      <w:r>
        <w:rPr>
          <w:sz w:val="20"/>
          <w:szCs w:val="20"/>
        </w:rPr>
        <w:t xml:space="preserve"> nothing’ alternative.  Note that in contrast to Figure </w:t>
      </w:r>
      <w:r w:rsidR="007C31DB">
        <w:rPr>
          <w:sz w:val="20"/>
          <w:szCs w:val="20"/>
        </w:rPr>
        <w:t>22</w:t>
      </w:r>
      <w:r>
        <w:rPr>
          <w:sz w:val="20"/>
          <w:szCs w:val="20"/>
        </w:rPr>
        <w:t xml:space="preserve">, seagrass outcomes dominate aggregated </w:t>
      </w:r>
      <w:r w:rsidR="00AC3FFC">
        <w:rPr>
          <w:sz w:val="20"/>
          <w:szCs w:val="20"/>
        </w:rPr>
        <w:t>performance</w:t>
      </w:r>
      <w:r>
        <w:rPr>
          <w:sz w:val="20"/>
          <w:szCs w:val="20"/>
        </w:rPr>
        <w:t>.</w:t>
      </w:r>
    </w:p>
    <w:p w:rsidR="008556CE" w:rsidRDefault="008556CE" w:rsidP="008556CE"/>
    <w:p w:rsidR="008041E6" w:rsidRDefault="008041E6" w:rsidP="008556CE">
      <w:r>
        <w:t xml:space="preserve">The task remains to trade-off cost against performance of each LTSP2050 target.  Our view is that </w:t>
      </w:r>
      <w:r w:rsidR="00AC3FFC">
        <w:t>trade</w:t>
      </w:r>
      <w:r>
        <w:t>-offs with monetary cost are often the most difficult. Man</w:t>
      </w:r>
      <w:r w:rsidR="001D2B15">
        <w:t>a</w:t>
      </w:r>
      <w:r>
        <w:t xml:space="preserve">gers and </w:t>
      </w:r>
      <w:r w:rsidR="00AC3FFC">
        <w:t>stakeholders</w:t>
      </w:r>
      <w:r>
        <w:t xml:space="preserve"> have difficulty finding a ‘fair price’ for </w:t>
      </w:r>
      <w:r w:rsidR="00AC3FFC">
        <w:t>losses</w:t>
      </w:r>
      <w:r>
        <w:t xml:space="preserve"> and gains that involve environmental values or risks to organisational </w:t>
      </w:r>
      <w:r>
        <w:lastRenderedPageBreak/>
        <w:t xml:space="preserve">reputations.  </w:t>
      </w:r>
      <w:proofErr w:type="spellStart"/>
      <w:r w:rsidR="00D832BA">
        <w:t>Tetlock</w:t>
      </w:r>
      <w:proofErr w:type="spellEnd"/>
      <w:r w:rsidR="00D832BA">
        <w:t xml:space="preserve"> (2000) characterises trade-offs involving protected or sacred values (e.g. environmental values of the GBR) and secular values (e.g. money) </w:t>
      </w:r>
      <w:r w:rsidR="00473B42">
        <w:t>as ‘taboo’</w:t>
      </w:r>
      <w:r w:rsidR="00D832BA">
        <w:t xml:space="preserve"> trade-offs.  </w:t>
      </w:r>
      <w:r>
        <w:t xml:space="preserve"> </w:t>
      </w:r>
      <w:r w:rsidR="00D832BA">
        <w:t>Decision-makers tend to eschew the cognitive and emotional demands of taboo trade-offs and instead assign infi</w:t>
      </w:r>
      <w:r w:rsidR="00AC3FFC">
        <w:t>nite</w:t>
      </w:r>
      <w:r w:rsidR="00D832BA">
        <w:t xml:space="preserve"> (or near </w:t>
      </w:r>
      <w:r w:rsidR="00AC3FFC">
        <w:t>infinite</w:t>
      </w:r>
      <w:r w:rsidR="00D832BA">
        <w:t xml:space="preserve">) value to the protected, non-market </w:t>
      </w:r>
      <w:r w:rsidR="00AC3FFC">
        <w:t>objectives</w:t>
      </w:r>
      <w:r w:rsidR="00D832BA">
        <w:t>.  Wherever possible, taboo trade-offs should be avoided.  Instead of asking managers and stakeholders to articulate a</w:t>
      </w:r>
      <w:r w:rsidR="00D608DC">
        <w:t xml:space="preserve"> monetary willingness to accept</w:t>
      </w:r>
      <w:r>
        <w:t xml:space="preserve"> </w:t>
      </w:r>
      <w:r w:rsidR="00D832BA">
        <w:t>or willingness to pay, the approach we advocate is presentation of outcomes according to multi-objective cost-eff</w:t>
      </w:r>
      <w:r w:rsidR="007C31DB">
        <w:t>iciency</w:t>
      </w:r>
      <w:r w:rsidR="00D832BA">
        <w:t xml:space="preserve"> (Figure </w:t>
      </w:r>
      <w:r w:rsidR="007C31DB">
        <w:t>24</w:t>
      </w:r>
      <w:r w:rsidR="00D832BA">
        <w:t>).</w:t>
      </w:r>
    </w:p>
    <w:p w:rsidR="006C320C" w:rsidRPr="006C320C" w:rsidRDefault="006C320C" w:rsidP="006C320C">
      <w:pPr>
        <w:rPr>
          <w:color w:val="000000"/>
        </w:rPr>
      </w:pPr>
      <w:r w:rsidRPr="006C320C">
        <w:rPr>
          <w:color w:val="000000"/>
        </w:rPr>
        <w:t xml:space="preserve">To aggregate over multiple objectives, multi-attribute value </w:t>
      </w:r>
      <w:r w:rsidR="00473B42" w:rsidRPr="006C320C">
        <w:rPr>
          <w:color w:val="000000"/>
        </w:rPr>
        <w:t>theory commonly</w:t>
      </w:r>
      <w:r w:rsidRPr="006C320C">
        <w:rPr>
          <w:color w:val="000000"/>
        </w:rPr>
        <w:t xml:space="preserve"> use</w:t>
      </w:r>
      <w:r w:rsidR="00AC3FFC">
        <w:rPr>
          <w:color w:val="000000"/>
        </w:rPr>
        <w:t>s a simple additive model (Keene</w:t>
      </w:r>
      <w:r w:rsidRPr="006C320C">
        <w:rPr>
          <w:color w:val="000000"/>
        </w:rPr>
        <w:t xml:space="preserve">y and </w:t>
      </w:r>
      <w:proofErr w:type="spellStart"/>
      <w:r w:rsidRPr="006C320C">
        <w:rPr>
          <w:color w:val="000000"/>
        </w:rPr>
        <w:t>Raiffa</w:t>
      </w:r>
      <w:proofErr w:type="spellEnd"/>
      <w:r w:rsidRPr="006C320C">
        <w:rPr>
          <w:color w:val="000000"/>
        </w:rPr>
        <w:t xml:space="preserve"> 1976). The multi-objective value </w:t>
      </w:r>
      <w:r w:rsidRPr="006C320C">
        <w:rPr>
          <w:i/>
          <w:color w:val="000000"/>
        </w:rPr>
        <w:t>V</w:t>
      </w:r>
      <w:r w:rsidRPr="006C320C">
        <w:rPr>
          <w:color w:val="000000"/>
        </w:rPr>
        <w:t xml:space="preserve"> of a single alternative </w:t>
      </w:r>
      <w:r w:rsidRPr="006C320C">
        <w:rPr>
          <w:i/>
          <w:color w:val="000000"/>
        </w:rPr>
        <w:t>j</w:t>
      </w:r>
      <w:r w:rsidRPr="006C320C">
        <w:rPr>
          <w:color w:val="000000"/>
        </w:rPr>
        <w:t xml:space="preserve"> over </w:t>
      </w:r>
      <w:r w:rsidRPr="006C320C">
        <w:rPr>
          <w:i/>
          <w:color w:val="000000"/>
        </w:rPr>
        <w:t>n</w:t>
      </w:r>
      <w:r w:rsidRPr="006C320C">
        <w:rPr>
          <w:color w:val="000000"/>
        </w:rPr>
        <w:t xml:space="preserve"> preferentially independent objectives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1"/>
        <w:gridCol w:w="4677"/>
      </w:tblGrid>
      <w:tr w:rsidR="006C320C" w:rsidRPr="006C320C" w:rsidTr="00CB315A">
        <w:tc>
          <w:tcPr>
            <w:tcW w:w="4799" w:type="dxa"/>
          </w:tcPr>
          <w:p w:rsidR="006C320C" w:rsidRPr="006C320C" w:rsidRDefault="00FB3343" w:rsidP="00CB315A">
            <w:pPr>
              <w:tabs>
                <w:tab w:val="left" w:pos="8080"/>
              </w:tabs>
              <w:ind w:left="567"/>
              <w:rPr>
                <w:color w:val="000000"/>
                <w:sz w:val="22"/>
                <w:szCs w:val="22"/>
                <w:lang w:val="en-AU"/>
              </w:rPr>
            </w:pPr>
            <m:oMathPara>
              <m:oMathParaPr>
                <m:jc m:val="left"/>
              </m:oMathParaPr>
              <m:oMath>
                <m:sSub>
                  <m:sSubPr>
                    <m:ctrlPr>
                      <w:rPr>
                        <w:rFonts w:ascii="Cambria Math" w:hAnsi="Cambria Math"/>
                        <w:i/>
                        <w:color w:val="000000"/>
                        <w:sz w:val="22"/>
                        <w:szCs w:val="22"/>
                        <w:lang w:val="en-AU"/>
                      </w:rPr>
                    </m:ctrlPr>
                  </m:sSubPr>
                  <m:e>
                    <m:r>
                      <w:rPr>
                        <w:rFonts w:ascii="Cambria Math" w:hAnsi="Cambria Math"/>
                        <w:color w:val="000000"/>
                        <w:sz w:val="22"/>
                        <w:szCs w:val="22"/>
                        <w:lang w:val="en-AU"/>
                      </w:rPr>
                      <m:t>V</m:t>
                    </m:r>
                  </m:e>
                  <m:sub>
                    <m:r>
                      <w:rPr>
                        <w:rFonts w:ascii="Cambria Math" w:hAnsi="Cambria Math"/>
                        <w:color w:val="000000"/>
                        <w:sz w:val="22"/>
                        <w:szCs w:val="22"/>
                        <w:lang w:val="en-AU"/>
                      </w:rPr>
                      <m:t>j</m:t>
                    </m:r>
                  </m:sub>
                </m:sSub>
                <m:r>
                  <w:rPr>
                    <w:rFonts w:ascii="Cambria Math" w:hAnsi="Cambria Math"/>
                    <w:color w:val="000000"/>
                    <w:sz w:val="22"/>
                    <w:szCs w:val="22"/>
                    <w:lang w:val="en-AU"/>
                  </w:rPr>
                  <m:t>=</m:t>
                </m:r>
                <m:nary>
                  <m:naryPr>
                    <m:chr m:val="∑"/>
                    <m:limLoc m:val="undOvr"/>
                    <m:ctrlPr>
                      <w:rPr>
                        <w:rFonts w:ascii="Cambria Math" w:hAnsi="Cambria Math"/>
                        <w:i/>
                        <w:color w:val="000000"/>
                        <w:sz w:val="22"/>
                        <w:szCs w:val="22"/>
                        <w:lang w:val="en-AU"/>
                      </w:rPr>
                    </m:ctrlPr>
                  </m:naryPr>
                  <m:sub>
                    <m:r>
                      <w:rPr>
                        <w:rFonts w:ascii="Cambria Math" w:hAnsi="Cambria Math"/>
                        <w:color w:val="000000"/>
                        <w:sz w:val="22"/>
                        <w:szCs w:val="22"/>
                        <w:lang w:val="en-AU"/>
                      </w:rPr>
                      <m:t>i=1</m:t>
                    </m:r>
                  </m:sub>
                  <m:sup>
                    <m:r>
                      <w:rPr>
                        <w:rFonts w:ascii="Cambria Math" w:hAnsi="Cambria Math"/>
                        <w:color w:val="000000"/>
                        <w:sz w:val="22"/>
                        <w:szCs w:val="22"/>
                        <w:lang w:val="en-AU"/>
                      </w:rPr>
                      <m:t>n</m:t>
                    </m:r>
                  </m:sup>
                  <m:e>
                    <m:sSub>
                      <m:sSubPr>
                        <m:ctrlPr>
                          <w:rPr>
                            <w:rFonts w:ascii="Cambria Math" w:hAnsi="Cambria Math"/>
                            <w:i/>
                            <w:color w:val="000000"/>
                            <w:sz w:val="22"/>
                            <w:szCs w:val="22"/>
                            <w:lang w:val="en-AU"/>
                          </w:rPr>
                        </m:ctrlPr>
                      </m:sSubPr>
                      <m:e>
                        <m:r>
                          <w:rPr>
                            <w:rFonts w:ascii="Cambria Math" w:hAnsi="Cambria Math"/>
                            <w:color w:val="000000"/>
                            <w:sz w:val="22"/>
                            <w:szCs w:val="22"/>
                            <w:lang w:val="en-AU"/>
                          </w:rPr>
                          <m:t>w</m:t>
                        </m:r>
                      </m:e>
                      <m:sub>
                        <m:r>
                          <w:rPr>
                            <w:rFonts w:ascii="Cambria Math" w:hAnsi="Cambria Math"/>
                            <w:color w:val="000000"/>
                            <w:sz w:val="22"/>
                            <w:szCs w:val="22"/>
                            <w:lang w:val="en-AU"/>
                          </w:rPr>
                          <m:t>i</m:t>
                        </m:r>
                      </m:sub>
                    </m:sSub>
                  </m:e>
                </m:nary>
                <m:sSub>
                  <m:sSubPr>
                    <m:ctrlPr>
                      <w:rPr>
                        <w:rFonts w:ascii="Cambria Math" w:hAnsi="Cambria Math"/>
                        <w:i/>
                        <w:color w:val="000000"/>
                        <w:sz w:val="22"/>
                        <w:szCs w:val="22"/>
                        <w:lang w:val="en-AU"/>
                      </w:rPr>
                    </m:ctrlPr>
                  </m:sSubPr>
                  <m:e>
                    <m:r>
                      <w:rPr>
                        <w:rFonts w:ascii="Cambria Math" w:hAnsi="Cambria Math"/>
                        <w:color w:val="000000"/>
                        <w:sz w:val="22"/>
                        <w:szCs w:val="22"/>
                        <w:lang w:val="en-AU"/>
                      </w:rPr>
                      <m:t>v</m:t>
                    </m:r>
                  </m:e>
                  <m:sub>
                    <m:r>
                      <w:rPr>
                        <w:rFonts w:ascii="Cambria Math" w:hAnsi="Cambria Math"/>
                        <w:color w:val="000000"/>
                        <w:sz w:val="22"/>
                        <w:szCs w:val="22"/>
                        <w:lang w:val="en-AU"/>
                      </w:rPr>
                      <m:t>i</m:t>
                    </m:r>
                  </m:sub>
                </m:sSub>
                <m:sSub>
                  <m:sSubPr>
                    <m:ctrlPr>
                      <w:rPr>
                        <w:rFonts w:ascii="Cambria Math" w:hAnsi="Cambria Math"/>
                        <w:i/>
                        <w:color w:val="000000"/>
                        <w:sz w:val="22"/>
                        <w:szCs w:val="22"/>
                        <w:lang w:val="en-AU"/>
                      </w:rPr>
                    </m:ctrlPr>
                  </m:sSubPr>
                  <m:e>
                    <m:r>
                      <w:rPr>
                        <w:rFonts w:ascii="Cambria Math" w:hAnsi="Cambria Math"/>
                        <w:color w:val="000000"/>
                        <w:sz w:val="22"/>
                        <w:szCs w:val="22"/>
                        <w:lang w:val="en-AU"/>
                      </w:rPr>
                      <m:t>(x</m:t>
                    </m:r>
                  </m:e>
                  <m:sub>
                    <m:r>
                      <w:rPr>
                        <w:rFonts w:ascii="Cambria Math" w:hAnsi="Cambria Math"/>
                        <w:color w:val="000000"/>
                        <w:sz w:val="22"/>
                        <w:szCs w:val="22"/>
                        <w:lang w:val="en-AU"/>
                      </w:rPr>
                      <m:t>ij</m:t>
                    </m:r>
                  </m:sub>
                </m:sSub>
                <m:r>
                  <w:rPr>
                    <w:rFonts w:ascii="Cambria Math" w:hAnsi="Cambria Math"/>
                    <w:color w:val="000000"/>
                    <w:sz w:val="22"/>
                    <w:szCs w:val="22"/>
                    <w:lang w:val="en-AU"/>
                  </w:rPr>
                  <m:t>)</m:t>
                </m:r>
              </m:oMath>
            </m:oMathPara>
          </w:p>
          <w:p w:rsidR="006C320C" w:rsidRPr="006C320C" w:rsidRDefault="006C320C" w:rsidP="00CB315A">
            <w:pPr>
              <w:rPr>
                <w:color w:val="000000"/>
                <w:sz w:val="22"/>
                <w:szCs w:val="22"/>
                <w:lang w:val="en-AU"/>
              </w:rPr>
            </w:pPr>
          </w:p>
        </w:tc>
        <w:tc>
          <w:tcPr>
            <w:tcW w:w="4799" w:type="dxa"/>
          </w:tcPr>
          <w:p w:rsidR="006C320C" w:rsidRPr="006C320C" w:rsidRDefault="006C320C" w:rsidP="006C320C">
            <w:pPr>
              <w:tabs>
                <w:tab w:val="left" w:pos="3856"/>
              </w:tabs>
              <w:rPr>
                <w:color w:val="000000"/>
                <w:sz w:val="22"/>
                <w:szCs w:val="22"/>
                <w:lang w:val="en-AU"/>
              </w:rPr>
            </w:pPr>
          </w:p>
        </w:tc>
      </w:tr>
    </w:tbl>
    <w:p w:rsidR="006C320C" w:rsidRPr="006C320C" w:rsidRDefault="006C320C" w:rsidP="008556CE">
      <w:pPr>
        <w:rPr>
          <w:color w:val="000000"/>
        </w:rPr>
      </w:pPr>
      <w:proofErr w:type="gramStart"/>
      <w:r w:rsidRPr="006C320C">
        <w:t>where</w:t>
      </w:r>
      <w:proofErr w:type="gramEnd"/>
      <w:r w:rsidRPr="006C320C">
        <w:t xml:space="preserve"> </w:t>
      </w:r>
      <w:proofErr w:type="spellStart"/>
      <w:r w:rsidRPr="006C320C">
        <w:rPr>
          <w:i/>
        </w:rPr>
        <w:t>x</w:t>
      </w:r>
      <w:r w:rsidRPr="006C320C">
        <w:rPr>
          <w:i/>
          <w:vertAlign w:val="subscript"/>
        </w:rPr>
        <w:t>ij</w:t>
      </w:r>
      <w:proofErr w:type="spellEnd"/>
      <w:r w:rsidRPr="006C320C">
        <w:rPr>
          <w:i/>
        </w:rPr>
        <w:t xml:space="preserve"> </w:t>
      </w:r>
      <w:r w:rsidRPr="006C320C">
        <w:t xml:space="preserve">is the performance of alternative </w:t>
      </w:r>
      <w:r w:rsidRPr="006C320C">
        <w:rPr>
          <w:i/>
        </w:rPr>
        <w:t>j</w:t>
      </w:r>
      <w:r w:rsidRPr="006C320C">
        <w:t xml:space="preserve"> on </w:t>
      </w:r>
      <w:r>
        <w:t>objective</w:t>
      </w:r>
      <w:r w:rsidRPr="006C320C">
        <w:t xml:space="preserve"> </w:t>
      </w:r>
      <w:proofErr w:type="spellStart"/>
      <w:r w:rsidRPr="006C320C">
        <w:rPr>
          <w:i/>
        </w:rPr>
        <w:t>i</w:t>
      </w:r>
      <w:proofErr w:type="spellEnd"/>
      <w:r w:rsidRPr="006C320C">
        <w:t xml:space="preserve">, </w:t>
      </w:r>
      <w:r w:rsidRPr="006C320C">
        <w:rPr>
          <w:i/>
        </w:rPr>
        <w:t>v</w:t>
      </w:r>
      <w:r w:rsidRPr="006C320C">
        <w:rPr>
          <w:i/>
          <w:vertAlign w:val="subscript"/>
        </w:rPr>
        <w:t>i</w:t>
      </w:r>
      <w:r w:rsidRPr="006C320C">
        <w:t xml:space="preserve"> is the single-</w:t>
      </w:r>
      <w:r>
        <w:t>objective</w:t>
      </w:r>
      <w:r w:rsidRPr="006C320C">
        <w:t xml:space="preserve"> value function, and </w:t>
      </w:r>
      <w:proofErr w:type="spellStart"/>
      <w:r w:rsidRPr="006C320C">
        <w:rPr>
          <w:i/>
        </w:rPr>
        <w:t>w</w:t>
      </w:r>
      <w:r w:rsidRPr="006C320C">
        <w:rPr>
          <w:i/>
          <w:vertAlign w:val="subscript"/>
        </w:rPr>
        <w:t>i</w:t>
      </w:r>
      <w:proofErr w:type="spellEnd"/>
      <w:r w:rsidRPr="006C320C">
        <w:rPr>
          <w:i/>
        </w:rPr>
        <w:t xml:space="preserve"> </w:t>
      </w:r>
      <w:r w:rsidRPr="006C320C">
        <w:t xml:space="preserve">is the weight of </w:t>
      </w:r>
      <w:r>
        <w:t>objective</w:t>
      </w:r>
      <w:r w:rsidRPr="006C320C">
        <w:t xml:space="preserve"> </w:t>
      </w:r>
      <w:proofErr w:type="spellStart"/>
      <w:r w:rsidRPr="006C320C">
        <w:rPr>
          <w:i/>
        </w:rPr>
        <w:t>i</w:t>
      </w:r>
      <w:proofErr w:type="spellEnd"/>
      <w:r w:rsidRPr="006C320C">
        <w:rPr>
          <w:i/>
        </w:rPr>
        <w:t xml:space="preserve"> </w:t>
      </w:r>
      <w:r w:rsidRPr="006C320C">
        <w:t xml:space="preserve">(von </w:t>
      </w:r>
      <w:proofErr w:type="spellStart"/>
      <w:r w:rsidRPr="006C320C">
        <w:t>Winterfeldt</w:t>
      </w:r>
      <w:proofErr w:type="spellEnd"/>
      <w:r w:rsidRPr="006C320C">
        <w:t xml:space="preserve"> &amp; Edwards, 1986). </w:t>
      </w:r>
      <w:r w:rsidRPr="006C320C">
        <w:rPr>
          <w:color w:val="000000"/>
        </w:rPr>
        <w:t xml:space="preserve">A common simplification is to normalise </w:t>
      </w:r>
      <w:proofErr w:type="gramStart"/>
      <w:r w:rsidRPr="006C320C">
        <w:rPr>
          <w:i/>
        </w:rPr>
        <w:t>v</w:t>
      </w:r>
      <w:r w:rsidRPr="006C320C">
        <w:rPr>
          <w:i/>
          <w:vertAlign w:val="subscript"/>
        </w:rPr>
        <w:t>i</w:t>
      </w:r>
      <w:r w:rsidRPr="006C320C">
        <w:t>(</w:t>
      </w:r>
      <w:proofErr w:type="spellStart"/>
      <w:proofErr w:type="gramEnd"/>
      <w:r w:rsidRPr="006C320C">
        <w:rPr>
          <w:i/>
        </w:rPr>
        <w:t>x</w:t>
      </w:r>
      <w:r w:rsidRPr="006C320C">
        <w:rPr>
          <w:i/>
          <w:vertAlign w:val="subscript"/>
        </w:rPr>
        <w:t>ij</w:t>
      </w:r>
      <w:proofErr w:type="spellEnd"/>
      <w:r w:rsidRPr="006C320C">
        <w:t xml:space="preserve">) </w:t>
      </w:r>
      <w:r w:rsidRPr="006C320C">
        <w:rPr>
          <w:color w:val="000000"/>
        </w:rPr>
        <w:t xml:space="preserve">using linear value functions, with the poorest performance on any single objective </w:t>
      </w:r>
      <w:proofErr w:type="spellStart"/>
      <w:r w:rsidRPr="006C320C">
        <w:rPr>
          <w:i/>
          <w:color w:val="000000"/>
        </w:rPr>
        <w:t>i</w:t>
      </w:r>
      <w:proofErr w:type="spellEnd"/>
      <w:r w:rsidRPr="006C320C">
        <w:rPr>
          <w:color w:val="000000"/>
        </w:rPr>
        <w:t xml:space="preserve"> assigned a value of 0 and the best performance assigned a value of 1 across all </w:t>
      </w:r>
      <w:r w:rsidRPr="006C320C">
        <w:rPr>
          <w:i/>
          <w:color w:val="000000"/>
        </w:rPr>
        <w:t>j</w:t>
      </w:r>
      <w:r w:rsidRPr="006C320C">
        <w:rPr>
          <w:color w:val="000000"/>
        </w:rPr>
        <w:t xml:space="preserve"> alternatives. The assumption of linearity avoids the tedious demands of formal elicitation and is reasonable over the local range of consequences associated with most problems (</w:t>
      </w:r>
      <w:proofErr w:type="spellStart"/>
      <w:r w:rsidRPr="006C320C">
        <w:rPr>
          <w:color w:val="000000"/>
        </w:rPr>
        <w:t>Durbach</w:t>
      </w:r>
      <w:proofErr w:type="spellEnd"/>
      <w:r w:rsidRPr="006C320C">
        <w:rPr>
          <w:color w:val="000000"/>
        </w:rPr>
        <w:t xml:space="preserve"> and Stewart 2009).</w:t>
      </w:r>
    </w:p>
    <w:p w:rsidR="006C320C" w:rsidRPr="006C320C" w:rsidRDefault="006C320C" w:rsidP="006C320C">
      <w:pPr>
        <w:rPr>
          <w:rFonts w:eastAsia="Times New Roman"/>
          <w:sz w:val="24"/>
          <w:szCs w:val="24"/>
        </w:rPr>
      </w:pPr>
      <w:r w:rsidRPr="006C320C">
        <w:rPr>
          <w:sz w:val="24"/>
          <w:szCs w:val="24"/>
        </w:rPr>
        <w:t>We modified this measure to address multi-objective cost-efficiency, such that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7"/>
        <w:gridCol w:w="4761"/>
      </w:tblGrid>
      <w:tr w:rsidR="006C320C" w:rsidRPr="006C320C" w:rsidTr="00CB315A">
        <w:tc>
          <w:tcPr>
            <w:tcW w:w="4799" w:type="dxa"/>
          </w:tcPr>
          <w:p w:rsidR="006C320C" w:rsidRPr="006C320C" w:rsidRDefault="00FB3343" w:rsidP="00CB315A">
            <w:pPr>
              <w:tabs>
                <w:tab w:val="left" w:pos="567"/>
                <w:tab w:val="left" w:pos="8080"/>
              </w:tabs>
              <w:ind w:left="567"/>
              <w:rPr>
                <w:rFonts w:eastAsia="Times New Roman"/>
                <w:color w:val="000000"/>
                <w:lang w:val="en-AU"/>
              </w:rPr>
            </w:pPr>
            <m:oMathPara>
              <m:oMathParaPr>
                <m:jc m:val="left"/>
              </m:oMathParaPr>
              <m:oMath>
                <m:sSub>
                  <m:sSubPr>
                    <m:ctrlPr>
                      <w:rPr>
                        <w:rFonts w:ascii="Cambria Math" w:hAnsi="Cambria Math"/>
                        <w:i/>
                        <w:color w:val="000000"/>
                        <w:lang w:val="en-AU"/>
                      </w:rPr>
                    </m:ctrlPr>
                  </m:sSubPr>
                  <m:e>
                    <m:r>
                      <w:rPr>
                        <w:rFonts w:ascii="Cambria Math" w:hAnsi="Cambria Math"/>
                        <w:color w:val="000000"/>
                        <w:lang w:val="en-AU"/>
                      </w:rPr>
                      <m:t>R</m:t>
                    </m:r>
                  </m:e>
                  <m:sub>
                    <m:r>
                      <w:rPr>
                        <w:rFonts w:ascii="Cambria Math" w:hAnsi="Cambria Math"/>
                        <w:color w:val="000000"/>
                        <w:lang w:val="en-AU"/>
                      </w:rPr>
                      <m:t>j0</m:t>
                    </m:r>
                  </m:sub>
                </m:sSub>
                <m:r>
                  <w:rPr>
                    <w:rFonts w:ascii="Cambria Math" w:hAnsi="Cambria Math"/>
                    <w:color w:val="000000"/>
                    <w:lang w:val="en-AU"/>
                  </w:rPr>
                  <m:t>=</m:t>
                </m:r>
                <m:f>
                  <m:fPr>
                    <m:ctrlPr>
                      <w:rPr>
                        <w:rFonts w:ascii="Cambria Math" w:hAnsi="Cambria Math"/>
                        <w:i/>
                        <w:color w:val="000000"/>
                        <w:lang w:val="en-AU"/>
                      </w:rPr>
                    </m:ctrlPr>
                  </m:fPr>
                  <m:num>
                    <m:sSub>
                      <m:sSubPr>
                        <m:ctrlPr>
                          <w:rPr>
                            <w:rFonts w:ascii="Cambria Math" w:hAnsi="Cambria Math"/>
                            <w:i/>
                            <w:color w:val="000000"/>
                            <w:lang w:val="en-AU"/>
                          </w:rPr>
                        </m:ctrlPr>
                      </m:sSubPr>
                      <m:e>
                        <m:r>
                          <w:rPr>
                            <w:rFonts w:ascii="Cambria Math" w:hAnsi="Cambria Math"/>
                            <w:color w:val="000000"/>
                            <w:lang w:val="en-AU"/>
                          </w:rPr>
                          <m:t>V</m:t>
                        </m:r>
                      </m:e>
                      <m:sub>
                        <m:r>
                          <w:rPr>
                            <w:rFonts w:ascii="Cambria Math" w:hAnsi="Cambria Math"/>
                            <w:color w:val="000000"/>
                            <w:lang w:val="en-AU"/>
                          </w:rPr>
                          <m:t>j</m:t>
                        </m:r>
                      </m:sub>
                    </m:sSub>
                    <m:r>
                      <w:rPr>
                        <w:rFonts w:ascii="Cambria Math" w:hAnsi="Cambria Math"/>
                        <w:color w:val="000000"/>
                        <w:lang w:val="en-AU"/>
                      </w:rPr>
                      <m:t>-</m:t>
                    </m:r>
                    <m:sSub>
                      <m:sSubPr>
                        <m:ctrlPr>
                          <w:rPr>
                            <w:rFonts w:ascii="Cambria Math" w:hAnsi="Cambria Math"/>
                            <w:i/>
                            <w:color w:val="000000"/>
                            <w:lang w:val="en-AU"/>
                          </w:rPr>
                        </m:ctrlPr>
                      </m:sSubPr>
                      <m:e>
                        <m:r>
                          <w:rPr>
                            <w:rFonts w:ascii="Cambria Math" w:hAnsi="Cambria Math"/>
                            <w:color w:val="000000"/>
                            <w:lang w:val="en-AU"/>
                          </w:rPr>
                          <m:t>V</m:t>
                        </m:r>
                      </m:e>
                      <m:sub>
                        <m:r>
                          <w:rPr>
                            <w:rFonts w:ascii="Cambria Math" w:hAnsi="Cambria Math"/>
                            <w:color w:val="000000"/>
                            <w:lang w:val="en-AU"/>
                          </w:rPr>
                          <m:t>0</m:t>
                        </m:r>
                      </m:sub>
                    </m:sSub>
                  </m:num>
                  <m:den>
                    <m:sSub>
                      <m:sSubPr>
                        <m:ctrlPr>
                          <w:rPr>
                            <w:rFonts w:ascii="Cambria Math" w:hAnsi="Cambria Math"/>
                            <w:i/>
                            <w:color w:val="000000"/>
                            <w:lang w:val="en-AU"/>
                          </w:rPr>
                        </m:ctrlPr>
                      </m:sSubPr>
                      <m:e>
                        <m:r>
                          <w:rPr>
                            <w:rFonts w:ascii="Cambria Math" w:hAnsi="Cambria Math"/>
                            <w:color w:val="000000"/>
                            <w:lang w:val="en-AU"/>
                          </w:rPr>
                          <m:t>C</m:t>
                        </m:r>
                      </m:e>
                      <m:sub>
                        <m:r>
                          <w:rPr>
                            <w:rFonts w:ascii="Cambria Math" w:hAnsi="Cambria Math"/>
                            <w:color w:val="000000"/>
                            <w:lang w:val="en-AU"/>
                          </w:rPr>
                          <m:t>j</m:t>
                        </m:r>
                      </m:sub>
                    </m:sSub>
                    <m:r>
                      <w:rPr>
                        <w:rFonts w:ascii="Cambria Math" w:hAnsi="Cambria Math"/>
                        <w:color w:val="000000"/>
                        <w:lang w:val="en-AU"/>
                      </w:rPr>
                      <m:t>-</m:t>
                    </m:r>
                    <m:sSub>
                      <m:sSubPr>
                        <m:ctrlPr>
                          <w:rPr>
                            <w:rFonts w:ascii="Cambria Math" w:hAnsi="Cambria Math"/>
                            <w:i/>
                            <w:color w:val="000000"/>
                            <w:lang w:val="en-AU"/>
                          </w:rPr>
                        </m:ctrlPr>
                      </m:sSubPr>
                      <m:e>
                        <m:r>
                          <w:rPr>
                            <w:rFonts w:ascii="Cambria Math" w:hAnsi="Cambria Math"/>
                            <w:color w:val="000000"/>
                            <w:lang w:val="en-AU"/>
                          </w:rPr>
                          <m:t>C</m:t>
                        </m:r>
                      </m:e>
                      <m:sub>
                        <m:r>
                          <w:rPr>
                            <w:rFonts w:ascii="Cambria Math" w:hAnsi="Cambria Math"/>
                            <w:color w:val="000000"/>
                            <w:lang w:val="en-AU"/>
                          </w:rPr>
                          <m:t>0</m:t>
                        </m:r>
                      </m:sub>
                    </m:sSub>
                  </m:den>
                </m:f>
              </m:oMath>
            </m:oMathPara>
          </w:p>
          <w:p w:rsidR="006C320C" w:rsidRPr="006C320C" w:rsidRDefault="006C320C" w:rsidP="00CB315A">
            <w:pPr>
              <w:tabs>
                <w:tab w:val="left" w:pos="567"/>
                <w:tab w:val="left" w:pos="8080"/>
              </w:tabs>
              <w:ind w:left="567"/>
              <w:rPr>
                <w:rFonts w:eastAsia="Times New Roman"/>
                <w:color w:val="000000"/>
                <w:lang w:val="en-AU"/>
              </w:rPr>
            </w:pPr>
          </w:p>
        </w:tc>
        <w:tc>
          <w:tcPr>
            <w:tcW w:w="4799" w:type="dxa"/>
          </w:tcPr>
          <w:p w:rsidR="006C320C" w:rsidRPr="006C320C" w:rsidRDefault="006C320C" w:rsidP="00CB315A">
            <w:pPr>
              <w:tabs>
                <w:tab w:val="left" w:pos="3856"/>
              </w:tabs>
              <w:ind w:left="3565"/>
              <w:rPr>
                <w:color w:val="000000"/>
                <w:lang w:val="en-AU"/>
              </w:rPr>
            </w:pPr>
          </w:p>
          <w:p w:rsidR="006C320C" w:rsidRPr="006C320C" w:rsidRDefault="006C320C" w:rsidP="00CB315A">
            <w:pPr>
              <w:tabs>
                <w:tab w:val="left" w:pos="3856"/>
              </w:tabs>
              <w:ind w:left="3565"/>
              <w:rPr>
                <w:color w:val="000000"/>
                <w:lang w:val="en-AU"/>
              </w:rPr>
            </w:pPr>
            <w:r w:rsidRPr="006C320C">
              <w:rPr>
                <w:color w:val="000000"/>
                <w:lang w:val="en-AU"/>
              </w:rPr>
              <w:t>(3)</w:t>
            </w:r>
          </w:p>
        </w:tc>
      </w:tr>
    </w:tbl>
    <w:p w:rsidR="006C320C" w:rsidRPr="006C320C" w:rsidRDefault="006C320C" w:rsidP="008556CE">
      <w:pPr>
        <w:rPr>
          <w:color w:val="000000"/>
        </w:rPr>
      </w:pPr>
      <w:proofErr w:type="gramStart"/>
      <w:r w:rsidRPr="006C320C">
        <w:rPr>
          <w:sz w:val="24"/>
          <w:szCs w:val="24"/>
        </w:rPr>
        <w:t>where</w:t>
      </w:r>
      <w:proofErr w:type="gramEnd"/>
      <w:r w:rsidRPr="006C320C">
        <w:rPr>
          <w:sz w:val="24"/>
          <w:szCs w:val="24"/>
        </w:rPr>
        <w:t xml:space="preserve"> </w:t>
      </w:r>
      <w:proofErr w:type="spellStart"/>
      <w:r w:rsidRPr="006C320C">
        <w:rPr>
          <w:i/>
          <w:sz w:val="24"/>
          <w:szCs w:val="24"/>
        </w:rPr>
        <w:t>R</w:t>
      </w:r>
      <w:r w:rsidRPr="006C320C">
        <w:rPr>
          <w:i/>
          <w:sz w:val="24"/>
          <w:szCs w:val="24"/>
          <w:vertAlign w:val="subscript"/>
        </w:rPr>
        <w:t>jo</w:t>
      </w:r>
      <w:proofErr w:type="spellEnd"/>
      <w:r w:rsidRPr="006C320C">
        <w:rPr>
          <w:i/>
          <w:sz w:val="24"/>
          <w:szCs w:val="24"/>
        </w:rPr>
        <w:t xml:space="preserve"> </w:t>
      </w:r>
      <w:r w:rsidRPr="006C320C">
        <w:rPr>
          <w:sz w:val="24"/>
          <w:szCs w:val="24"/>
        </w:rPr>
        <w:t xml:space="preserve">is the cost-effectiveness of alternative </w:t>
      </w:r>
      <w:r w:rsidRPr="006C320C">
        <w:rPr>
          <w:i/>
          <w:sz w:val="24"/>
          <w:szCs w:val="24"/>
        </w:rPr>
        <w:t>j</w:t>
      </w:r>
      <w:r w:rsidRPr="006C320C">
        <w:rPr>
          <w:sz w:val="24"/>
          <w:szCs w:val="24"/>
        </w:rPr>
        <w:t xml:space="preserve"> relative to the ‘do nothing’ alternative (</w:t>
      </w:r>
      <w:r w:rsidRPr="006C320C">
        <w:rPr>
          <w:i/>
          <w:sz w:val="24"/>
          <w:szCs w:val="24"/>
        </w:rPr>
        <w:t>0</w:t>
      </w:r>
      <w:r w:rsidRPr="006C320C">
        <w:rPr>
          <w:sz w:val="24"/>
          <w:szCs w:val="24"/>
        </w:rPr>
        <w:t xml:space="preserve">), </w:t>
      </w:r>
      <w:proofErr w:type="spellStart"/>
      <w:r w:rsidRPr="006C320C">
        <w:rPr>
          <w:i/>
          <w:sz w:val="24"/>
          <w:szCs w:val="24"/>
        </w:rPr>
        <w:t>V</w:t>
      </w:r>
      <w:r w:rsidRPr="006C320C">
        <w:rPr>
          <w:i/>
          <w:sz w:val="24"/>
          <w:szCs w:val="24"/>
          <w:vertAlign w:val="subscript"/>
        </w:rPr>
        <w:t>j</w:t>
      </w:r>
      <w:proofErr w:type="spellEnd"/>
      <w:r w:rsidRPr="006C320C">
        <w:rPr>
          <w:sz w:val="24"/>
          <w:szCs w:val="24"/>
        </w:rPr>
        <w:t xml:space="preserve"> is the </w:t>
      </w:r>
      <w:r w:rsidRPr="006C320C">
        <w:rPr>
          <w:color w:val="000000"/>
        </w:rPr>
        <w:t>multi-objective value</w:t>
      </w:r>
      <w:r w:rsidRPr="006C320C">
        <w:rPr>
          <w:sz w:val="24"/>
          <w:szCs w:val="24"/>
        </w:rPr>
        <w:t xml:space="preserve"> of alternative </w:t>
      </w:r>
      <w:r w:rsidRPr="006C320C">
        <w:rPr>
          <w:i/>
          <w:sz w:val="24"/>
          <w:szCs w:val="24"/>
        </w:rPr>
        <w:t>j</w:t>
      </w:r>
      <w:r w:rsidRPr="006C320C">
        <w:rPr>
          <w:sz w:val="24"/>
          <w:szCs w:val="24"/>
        </w:rPr>
        <w:t xml:space="preserve">, and </w:t>
      </w:r>
      <w:r w:rsidRPr="006C320C">
        <w:rPr>
          <w:i/>
          <w:sz w:val="24"/>
          <w:szCs w:val="24"/>
        </w:rPr>
        <w:t>V</w:t>
      </w:r>
      <w:r w:rsidRPr="006C320C">
        <w:rPr>
          <w:i/>
          <w:sz w:val="24"/>
          <w:szCs w:val="24"/>
          <w:vertAlign w:val="subscript"/>
        </w:rPr>
        <w:t>0</w:t>
      </w:r>
      <w:r w:rsidRPr="006C320C">
        <w:rPr>
          <w:sz w:val="24"/>
          <w:szCs w:val="24"/>
        </w:rPr>
        <w:t xml:space="preserve"> is the </w:t>
      </w:r>
      <w:r w:rsidRPr="006C320C">
        <w:rPr>
          <w:color w:val="000000"/>
        </w:rPr>
        <w:t>multi-objective value</w:t>
      </w:r>
      <w:r w:rsidRPr="006C320C">
        <w:rPr>
          <w:sz w:val="24"/>
          <w:szCs w:val="24"/>
        </w:rPr>
        <w:t xml:space="preserve"> for the ‘do nothing’ alternative.</w:t>
      </w:r>
    </w:p>
    <w:p w:rsidR="00D025BE" w:rsidRPr="00D025BE" w:rsidRDefault="006C320C" w:rsidP="008556CE">
      <w:r>
        <w:rPr>
          <w:color w:val="000000"/>
        </w:rPr>
        <w:t>The multi-ob</w:t>
      </w:r>
      <w:r w:rsidR="004C6B6E">
        <w:rPr>
          <w:color w:val="000000"/>
        </w:rPr>
        <w:t>jective cost-efficiencies shown</w:t>
      </w:r>
      <w:r>
        <w:rPr>
          <w:color w:val="000000"/>
        </w:rPr>
        <w:t xml:space="preserve"> in Figure </w:t>
      </w:r>
      <w:r w:rsidR="007C31DB">
        <w:rPr>
          <w:color w:val="000000"/>
        </w:rPr>
        <w:t>24</w:t>
      </w:r>
      <w:r>
        <w:rPr>
          <w:color w:val="000000"/>
        </w:rPr>
        <w:t xml:space="preserve"> report a greater return pe</w:t>
      </w:r>
      <w:r w:rsidR="00D608DC">
        <w:rPr>
          <w:color w:val="000000"/>
        </w:rPr>
        <w:t>r unit investment in additional</w:t>
      </w:r>
      <w:r>
        <w:rPr>
          <w:color w:val="000000"/>
        </w:rPr>
        <w:t xml:space="preserve"> </w:t>
      </w:r>
      <w:r w:rsidR="004C6B6E">
        <w:rPr>
          <w:color w:val="000000"/>
        </w:rPr>
        <w:t>funding for agricultu</w:t>
      </w:r>
      <w:r>
        <w:rPr>
          <w:color w:val="000000"/>
        </w:rPr>
        <w:t>ral best managem</w:t>
      </w:r>
      <w:r w:rsidR="006B5028">
        <w:rPr>
          <w:color w:val="000000"/>
        </w:rPr>
        <w:t>e</w:t>
      </w:r>
      <w:r>
        <w:rPr>
          <w:color w:val="000000"/>
        </w:rPr>
        <w:t>nt practice than for the status quo.</w:t>
      </w:r>
      <w:r w:rsidR="004C6B6E">
        <w:rPr>
          <w:color w:val="000000"/>
        </w:rPr>
        <w:t xml:space="preserve">  Additional investment in BMPs for port</w:t>
      </w:r>
      <w:r w:rsidR="006B5028">
        <w:rPr>
          <w:color w:val="000000"/>
        </w:rPr>
        <w:t>s</w:t>
      </w:r>
      <w:r w:rsidR="004C6B6E">
        <w:rPr>
          <w:color w:val="000000"/>
        </w:rPr>
        <w:t xml:space="preserve"> is no more </w:t>
      </w:r>
      <w:r w:rsidR="00AC3FFC">
        <w:rPr>
          <w:color w:val="000000"/>
        </w:rPr>
        <w:t>efficient</w:t>
      </w:r>
      <w:r w:rsidR="004C6B6E">
        <w:rPr>
          <w:color w:val="000000"/>
        </w:rPr>
        <w:t xml:space="preserve"> than the status quo, and inve</w:t>
      </w:r>
      <w:r w:rsidR="006B5028">
        <w:rPr>
          <w:color w:val="000000"/>
        </w:rPr>
        <w:t>stment in both is relatively in</w:t>
      </w:r>
      <w:r w:rsidR="004C6B6E">
        <w:rPr>
          <w:color w:val="000000"/>
        </w:rPr>
        <w:t>efficient.  On the basis of these (hypothetical) outcomes there is a sound argument for additional funding for agricultural best practice. Of course, the funding required to implement this alternative needs to be found (an additional $3 million on top of the $5 million allocat</w:t>
      </w:r>
      <w:r w:rsidR="00180AF3">
        <w:rPr>
          <w:color w:val="000000"/>
        </w:rPr>
        <w:t>ed under the status quo; Table 6</w:t>
      </w:r>
      <w:r w:rsidR="004C6B6E">
        <w:rPr>
          <w:color w:val="000000"/>
        </w:rPr>
        <w:t>).</w:t>
      </w:r>
      <w:r w:rsidR="00D025BE">
        <w:rPr>
          <w:color w:val="000000"/>
        </w:rPr>
        <w:t xml:space="preserve"> </w:t>
      </w:r>
    </w:p>
    <w:p w:rsidR="00D832BA" w:rsidRDefault="00D832BA" w:rsidP="008556CE">
      <w:r w:rsidRPr="00396FFB">
        <w:rPr>
          <w:noProof/>
          <w:lang w:eastAsia="en-AU"/>
        </w:rPr>
        <w:lastRenderedPageBreak/>
        <w:drawing>
          <wp:inline distT="0" distB="0" distL="0" distR="0">
            <wp:extent cx="4287600" cy="2055600"/>
            <wp:effectExtent l="0" t="0" r="0" b="1905"/>
            <wp:docPr id="21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8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7600" cy="2055600"/>
                    </a:xfrm>
                    <a:prstGeom prst="rect">
                      <a:avLst/>
                    </a:prstGeom>
                    <a:noFill/>
                    <a:ln>
                      <a:noFill/>
                    </a:ln>
                    <a:effectLst/>
                    <a:extLst/>
                  </pic:spPr>
                </pic:pic>
              </a:graphicData>
            </a:graphic>
          </wp:inline>
        </w:drawing>
      </w:r>
    </w:p>
    <w:p w:rsidR="00E36154" w:rsidRPr="00D832BA" w:rsidRDefault="00D832BA" w:rsidP="00BD110C">
      <w:pPr>
        <w:rPr>
          <w:sz w:val="20"/>
          <w:szCs w:val="20"/>
        </w:rPr>
      </w:pPr>
      <w:proofErr w:type="gramStart"/>
      <w:r w:rsidRPr="00D832BA">
        <w:rPr>
          <w:b/>
          <w:sz w:val="20"/>
          <w:szCs w:val="20"/>
        </w:rPr>
        <w:t xml:space="preserve">Figure </w:t>
      </w:r>
      <w:r w:rsidR="00F548F8">
        <w:rPr>
          <w:b/>
          <w:sz w:val="20"/>
          <w:szCs w:val="20"/>
        </w:rPr>
        <w:t>24</w:t>
      </w:r>
      <w:r w:rsidRPr="00D832BA">
        <w:rPr>
          <w:b/>
          <w:sz w:val="20"/>
          <w:szCs w:val="20"/>
        </w:rPr>
        <w:t>.</w:t>
      </w:r>
      <w:proofErr w:type="gramEnd"/>
      <w:r w:rsidR="006C320C">
        <w:rPr>
          <w:sz w:val="20"/>
          <w:szCs w:val="20"/>
        </w:rPr>
        <w:t xml:space="preserve"> Multi-objective cost efficienc</w:t>
      </w:r>
      <w:r w:rsidRPr="00D832BA">
        <w:rPr>
          <w:sz w:val="20"/>
          <w:szCs w:val="20"/>
        </w:rPr>
        <w:t>y of four hypothetical alternatives for management intervention.</w:t>
      </w:r>
    </w:p>
    <w:p w:rsidR="004C6B6E" w:rsidRDefault="004C6B6E" w:rsidP="004C6B6E">
      <w:r>
        <w:t xml:space="preserve">Is there an argument to change monitoring effort alongside the argument for change to management intervention? In order to assess the merit of </w:t>
      </w:r>
      <w:r w:rsidR="006B5028">
        <w:t>doubling or tripling samp</w:t>
      </w:r>
      <w:r>
        <w:t xml:space="preserve">ling effort, we need to </w:t>
      </w:r>
      <w:r w:rsidR="009C0B43">
        <w:t xml:space="preserve">assess the value of </w:t>
      </w:r>
      <w:r w:rsidR="00473B42">
        <w:t>additional</w:t>
      </w:r>
      <w:r w:rsidR="009C0B43">
        <w:t xml:space="preserve"> </w:t>
      </w:r>
      <w:r w:rsidR="009C0B43" w:rsidRPr="00017C68">
        <w:t xml:space="preserve">information (von </w:t>
      </w:r>
      <w:proofErr w:type="spellStart"/>
      <w:r w:rsidR="009C0B43" w:rsidRPr="00017C68">
        <w:t>Winterfeldt</w:t>
      </w:r>
      <w:proofErr w:type="spellEnd"/>
      <w:r w:rsidR="009C0B43" w:rsidRPr="00017C68">
        <w:t xml:space="preserve"> et al</w:t>
      </w:r>
      <w:r w:rsidR="00017C68" w:rsidRPr="00017C68">
        <w:t xml:space="preserve"> 2012, Maxwell et al. 2014)</w:t>
      </w:r>
      <w:r w:rsidR="009C0B43" w:rsidRPr="00017C68">
        <w:t>.</w:t>
      </w:r>
      <w:r w:rsidR="009C0B43">
        <w:t xml:space="preserve">  Steps in this assessment include </w:t>
      </w:r>
      <w:r>
        <w:t xml:space="preserve">power analyses for each alternative (section 3.1), </w:t>
      </w:r>
      <w:r w:rsidR="009C0B43">
        <w:t>estimation of the rate of false success, true success</w:t>
      </w:r>
      <w:proofErr w:type="gramStart"/>
      <w:r w:rsidR="009C0B43">
        <w:t>,  false</w:t>
      </w:r>
      <w:proofErr w:type="gramEnd"/>
      <w:r w:rsidR="009C0B43">
        <w:t xml:space="preserve"> failure and true failure</w:t>
      </w:r>
      <w:r>
        <w:t xml:space="preserve"> (section 4.2), and </w:t>
      </w:r>
      <w:r w:rsidR="009C0B43">
        <w:t>weighting</w:t>
      </w:r>
      <w:r>
        <w:t xml:space="preserve"> the</w:t>
      </w:r>
      <w:r w:rsidR="009C0B43">
        <w:t>ir</w:t>
      </w:r>
      <w:r>
        <w:t xml:space="preserve"> consequences alongside the value judgments articulated</w:t>
      </w:r>
      <w:r w:rsidR="009C0B43">
        <w:t xml:space="preserve"> for targets.</w:t>
      </w:r>
    </w:p>
    <w:p w:rsidR="004C6B6E" w:rsidRDefault="004C6B6E" w:rsidP="004C6B6E">
      <w:r>
        <w:t>The multi-objective cost efficiency of</w:t>
      </w:r>
      <w:r w:rsidR="006B5028">
        <w:t xml:space="preserve"> alternative management interventions and alternative sampling intensities can now be considered collectively. In Figure </w:t>
      </w:r>
      <w:r w:rsidR="007C31DB">
        <w:t>25</w:t>
      </w:r>
      <w:r w:rsidR="006B5028">
        <w:t xml:space="preserve">, the current sampling effort is the most cost-efficient of the three alternatives considered.  So while a </w:t>
      </w:r>
      <w:r w:rsidR="00AC3FFC">
        <w:t>substantial argument</w:t>
      </w:r>
      <w:r w:rsidR="006B5028">
        <w:t xml:space="preserve"> for a change in on-ground management (more funding for agriculture BMP) is </w:t>
      </w:r>
      <w:r w:rsidR="00AC3FFC">
        <w:t>evident</w:t>
      </w:r>
      <w:r w:rsidR="006B5028">
        <w:t xml:space="preserve">, no such </w:t>
      </w:r>
      <w:r w:rsidR="00AC3FFC">
        <w:t>argument</w:t>
      </w:r>
      <w:r w:rsidR="006B5028">
        <w:t xml:space="preserve"> exists for a change in monitoring effort, at </w:t>
      </w:r>
      <w:r w:rsidR="00AC3FFC">
        <w:t>least</w:t>
      </w:r>
      <w:r w:rsidR="006B5028">
        <w:t xml:space="preserve"> for the handful of </w:t>
      </w:r>
      <w:r w:rsidR="00AC3FFC">
        <w:t>alternatives</w:t>
      </w:r>
      <w:r w:rsidR="006B5028">
        <w:t xml:space="preserve"> explored.  </w:t>
      </w:r>
      <w:r w:rsidR="009C0B43">
        <w:t xml:space="preserve">Whilst we illustrate a simple example where current monitoring effort is compared to doubling or tripling of effort, more monitoring alternatives could also be explored in the future. These could include elements of spatial intensity, temporal intensity, and the effectiveness of monitoring different indicators or using different methods </w:t>
      </w:r>
      <w:r w:rsidR="00473B42">
        <w:t>and techniques</w:t>
      </w:r>
      <w:r w:rsidR="009C0B43">
        <w:t>.</w:t>
      </w:r>
    </w:p>
    <w:p w:rsidR="004C6B6E" w:rsidRDefault="004C6B6E" w:rsidP="004C6B6E"/>
    <w:p w:rsidR="004C6B6E" w:rsidRDefault="004C6B6E" w:rsidP="004C6B6E">
      <w:r>
        <w:rPr>
          <w:noProof/>
          <w:lang w:eastAsia="en-AU"/>
        </w:rPr>
        <w:drawing>
          <wp:inline distT="0" distB="0" distL="0" distR="0">
            <wp:extent cx="4827600" cy="2314800"/>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7600" cy="2314800"/>
                    </a:xfrm>
                    <a:prstGeom prst="rect">
                      <a:avLst/>
                    </a:prstGeom>
                    <a:noFill/>
                  </pic:spPr>
                </pic:pic>
              </a:graphicData>
            </a:graphic>
          </wp:inline>
        </w:drawing>
      </w:r>
    </w:p>
    <w:p w:rsidR="00335F2C" w:rsidRDefault="006B5028">
      <w:pPr>
        <w:rPr>
          <w:sz w:val="20"/>
          <w:szCs w:val="20"/>
        </w:rPr>
      </w:pPr>
      <w:proofErr w:type="gramStart"/>
      <w:r w:rsidRPr="00D832BA">
        <w:rPr>
          <w:b/>
          <w:sz w:val="20"/>
          <w:szCs w:val="20"/>
        </w:rPr>
        <w:t xml:space="preserve">Figure </w:t>
      </w:r>
      <w:r w:rsidR="00F548F8">
        <w:rPr>
          <w:b/>
          <w:sz w:val="20"/>
          <w:szCs w:val="20"/>
        </w:rPr>
        <w:t>25</w:t>
      </w:r>
      <w:r w:rsidRPr="00D832BA">
        <w:rPr>
          <w:b/>
          <w:sz w:val="20"/>
          <w:szCs w:val="20"/>
        </w:rPr>
        <w:t>.</w:t>
      </w:r>
      <w:proofErr w:type="gramEnd"/>
      <w:r>
        <w:rPr>
          <w:sz w:val="20"/>
          <w:szCs w:val="20"/>
        </w:rPr>
        <w:t xml:space="preserve"> Multi-objective cost efficienc</w:t>
      </w:r>
      <w:r w:rsidRPr="00D832BA">
        <w:rPr>
          <w:sz w:val="20"/>
          <w:szCs w:val="20"/>
        </w:rPr>
        <w:t xml:space="preserve">y of four hypothetical alternatives for management </w:t>
      </w:r>
      <w:r>
        <w:rPr>
          <w:sz w:val="20"/>
          <w:szCs w:val="20"/>
        </w:rPr>
        <w:t>intervention and three hypothetical alternatives for monitoring effort.</w:t>
      </w:r>
      <w:r w:rsidR="00335F2C">
        <w:rPr>
          <w:sz w:val="20"/>
          <w:szCs w:val="20"/>
        </w:rPr>
        <w:br w:type="page"/>
      </w:r>
    </w:p>
    <w:p w:rsidR="000F06C8" w:rsidRPr="007D4AA7" w:rsidRDefault="000F06C8" w:rsidP="004847BD">
      <w:pPr>
        <w:pStyle w:val="Heading1"/>
        <w:spacing w:after="240"/>
      </w:pPr>
      <w:bookmarkStart w:id="23" w:name="_Toc406768050"/>
      <w:proofErr w:type="gramStart"/>
      <w:r w:rsidRPr="00835084">
        <w:lastRenderedPageBreak/>
        <w:t>5.0  Integrati</w:t>
      </w:r>
      <w:r w:rsidR="008C3875" w:rsidRPr="00835084">
        <w:t>ng</w:t>
      </w:r>
      <w:proofErr w:type="gramEnd"/>
      <w:r w:rsidR="008C3875" w:rsidRPr="00835084">
        <w:t xml:space="preserve"> social and economic ele</w:t>
      </w:r>
      <w:r w:rsidRPr="00835084">
        <w:t>ments</w:t>
      </w:r>
      <w:bookmarkEnd w:id="23"/>
    </w:p>
    <w:p w:rsidR="00D33666" w:rsidRPr="00D33666" w:rsidRDefault="00CB315A" w:rsidP="00D83687">
      <w:pPr>
        <w:rPr>
          <w:bCs/>
          <w:iCs/>
        </w:rPr>
      </w:pPr>
      <w:r>
        <w:t xml:space="preserve">A core element of integrated </w:t>
      </w:r>
      <w:r w:rsidR="00AC3FFC">
        <w:t>monitoring</w:t>
      </w:r>
      <w:r>
        <w:t xml:space="preserve"> envisaged for the LTSP2050 is monitoring of social and economic considerations alongside the traditional environmental concerns of reef managers. </w:t>
      </w:r>
      <w:r w:rsidR="00D33666">
        <w:t xml:space="preserve">  Target #1 under the community benefits theme of LTSP2050 </w:t>
      </w:r>
      <w:r w:rsidR="006E03E6">
        <w:t>calls for</w:t>
      </w:r>
      <w:r w:rsidR="00D33666">
        <w:t xml:space="preserve"> </w:t>
      </w:r>
      <w:r w:rsidR="00D33666">
        <w:rPr>
          <w:bCs/>
          <w:i/>
          <w:iCs/>
        </w:rPr>
        <w:t>a</w:t>
      </w:r>
      <w:r w:rsidR="006E03E6">
        <w:rPr>
          <w:bCs/>
          <w:i/>
          <w:iCs/>
        </w:rPr>
        <w:t xml:space="preserve"> </w:t>
      </w:r>
      <w:r w:rsidR="00D33666" w:rsidRPr="00D33666">
        <w:rPr>
          <w:bCs/>
          <w:i/>
          <w:iCs/>
        </w:rPr>
        <w:t>long-term social and</w:t>
      </w:r>
      <w:r w:rsidR="006E03E6">
        <w:rPr>
          <w:bCs/>
          <w:i/>
          <w:iCs/>
        </w:rPr>
        <w:t xml:space="preserve"> economic monitoring program </w:t>
      </w:r>
      <w:r w:rsidR="00D33666" w:rsidRPr="00D33666">
        <w:rPr>
          <w:bCs/>
          <w:i/>
          <w:iCs/>
        </w:rPr>
        <w:t>guiding management decisions.</w:t>
      </w:r>
      <w:r w:rsidR="00D33666">
        <w:rPr>
          <w:bCs/>
          <w:iCs/>
        </w:rPr>
        <w:t xml:space="preserve"> Action 1 of the economic benefits theme is to </w:t>
      </w:r>
      <w:r w:rsidR="00D33666" w:rsidRPr="00D33666">
        <w:rPr>
          <w:bCs/>
          <w:i/>
          <w:iCs/>
        </w:rPr>
        <w:t>identify, test and use economic indicators as a component of the Integrat</w:t>
      </w:r>
      <w:r w:rsidR="00D33666">
        <w:rPr>
          <w:bCs/>
          <w:i/>
          <w:iCs/>
        </w:rPr>
        <w:t xml:space="preserve">ed Monitoring Reporting Program </w:t>
      </w:r>
      <w:r w:rsidR="00D33666" w:rsidRPr="00D33666">
        <w:rPr>
          <w:bCs/>
          <w:iCs/>
        </w:rPr>
        <w:t>(</w:t>
      </w:r>
      <w:r w:rsidR="00D33666" w:rsidRPr="00D33666">
        <w:t>Australian and Queensland governments, undated</w:t>
      </w:r>
      <w:r w:rsidR="00D33666">
        <w:t>).</w:t>
      </w:r>
    </w:p>
    <w:p w:rsidR="00D33666" w:rsidRDefault="006E03E6" w:rsidP="00D33666">
      <w:r w:rsidRPr="006E03E6">
        <w:t>Environmental planning involves conflicts between stakeholders with different socio</w:t>
      </w:r>
      <w:r>
        <w:t>-</w:t>
      </w:r>
      <w:r w:rsidRPr="006E03E6">
        <w:t xml:space="preserve">political, environmental, and economic </w:t>
      </w:r>
      <w:r w:rsidR="00886373">
        <w:t>priorities</w:t>
      </w:r>
      <w:r w:rsidRPr="006E03E6">
        <w:t xml:space="preserve">.  Public decisions made without public participation and social </w:t>
      </w:r>
      <w:proofErr w:type="gramStart"/>
      <w:r w:rsidRPr="006E03E6">
        <w:t>acceptance are</w:t>
      </w:r>
      <w:proofErr w:type="gramEnd"/>
      <w:r w:rsidRPr="006E03E6">
        <w:t xml:space="preserve"> fragile, reducing the viability</w:t>
      </w:r>
      <w:r>
        <w:t xml:space="preserve"> and longevity</w:t>
      </w:r>
      <w:r w:rsidRPr="006E03E6">
        <w:t xml:space="preserve"> of proposed solutions (Gregory</w:t>
      </w:r>
      <w:r>
        <w:t xml:space="preserve"> and Keeney, 1994</w:t>
      </w:r>
      <w:r w:rsidRPr="006E03E6">
        <w:t>). The capture of social impacts in environmental problems is one of the biggest challeng</w:t>
      </w:r>
      <w:r>
        <w:t xml:space="preserve">es for </w:t>
      </w:r>
      <w:r w:rsidR="00886373">
        <w:t>policy-makers</w:t>
      </w:r>
      <w:r>
        <w:t xml:space="preserve"> today (Failing et al.</w:t>
      </w:r>
      <w:r w:rsidRPr="006E03E6">
        <w:t xml:space="preserve"> 2007</w:t>
      </w:r>
      <w:r>
        <w:t>)</w:t>
      </w:r>
      <w:r w:rsidRPr="006E03E6">
        <w:t>.</w:t>
      </w:r>
      <w:r>
        <w:t xml:space="preserve"> </w:t>
      </w:r>
      <w:r w:rsidRPr="006E03E6">
        <w:t xml:space="preserve">Sound decisions require methodologies that evaluate multiple objectives, integrating economic, biophysical and social information </w:t>
      </w:r>
      <w:r w:rsidR="00BC61D7">
        <w:t xml:space="preserve">towards broadly acceptable solutions, rather than optimal solutions founded on the values and preferences of a small subset of interests </w:t>
      </w:r>
      <w:r w:rsidRPr="006E03E6">
        <w:t>(</w:t>
      </w:r>
      <w:r w:rsidR="00BC61D7">
        <w:t xml:space="preserve">Dietz </w:t>
      </w:r>
      <w:r w:rsidR="00BC61D7" w:rsidRPr="006E03E6">
        <w:t>1987</w:t>
      </w:r>
      <w:r w:rsidR="00BC61D7">
        <w:t xml:space="preserve">, </w:t>
      </w:r>
      <w:r>
        <w:t>Estevez et al. 2013</w:t>
      </w:r>
      <w:r w:rsidRPr="006E03E6">
        <w:t>).</w:t>
      </w:r>
    </w:p>
    <w:p w:rsidR="00CE2412" w:rsidRPr="00CE2412" w:rsidRDefault="00CE2412" w:rsidP="00CE2412">
      <w:pPr>
        <w:spacing w:after="0"/>
      </w:pPr>
      <w:r w:rsidRPr="00CE2412">
        <w:rPr>
          <w:bCs/>
        </w:rPr>
        <w:t>There are many motivations and many decisio</w:t>
      </w:r>
      <w:r w:rsidR="00886373">
        <w:rPr>
          <w:bCs/>
        </w:rPr>
        <w:t>n frames that compel consideration or</w:t>
      </w:r>
      <w:r w:rsidRPr="00CE2412">
        <w:rPr>
          <w:bCs/>
        </w:rPr>
        <w:t xml:space="preserve"> monitoring of social and economic elem</w:t>
      </w:r>
      <w:r w:rsidR="00886373">
        <w:rPr>
          <w:bCs/>
        </w:rPr>
        <w:t>e</w:t>
      </w:r>
      <w:r w:rsidR="00D608DC">
        <w:rPr>
          <w:bCs/>
        </w:rPr>
        <w:t xml:space="preserve">nts.  Among </w:t>
      </w:r>
      <w:r w:rsidR="00886373">
        <w:rPr>
          <w:bCs/>
        </w:rPr>
        <w:t>them are the motivations,</w:t>
      </w:r>
    </w:p>
    <w:p w:rsidR="00CE2412" w:rsidRPr="00616FCD" w:rsidRDefault="00886373" w:rsidP="00C0513B">
      <w:pPr>
        <w:pStyle w:val="ListParagraph"/>
        <w:numPr>
          <w:ilvl w:val="0"/>
          <w:numId w:val="26"/>
        </w:numPr>
        <w:spacing w:after="0"/>
      </w:pPr>
      <w:r>
        <w:t>t</w:t>
      </w:r>
      <w:r w:rsidR="00CE2412" w:rsidRPr="00616FCD">
        <w:t>o better characterise the risks to reef values posed by human pressures and behaviours</w:t>
      </w:r>
      <w:r>
        <w:t>,</w:t>
      </w:r>
    </w:p>
    <w:p w:rsidR="00CE2412" w:rsidRPr="00616FCD" w:rsidRDefault="00886373" w:rsidP="00C0513B">
      <w:pPr>
        <w:pStyle w:val="ListParagraph"/>
        <w:numPr>
          <w:ilvl w:val="0"/>
          <w:numId w:val="26"/>
        </w:numPr>
        <w:spacing w:after="0"/>
      </w:pPr>
      <w:r>
        <w:t>t</w:t>
      </w:r>
      <w:r w:rsidR="00CE2412" w:rsidRPr="00616FCD">
        <w:t>o understand community values and preferences</w:t>
      </w:r>
      <w:r>
        <w:t>,</w:t>
      </w:r>
    </w:p>
    <w:p w:rsidR="00CE2412" w:rsidRPr="00616FCD" w:rsidRDefault="00886373" w:rsidP="00C0513B">
      <w:pPr>
        <w:pStyle w:val="ListParagraph"/>
        <w:numPr>
          <w:ilvl w:val="0"/>
          <w:numId w:val="26"/>
        </w:numPr>
        <w:spacing w:after="0"/>
      </w:pPr>
      <w:r>
        <w:t>t</w:t>
      </w:r>
      <w:r w:rsidR="00CE2412" w:rsidRPr="00616FCD">
        <w:t>o inform communication strategies</w:t>
      </w:r>
      <w:r>
        <w:t>, and</w:t>
      </w:r>
    </w:p>
    <w:p w:rsidR="004847BD" w:rsidRDefault="00886373" w:rsidP="00886373">
      <w:pPr>
        <w:pStyle w:val="ListParagraph"/>
        <w:numPr>
          <w:ilvl w:val="0"/>
          <w:numId w:val="26"/>
        </w:numPr>
        <w:spacing w:after="0"/>
      </w:pPr>
      <w:proofErr w:type="gramStart"/>
      <w:r>
        <w:rPr>
          <w:iCs/>
        </w:rPr>
        <w:t>t</w:t>
      </w:r>
      <w:r w:rsidR="00CE2412" w:rsidRPr="00CE2412">
        <w:rPr>
          <w:iCs/>
        </w:rPr>
        <w:t>o</w:t>
      </w:r>
      <w:proofErr w:type="gramEnd"/>
      <w:r w:rsidR="00CE2412" w:rsidRPr="00CE2412">
        <w:rPr>
          <w:iCs/>
        </w:rPr>
        <w:t xml:space="preserve"> gauge the degree to which social and economic aspirations are consistent with reef values</w:t>
      </w:r>
      <w:r>
        <w:rPr>
          <w:iCs/>
        </w:rPr>
        <w:t>.</w:t>
      </w:r>
    </w:p>
    <w:p w:rsidR="00886373" w:rsidRPr="00616FCD" w:rsidRDefault="00886373" w:rsidP="00886373">
      <w:r>
        <w:t xml:space="preserve">Here we present how the steps of structured decision-making can be used to address the last of these </w:t>
      </w:r>
      <w:r w:rsidR="003B2D2C">
        <w:t>dot points</w:t>
      </w:r>
      <w:r w:rsidR="00BC61D7">
        <w:t>, again as a hypothetical exercise</w:t>
      </w:r>
      <w:r>
        <w:t xml:space="preserve">.  There is an inevitable tension between the social and economic aspirations of regional governments and the international obligations of the Commonwealth with respect to the GBRWHA. The LTSP2050 notes that </w:t>
      </w:r>
      <w:r w:rsidRPr="00886373">
        <w:rPr>
          <w:bCs/>
          <w:i/>
          <w:iCs/>
        </w:rPr>
        <w:t>delivering The Queensland Plan objectives for population and economic growth, whilst maintaining the Outstanding Universal Value of the Reef is a key challenge</w:t>
      </w:r>
      <w:r w:rsidRPr="00886373">
        <w:rPr>
          <w:i/>
        </w:rPr>
        <w:t>. Reef dependent industries and Reef associated industries support diverse and sustainable communities. These industries and related communities need to be able to continue to prosper, while ensuring protection of the Outstandi</w:t>
      </w:r>
      <w:r>
        <w:rPr>
          <w:i/>
        </w:rPr>
        <w:t xml:space="preserve">ng Universal Value of the Reef </w:t>
      </w:r>
      <w:r w:rsidRPr="00D33666">
        <w:rPr>
          <w:bCs/>
          <w:iCs/>
        </w:rPr>
        <w:t>(</w:t>
      </w:r>
      <w:r>
        <w:rPr>
          <w:bCs/>
          <w:iCs/>
        </w:rPr>
        <w:t xml:space="preserve">page </w:t>
      </w:r>
      <w:r w:rsidR="0012764A">
        <w:rPr>
          <w:bCs/>
          <w:iCs/>
        </w:rPr>
        <w:t>36</w:t>
      </w:r>
      <w:r>
        <w:rPr>
          <w:bCs/>
          <w:iCs/>
        </w:rPr>
        <w:t xml:space="preserve">, </w:t>
      </w:r>
      <w:r w:rsidRPr="00D33666">
        <w:t>Australian and Queensland governments, undated</w:t>
      </w:r>
      <w:r>
        <w:t>)</w:t>
      </w:r>
    </w:p>
    <w:p w:rsidR="00CE2412" w:rsidRDefault="00886373" w:rsidP="00D83687">
      <w:r>
        <w:t xml:space="preserve">Clearly, the extent to which social and economic objectives can be realised within the constraints of a world heritage listed entity is of interest.  Progressing clarity in this </w:t>
      </w:r>
      <w:proofErr w:type="gramStart"/>
      <w:r>
        <w:t>matter,</w:t>
      </w:r>
      <w:proofErr w:type="gramEnd"/>
      <w:r>
        <w:t xml:space="preserve"> and subsequent monitoring of social and economic outcomes will assist ongoing negotiations between the Queensland and Commonwealth governments and their dialogue with the World Heritage Committee.</w:t>
      </w:r>
      <w:r w:rsidR="00BC61D7">
        <w:t xml:space="preserve"> </w:t>
      </w:r>
      <w:r w:rsidR="004847BD">
        <w:t xml:space="preserve"> </w:t>
      </w:r>
    </w:p>
    <w:p w:rsidR="003457AF" w:rsidRPr="00BC61D7" w:rsidRDefault="003457AF" w:rsidP="00BC61D7">
      <w:pPr>
        <w:spacing w:after="0"/>
        <w:rPr>
          <w:b/>
          <w:i/>
        </w:rPr>
      </w:pPr>
      <w:r w:rsidRPr="00BC61D7">
        <w:rPr>
          <w:b/>
          <w:i/>
        </w:rPr>
        <w:t>Step 1   Define the decision frame</w:t>
      </w:r>
    </w:p>
    <w:p w:rsidR="00EA33F9" w:rsidRDefault="00BC61D7" w:rsidP="004847BD">
      <w:r>
        <w:t xml:space="preserve">The decision frame for this problem is identification of the extent to which social and economic aspirations can be </w:t>
      </w:r>
      <w:r w:rsidR="00AC3FFC">
        <w:t>accommodated</w:t>
      </w:r>
      <w:r>
        <w:t xml:space="preserve"> within the constraints implied by world heritage status of the GBR.  The context of the decision is the need to develop regional targets and thresholds that acknowledge geographic and demographic variation in opportunities and values.  The aggregation of </w:t>
      </w:r>
      <w:r w:rsidR="00AC3FFC">
        <w:t>regional</w:t>
      </w:r>
      <w:r>
        <w:t xml:space="preserve"> targets and thresholds need to be consistent with whole-of-reef target</w:t>
      </w:r>
      <w:r w:rsidR="004847BD">
        <w:t xml:space="preserve">s articulated in the LTSP2050. </w:t>
      </w:r>
    </w:p>
    <w:p w:rsidR="003457AF" w:rsidRPr="007C7D22" w:rsidRDefault="003457AF" w:rsidP="00EA33F9">
      <w:pPr>
        <w:spacing w:after="0"/>
        <w:rPr>
          <w:b/>
          <w:i/>
        </w:rPr>
      </w:pPr>
      <w:r w:rsidRPr="007C7D22">
        <w:rPr>
          <w:b/>
          <w:i/>
        </w:rPr>
        <w:lastRenderedPageBreak/>
        <w:t>Step</w:t>
      </w:r>
      <w:r w:rsidR="007C7D22" w:rsidRPr="007C7D22">
        <w:rPr>
          <w:b/>
          <w:i/>
        </w:rPr>
        <w:t>s</w:t>
      </w:r>
      <w:r w:rsidRPr="007C7D22">
        <w:rPr>
          <w:b/>
          <w:i/>
        </w:rPr>
        <w:t xml:space="preserve"> 2</w:t>
      </w:r>
      <w:r w:rsidR="007C7D22" w:rsidRPr="007C7D22">
        <w:rPr>
          <w:b/>
          <w:i/>
        </w:rPr>
        <w:t xml:space="preserve"> and </w:t>
      </w:r>
      <w:proofErr w:type="gramStart"/>
      <w:r w:rsidR="007C7D22" w:rsidRPr="007C7D22">
        <w:rPr>
          <w:b/>
          <w:i/>
        </w:rPr>
        <w:t xml:space="preserve">3  </w:t>
      </w:r>
      <w:r w:rsidRPr="007C7D22">
        <w:rPr>
          <w:b/>
          <w:i/>
        </w:rPr>
        <w:t>Define</w:t>
      </w:r>
      <w:proofErr w:type="gramEnd"/>
      <w:r w:rsidRPr="007C7D22">
        <w:rPr>
          <w:b/>
          <w:i/>
        </w:rPr>
        <w:t xml:space="preserve"> objectives</w:t>
      </w:r>
      <w:r w:rsidR="007C7D22" w:rsidRPr="007C7D22">
        <w:rPr>
          <w:b/>
          <w:i/>
        </w:rPr>
        <w:t xml:space="preserve"> and  d</w:t>
      </w:r>
      <w:r w:rsidRPr="007C7D22">
        <w:rPr>
          <w:b/>
          <w:i/>
        </w:rPr>
        <w:t>evelop alternatives</w:t>
      </w:r>
    </w:p>
    <w:p w:rsidR="00EA33F9" w:rsidRDefault="007C7D22" w:rsidP="00BC61D7">
      <w:r>
        <w:t xml:space="preserve">The conceptual model that encompasses social economic elements </w:t>
      </w:r>
      <w:r w:rsidR="00EA33F9">
        <w:t xml:space="preserve">(Figure </w:t>
      </w:r>
      <w:r w:rsidR="007C31DB">
        <w:t>26</w:t>
      </w:r>
      <w:r w:rsidR="00EA33F9">
        <w:t xml:space="preserve">b) </w:t>
      </w:r>
      <w:r>
        <w:t xml:space="preserve">is </w:t>
      </w:r>
      <w:r w:rsidR="00EA33F9">
        <w:t xml:space="preserve">considerably more elaborate than that for environmental objectives alone (Figure </w:t>
      </w:r>
      <w:r w:rsidR="007C31DB">
        <w:t>26</w:t>
      </w:r>
      <w:r w:rsidR="00EA33F9">
        <w:t>a).  Together with core objectives associated with ecological targets under LTSP2050, social and economic objectives include economic output (more is better) and quality of life (more is better).  Sub-ob</w:t>
      </w:r>
      <w:r w:rsidR="0012764A">
        <w:t xml:space="preserve">jectives pertaining to quality </w:t>
      </w:r>
      <w:r w:rsidR="00EA33F9">
        <w:t xml:space="preserve">of life </w:t>
      </w:r>
      <w:r w:rsidR="00AC3FFC">
        <w:t>includes</w:t>
      </w:r>
      <w:r w:rsidR="00EA33F9">
        <w:t xml:space="preserve">, among other things, </w:t>
      </w:r>
    </w:p>
    <w:p w:rsidR="00BC61D7" w:rsidRDefault="00EA33F9" w:rsidP="00C0513B">
      <w:pPr>
        <w:pStyle w:val="ListParagraph"/>
        <w:numPr>
          <w:ilvl w:val="0"/>
          <w:numId w:val="27"/>
        </w:numPr>
      </w:pPr>
      <w:r>
        <w:t>household wealth (more is better),</w:t>
      </w:r>
    </w:p>
    <w:p w:rsidR="00EA33F9" w:rsidRDefault="00EA33F9" w:rsidP="00C0513B">
      <w:pPr>
        <w:pStyle w:val="ListParagraph"/>
        <w:numPr>
          <w:ilvl w:val="0"/>
          <w:numId w:val="27"/>
        </w:numPr>
      </w:pPr>
      <w:r>
        <w:t>amenity (more is better), and</w:t>
      </w:r>
    </w:p>
    <w:p w:rsidR="00EA33F9" w:rsidRDefault="00EA33F9" w:rsidP="00C0513B">
      <w:pPr>
        <w:pStyle w:val="ListParagraph"/>
        <w:numPr>
          <w:ilvl w:val="0"/>
          <w:numId w:val="27"/>
        </w:numPr>
      </w:pPr>
      <w:proofErr w:type="gramStart"/>
      <w:r>
        <w:t>recreation</w:t>
      </w:r>
      <w:proofErr w:type="gramEnd"/>
      <w:r>
        <w:t xml:space="preserve"> (more is better).</w:t>
      </w:r>
    </w:p>
    <w:p w:rsidR="005D3DCB" w:rsidRDefault="00EA33F9" w:rsidP="00EA33F9">
      <w:r>
        <w:t xml:space="preserve">From a planning perspective, economic output and these sub-elements of quality of life are compensatory.  </w:t>
      </w:r>
      <w:r w:rsidR="005D3DCB">
        <w:t xml:space="preserve">Planners may forgo direct economic </w:t>
      </w:r>
      <w:r w:rsidR="00AC3FFC">
        <w:t>benefits</w:t>
      </w:r>
      <w:r w:rsidR="005D3DCB">
        <w:t xml:space="preserve"> for quality of life outcomes, and </w:t>
      </w:r>
      <w:r w:rsidR="005D3DCB" w:rsidRPr="005D3DCB">
        <w:rPr>
          <w:i/>
        </w:rPr>
        <w:t>vice-versa.</w:t>
      </w:r>
      <w:r w:rsidR="005D3DCB">
        <w:t xml:space="preserve"> </w:t>
      </w:r>
      <w:r>
        <w:t xml:space="preserve">We may </w:t>
      </w:r>
      <w:r w:rsidR="005D3DCB">
        <w:t>place</w:t>
      </w:r>
      <w:r>
        <w:t xml:space="preserve"> greater emphasis on some elements over others in different regions, according to our understanding of the values and aspirations of local communities, and of opp</w:t>
      </w:r>
      <w:r w:rsidR="005D3DCB">
        <w:t>o</w:t>
      </w:r>
      <w:r>
        <w:t>r</w:t>
      </w:r>
      <w:r w:rsidR="005D3DCB">
        <w:t>tunities for economic developme</w:t>
      </w:r>
      <w:r>
        <w:t xml:space="preserve">nt visible over the </w:t>
      </w:r>
      <w:r w:rsidR="00AC3FFC">
        <w:t>planning</w:t>
      </w:r>
      <w:r>
        <w:t xml:space="preserve"> horizon.  </w:t>
      </w:r>
    </w:p>
    <w:p w:rsidR="004847BD" w:rsidRPr="00335F2C" w:rsidRDefault="005D3DCB" w:rsidP="004847BD">
      <w:r>
        <w:t>There</w:t>
      </w:r>
      <w:r w:rsidR="00EA33F9">
        <w:t xml:space="preserve"> is les</w:t>
      </w:r>
      <w:r>
        <w:t>s</w:t>
      </w:r>
      <w:r w:rsidR="00EA33F9">
        <w:t xml:space="preserve"> scope to compromise on ecological </w:t>
      </w:r>
      <w:r>
        <w:t>outcomes</w:t>
      </w:r>
      <w:r w:rsidR="00EA33F9">
        <w:t xml:space="preserve">.  The </w:t>
      </w:r>
      <w:r>
        <w:t xml:space="preserve">first </w:t>
      </w:r>
      <w:r w:rsidR="00EA33F9">
        <w:t xml:space="preserve">target </w:t>
      </w:r>
      <w:r>
        <w:t xml:space="preserve">of the LTSP2050’s ecosystem health theme is </w:t>
      </w:r>
      <w:r w:rsidRPr="005D3DCB">
        <w:rPr>
          <w:i/>
        </w:rPr>
        <w:t>that condition and resilience indicators for coral reefs, seagrass, islands, estuaries, shoals and inter-</w:t>
      </w:r>
      <w:proofErr w:type="spellStart"/>
      <w:r w:rsidRPr="005D3DCB">
        <w:rPr>
          <w:i/>
        </w:rPr>
        <w:t>reefal</w:t>
      </w:r>
      <w:proofErr w:type="spellEnd"/>
      <w:r w:rsidRPr="005D3DCB">
        <w:rPr>
          <w:i/>
        </w:rPr>
        <w:t xml:space="preserve"> shelf habitats are on a trajectory towards achieving at least good condition </w:t>
      </w:r>
      <w:r w:rsidRPr="005D3DCB">
        <w:rPr>
          <w:b/>
          <w:i/>
        </w:rPr>
        <w:t>at regional and Reef-wide scales</w:t>
      </w:r>
      <w:r>
        <w:t xml:space="preserve"> (emphasis added).  Development scenarios that do not satisfy this constraint can be omitted. We note that it may be possible to accommodate substantial industrial development if a co-investment in risk mitigation (e.g. fishing regulation, enhanced</w:t>
      </w:r>
      <w:r w:rsidR="00D608DC">
        <w:t xml:space="preserve"> paddock to Reef program etc.) </w:t>
      </w:r>
      <w:r>
        <w:t>is made</w:t>
      </w:r>
      <w:r w:rsidR="003B2D2C">
        <w:t xml:space="preserve"> (Figure </w:t>
      </w:r>
      <w:r w:rsidR="007C31DB">
        <w:t>26</w:t>
      </w:r>
      <w:r w:rsidR="003B2D2C">
        <w:t>b)</w:t>
      </w:r>
      <w:r>
        <w:t>.</w:t>
      </w:r>
      <w:r w:rsidR="003B2D2C">
        <w:t xml:space="preserve">  But at some point, such co-investment will become cost-prohibitive.</w:t>
      </w:r>
      <w:r w:rsidR="00335F2C">
        <w:t xml:space="preserve">  </w:t>
      </w:r>
      <w:r>
        <w:t xml:space="preserve">After identifying objectives, a number of </w:t>
      </w:r>
      <w:r w:rsidR="00AC3FFC">
        <w:t>scenarios</w:t>
      </w:r>
      <w:r>
        <w:t xml:space="preserve"> for regional development need to be devel</w:t>
      </w:r>
      <w:r w:rsidR="00180AF3">
        <w:t>oped and documented.  In Table 8</w:t>
      </w:r>
      <w:r>
        <w:t>, we illustrate three alternative development scenarios alongside the status quo for two hypothetical regions.</w:t>
      </w:r>
    </w:p>
    <w:p w:rsidR="004847BD" w:rsidRPr="003B2D2C" w:rsidRDefault="004847BD" w:rsidP="004847BD">
      <w:pPr>
        <w:rPr>
          <w:sz w:val="20"/>
          <w:szCs w:val="20"/>
        </w:rPr>
      </w:pPr>
      <w:proofErr w:type="gramStart"/>
      <w:r w:rsidRPr="003B2D2C">
        <w:rPr>
          <w:b/>
          <w:sz w:val="20"/>
          <w:szCs w:val="20"/>
        </w:rPr>
        <w:t xml:space="preserve">Table </w:t>
      </w:r>
      <w:r w:rsidR="00180AF3">
        <w:rPr>
          <w:b/>
          <w:sz w:val="20"/>
          <w:szCs w:val="20"/>
        </w:rPr>
        <w:t>8</w:t>
      </w:r>
      <w:r w:rsidRPr="003B2D2C">
        <w:rPr>
          <w:b/>
          <w:sz w:val="20"/>
          <w:szCs w:val="20"/>
        </w:rPr>
        <w:t>.</w:t>
      </w:r>
      <w:proofErr w:type="gramEnd"/>
      <w:r w:rsidRPr="003B2D2C">
        <w:rPr>
          <w:b/>
          <w:sz w:val="20"/>
          <w:szCs w:val="20"/>
        </w:rPr>
        <w:t xml:space="preserve"> </w:t>
      </w:r>
      <w:proofErr w:type="gramStart"/>
      <w:r w:rsidRPr="003B2D2C">
        <w:rPr>
          <w:sz w:val="20"/>
          <w:szCs w:val="20"/>
        </w:rPr>
        <w:t>Strategy table describing qualitative changes to different industries under three alternative futures for a hypothetical ‘north’ and ‘south’ region, relative to the status quo.</w:t>
      </w:r>
      <w:proofErr w:type="gramEnd"/>
      <w:r w:rsidRPr="003B2D2C">
        <w:rPr>
          <w:sz w:val="20"/>
          <w:szCs w:val="20"/>
        </w:rPr>
        <w:t xml:space="preserve">  The table also indicates investment in risk mitigation for each alternative.  </w:t>
      </w:r>
    </w:p>
    <w:tbl>
      <w:tblPr>
        <w:tblW w:w="8946" w:type="dxa"/>
        <w:tblCellMar>
          <w:left w:w="0" w:type="dxa"/>
          <w:right w:w="0" w:type="dxa"/>
        </w:tblCellMar>
        <w:tblLook w:val="0600"/>
      </w:tblPr>
      <w:tblGrid>
        <w:gridCol w:w="1291"/>
        <w:gridCol w:w="1134"/>
        <w:gridCol w:w="992"/>
        <w:gridCol w:w="1701"/>
        <w:gridCol w:w="1418"/>
        <w:gridCol w:w="992"/>
        <w:gridCol w:w="1418"/>
      </w:tblGrid>
      <w:tr w:rsidR="004847BD" w:rsidRPr="000F06C8" w:rsidTr="00D8088C">
        <w:trPr>
          <w:trHeight w:val="284"/>
        </w:trPr>
        <w:tc>
          <w:tcPr>
            <w:tcW w:w="1291" w:type="dxa"/>
            <w:tcBorders>
              <w:top w:val="single" w:sz="8" w:space="0" w:color="000000"/>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rPr>
                <w:rFonts w:ascii="Arial" w:eastAsia="Times New Roman" w:hAnsi="Arial" w:cs="Arial"/>
                <w:sz w:val="20"/>
                <w:szCs w:val="20"/>
                <w:lang w:eastAsia="en-AU"/>
              </w:rPr>
            </w:pPr>
          </w:p>
        </w:tc>
        <w:tc>
          <w:tcPr>
            <w:tcW w:w="1134" w:type="dxa"/>
            <w:tcBorders>
              <w:top w:val="single" w:sz="8" w:space="0" w:color="000000"/>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Agriculture</w:t>
            </w:r>
          </w:p>
        </w:tc>
        <w:tc>
          <w:tcPr>
            <w:tcW w:w="992" w:type="dxa"/>
            <w:tcBorders>
              <w:top w:val="single" w:sz="8" w:space="0" w:color="000000"/>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Mining</w:t>
            </w:r>
          </w:p>
        </w:tc>
        <w:tc>
          <w:tcPr>
            <w:tcW w:w="1701" w:type="dxa"/>
            <w:tcBorders>
              <w:top w:val="single" w:sz="8" w:space="0" w:color="000000"/>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Ports and shipping</w:t>
            </w:r>
          </w:p>
        </w:tc>
        <w:tc>
          <w:tcPr>
            <w:tcW w:w="1418" w:type="dxa"/>
            <w:tcBorders>
              <w:top w:val="single" w:sz="8" w:space="0" w:color="000000"/>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Tourism</w:t>
            </w:r>
          </w:p>
        </w:tc>
        <w:tc>
          <w:tcPr>
            <w:tcW w:w="992" w:type="dxa"/>
            <w:tcBorders>
              <w:top w:val="single" w:sz="8" w:space="0" w:color="000000"/>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Fishing</w:t>
            </w:r>
          </w:p>
        </w:tc>
        <w:tc>
          <w:tcPr>
            <w:tcW w:w="1418" w:type="dxa"/>
            <w:tcBorders>
              <w:top w:val="single" w:sz="8" w:space="0" w:color="000000"/>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Risk mitigation</w:t>
            </w:r>
          </w:p>
        </w:tc>
      </w:tr>
      <w:tr w:rsidR="004847BD" w:rsidRPr="000F06C8" w:rsidTr="00D8088C">
        <w:trPr>
          <w:trHeight w:val="284"/>
        </w:trPr>
        <w:tc>
          <w:tcPr>
            <w:tcW w:w="1291"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Status quo</w:t>
            </w:r>
          </w:p>
        </w:tc>
        <w:tc>
          <w:tcPr>
            <w:tcW w:w="1134"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w:t>
            </w:r>
          </w:p>
        </w:tc>
        <w:tc>
          <w:tcPr>
            <w:tcW w:w="992"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w:t>
            </w:r>
          </w:p>
        </w:tc>
        <w:tc>
          <w:tcPr>
            <w:tcW w:w="1701"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w:t>
            </w:r>
          </w:p>
        </w:tc>
        <w:tc>
          <w:tcPr>
            <w:tcW w:w="1418"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w:t>
            </w:r>
          </w:p>
        </w:tc>
        <w:tc>
          <w:tcPr>
            <w:tcW w:w="992"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w:t>
            </w:r>
          </w:p>
        </w:tc>
        <w:tc>
          <w:tcPr>
            <w:tcW w:w="1418"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w:t>
            </w:r>
          </w:p>
        </w:tc>
      </w:tr>
      <w:tr w:rsidR="004847BD" w:rsidRPr="000F06C8" w:rsidTr="00D8088C">
        <w:trPr>
          <w:trHeight w:val="284"/>
        </w:trPr>
        <w:tc>
          <w:tcPr>
            <w:tcW w:w="129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xml:space="preserve">   North</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r>
      <w:tr w:rsidR="004847BD" w:rsidRPr="000F06C8" w:rsidTr="00D8088C">
        <w:trPr>
          <w:trHeight w:val="284"/>
        </w:trPr>
        <w:tc>
          <w:tcPr>
            <w:tcW w:w="1291"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xml:space="preserve">   South</w:t>
            </w:r>
          </w:p>
        </w:tc>
        <w:tc>
          <w:tcPr>
            <w:tcW w:w="1134"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992"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1701"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1418"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992"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1418"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r>
      <w:tr w:rsidR="004847BD" w:rsidRPr="000F06C8" w:rsidTr="00D8088C">
        <w:trPr>
          <w:trHeight w:val="284"/>
        </w:trPr>
        <w:tc>
          <w:tcPr>
            <w:tcW w:w="1291"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Alternative A</w:t>
            </w:r>
          </w:p>
        </w:tc>
        <w:tc>
          <w:tcPr>
            <w:tcW w:w="1134"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w:t>
            </w:r>
          </w:p>
        </w:tc>
        <w:tc>
          <w:tcPr>
            <w:tcW w:w="992"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w:t>
            </w:r>
          </w:p>
        </w:tc>
        <w:tc>
          <w:tcPr>
            <w:tcW w:w="1701"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w:t>
            </w:r>
          </w:p>
        </w:tc>
        <w:tc>
          <w:tcPr>
            <w:tcW w:w="1418"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w:t>
            </w:r>
          </w:p>
        </w:tc>
        <w:tc>
          <w:tcPr>
            <w:tcW w:w="992"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w:t>
            </w:r>
          </w:p>
        </w:tc>
        <w:tc>
          <w:tcPr>
            <w:tcW w:w="1418"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w:t>
            </w:r>
          </w:p>
        </w:tc>
      </w:tr>
      <w:tr w:rsidR="004847BD" w:rsidRPr="000F06C8" w:rsidTr="00D8088C">
        <w:trPr>
          <w:trHeight w:val="284"/>
        </w:trPr>
        <w:tc>
          <w:tcPr>
            <w:tcW w:w="129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xml:space="preserve">   North</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r>
      <w:tr w:rsidR="004847BD" w:rsidRPr="000F06C8" w:rsidTr="00D8088C">
        <w:trPr>
          <w:trHeight w:val="284"/>
        </w:trPr>
        <w:tc>
          <w:tcPr>
            <w:tcW w:w="1291"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xml:space="preserve">   South</w:t>
            </w:r>
          </w:p>
        </w:tc>
        <w:tc>
          <w:tcPr>
            <w:tcW w:w="1134"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992"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1701"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1418"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992"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1418"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r>
      <w:tr w:rsidR="004847BD" w:rsidRPr="000F06C8" w:rsidTr="00D8088C">
        <w:trPr>
          <w:trHeight w:val="284"/>
        </w:trPr>
        <w:tc>
          <w:tcPr>
            <w:tcW w:w="1291"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Alternative B</w:t>
            </w:r>
          </w:p>
        </w:tc>
        <w:tc>
          <w:tcPr>
            <w:tcW w:w="1134"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w:t>
            </w:r>
          </w:p>
        </w:tc>
        <w:tc>
          <w:tcPr>
            <w:tcW w:w="992"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w:t>
            </w:r>
          </w:p>
        </w:tc>
        <w:tc>
          <w:tcPr>
            <w:tcW w:w="1701"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w:t>
            </w:r>
          </w:p>
        </w:tc>
        <w:tc>
          <w:tcPr>
            <w:tcW w:w="1418"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w:t>
            </w:r>
          </w:p>
        </w:tc>
        <w:tc>
          <w:tcPr>
            <w:tcW w:w="992"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w:t>
            </w:r>
          </w:p>
        </w:tc>
        <w:tc>
          <w:tcPr>
            <w:tcW w:w="1418"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w:t>
            </w:r>
          </w:p>
        </w:tc>
      </w:tr>
      <w:tr w:rsidR="004847BD" w:rsidRPr="000F06C8" w:rsidTr="00D8088C">
        <w:trPr>
          <w:trHeight w:val="284"/>
        </w:trPr>
        <w:tc>
          <w:tcPr>
            <w:tcW w:w="129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xml:space="preserve">   North</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r>
      <w:tr w:rsidR="004847BD" w:rsidRPr="000F06C8" w:rsidTr="00D8088C">
        <w:trPr>
          <w:trHeight w:val="284"/>
        </w:trPr>
        <w:tc>
          <w:tcPr>
            <w:tcW w:w="1291"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xml:space="preserve">   South</w:t>
            </w:r>
          </w:p>
        </w:tc>
        <w:tc>
          <w:tcPr>
            <w:tcW w:w="1134"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992"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1701"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1418"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992"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1418"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r>
      <w:tr w:rsidR="004847BD" w:rsidRPr="000F06C8" w:rsidTr="00D8088C">
        <w:trPr>
          <w:trHeight w:val="284"/>
        </w:trPr>
        <w:tc>
          <w:tcPr>
            <w:tcW w:w="1291"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Alternative C</w:t>
            </w:r>
          </w:p>
        </w:tc>
        <w:tc>
          <w:tcPr>
            <w:tcW w:w="1134"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w:t>
            </w:r>
          </w:p>
        </w:tc>
        <w:tc>
          <w:tcPr>
            <w:tcW w:w="992"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w:t>
            </w:r>
          </w:p>
        </w:tc>
        <w:tc>
          <w:tcPr>
            <w:tcW w:w="1701"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w:t>
            </w:r>
          </w:p>
        </w:tc>
        <w:tc>
          <w:tcPr>
            <w:tcW w:w="1418"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w:t>
            </w:r>
          </w:p>
        </w:tc>
        <w:tc>
          <w:tcPr>
            <w:tcW w:w="992"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w:t>
            </w:r>
          </w:p>
        </w:tc>
        <w:tc>
          <w:tcPr>
            <w:tcW w:w="1418"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w:t>
            </w:r>
          </w:p>
        </w:tc>
      </w:tr>
      <w:tr w:rsidR="004847BD" w:rsidRPr="000F06C8" w:rsidTr="00D8088C">
        <w:trPr>
          <w:trHeight w:val="284"/>
        </w:trPr>
        <w:tc>
          <w:tcPr>
            <w:tcW w:w="129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xml:space="preserve">   North</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r>
      <w:tr w:rsidR="004847BD" w:rsidRPr="000F06C8" w:rsidTr="00D8088C">
        <w:trPr>
          <w:trHeight w:val="284"/>
        </w:trPr>
        <w:tc>
          <w:tcPr>
            <w:tcW w:w="1291"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xml:space="preserve">   South</w:t>
            </w:r>
          </w:p>
        </w:tc>
        <w:tc>
          <w:tcPr>
            <w:tcW w:w="1134"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992"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1701"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1418"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992"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c>
          <w:tcPr>
            <w:tcW w:w="1418"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4847BD" w:rsidRPr="00EB5737" w:rsidRDefault="004847BD" w:rsidP="00D8088C">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Arial" w:cs="Arial"/>
                <w:color w:val="000000" w:themeColor="dark1"/>
                <w:kern w:val="24"/>
                <w:sz w:val="20"/>
                <w:szCs w:val="20"/>
                <w:lang w:eastAsia="en-AU"/>
              </w:rPr>
              <w:t>●</w:t>
            </w:r>
          </w:p>
        </w:tc>
      </w:tr>
    </w:tbl>
    <w:p w:rsidR="004847BD" w:rsidRPr="000F06C8" w:rsidRDefault="004847BD" w:rsidP="004847BD">
      <w:pPr>
        <w:rPr>
          <w:sz w:val="20"/>
          <w:szCs w:val="20"/>
        </w:rPr>
      </w:pPr>
    </w:p>
    <w:p w:rsidR="003B2D2C" w:rsidRDefault="003B2D2C" w:rsidP="00BC61D7">
      <w:pPr>
        <w:rPr>
          <w:b/>
          <w:sz w:val="20"/>
          <w:szCs w:val="20"/>
        </w:rPr>
      </w:pPr>
    </w:p>
    <w:p w:rsidR="003B2D2C" w:rsidRPr="003B2D2C" w:rsidRDefault="003B2D2C" w:rsidP="00BC61D7">
      <w:pPr>
        <w:rPr>
          <w:sz w:val="20"/>
          <w:szCs w:val="20"/>
        </w:rPr>
      </w:pPr>
      <w:r w:rsidRPr="003B2D2C">
        <w:rPr>
          <w:sz w:val="20"/>
          <w:szCs w:val="20"/>
        </w:rPr>
        <w:t>(a)</w:t>
      </w:r>
    </w:p>
    <w:p w:rsidR="003B2D2C" w:rsidRDefault="003B2D2C" w:rsidP="003B2D2C">
      <w:pPr>
        <w:jc w:val="center"/>
        <w:rPr>
          <w:b/>
          <w:sz w:val="20"/>
          <w:szCs w:val="20"/>
        </w:rPr>
      </w:pPr>
      <w:r w:rsidRPr="00EB5737">
        <w:rPr>
          <w:noProof/>
          <w:lang w:eastAsia="en-AU"/>
        </w:rPr>
        <w:drawing>
          <wp:inline distT="0" distB="0" distL="0" distR="0">
            <wp:extent cx="4075200" cy="2422800"/>
            <wp:effectExtent l="0" t="0" r="1905"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75200" cy="2422800"/>
                    </a:xfrm>
                    <a:prstGeom prst="rect">
                      <a:avLst/>
                    </a:prstGeom>
                  </pic:spPr>
                </pic:pic>
              </a:graphicData>
            </a:graphic>
          </wp:inline>
        </w:drawing>
      </w:r>
    </w:p>
    <w:p w:rsidR="003B2D2C" w:rsidRPr="003B2D2C" w:rsidRDefault="003B2D2C" w:rsidP="00BC61D7">
      <w:pPr>
        <w:rPr>
          <w:sz w:val="20"/>
          <w:szCs w:val="20"/>
        </w:rPr>
      </w:pPr>
      <w:r w:rsidRPr="003B2D2C">
        <w:rPr>
          <w:sz w:val="20"/>
          <w:szCs w:val="20"/>
        </w:rPr>
        <w:t>(b)</w:t>
      </w:r>
    </w:p>
    <w:p w:rsidR="003B2D2C" w:rsidRDefault="003B2D2C" w:rsidP="00BC61D7">
      <w:pPr>
        <w:rPr>
          <w:b/>
          <w:sz w:val="20"/>
          <w:szCs w:val="20"/>
        </w:rPr>
      </w:pPr>
      <w:r>
        <w:rPr>
          <w:noProof/>
          <w:lang w:eastAsia="en-AU"/>
        </w:rPr>
        <w:drawing>
          <wp:inline distT="0" distB="0" distL="0" distR="0">
            <wp:extent cx="5274000" cy="3927600"/>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_socioecological.png"/>
                    <pic:cNvPicPr/>
                  </pic:nvPicPr>
                  <pic:blipFill>
                    <a:blip r:embed="rId8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000" cy="3927600"/>
                    </a:xfrm>
                    <a:prstGeom prst="rect">
                      <a:avLst/>
                    </a:prstGeom>
                  </pic:spPr>
                </pic:pic>
              </a:graphicData>
            </a:graphic>
          </wp:inline>
        </w:drawing>
      </w:r>
    </w:p>
    <w:p w:rsidR="003B2D2C" w:rsidRDefault="003B2D2C">
      <w:pPr>
        <w:rPr>
          <w:sz w:val="20"/>
          <w:szCs w:val="20"/>
        </w:rPr>
      </w:pPr>
      <w:proofErr w:type="gramStart"/>
      <w:r w:rsidRPr="003B2D2C">
        <w:rPr>
          <w:b/>
          <w:sz w:val="20"/>
          <w:szCs w:val="20"/>
        </w:rPr>
        <w:t xml:space="preserve">Figure </w:t>
      </w:r>
      <w:r w:rsidR="007C31DB">
        <w:rPr>
          <w:b/>
          <w:sz w:val="20"/>
          <w:szCs w:val="20"/>
        </w:rPr>
        <w:t>26</w:t>
      </w:r>
      <w:r w:rsidRPr="003B2D2C">
        <w:rPr>
          <w:b/>
          <w:sz w:val="20"/>
          <w:szCs w:val="20"/>
        </w:rPr>
        <w:t>.</w:t>
      </w:r>
      <w:proofErr w:type="gramEnd"/>
      <w:r w:rsidRPr="003B2D2C">
        <w:rPr>
          <w:b/>
          <w:sz w:val="20"/>
          <w:szCs w:val="20"/>
        </w:rPr>
        <w:t xml:space="preserve"> </w:t>
      </w:r>
      <w:r w:rsidRPr="003B2D2C">
        <w:rPr>
          <w:sz w:val="20"/>
          <w:szCs w:val="20"/>
        </w:rPr>
        <w:t xml:space="preserve"> </w:t>
      </w:r>
      <w:proofErr w:type="gramStart"/>
      <w:r w:rsidRPr="003B2D2C">
        <w:rPr>
          <w:sz w:val="20"/>
          <w:szCs w:val="20"/>
        </w:rPr>
        <w:t>Simplified c</w:t>
      </w:r>
      <w:r>
        <w:rPr>
          <w:sz w:val="20"/>
          <w:szCs w:val="20"/>
        </w:rPr>
        <w:t>onceptual model</w:t>
      </w:r>
      <w:r w:rsidRPr="003B2D2C">
        <w:rPr>
          <w:sz w:val="20"/>
          <w:szCs w:val="20"/>
        </w:rPr>
        <w:t xml:space="preserve">s </w:t>
      </w:r>
      <w:r>
        <w:rPr>
          <w:sz w:val="20"/>
          <w:szCs w:val="20"/>
        </w:rPr>
        <w:t>of (a) the ecological system</w:t>
      </w:r>
      <w:r w:rsidRPr="003B2D2C">
        <w:rPr>
          <w:sz w:val="20"/>
          <w:szCs w:val="20"/>
        </w:rPr>
        <w:t>, and (b) the socio-ecological system.</w:t>
      </w:r>
      <w:proofErr w:type="gramEnd"/>
      <w:r w:rsidRPr="003B2D2C">
        <w:rPr>
          <w:sz w:val="20"/>
          <w:szCs w:val="20"/>
        </w:rPr>
        <w:t xml:space="preserve">  </w:t>
      </w:r>
      <w:r>
        <w:rPr>
          <w:sz w:val="20"/>
          <w:szCs w:val="20"/>
        </w:rPr>
        <w:t xml:space="preserve">Yellow nodes represent elements that can be influenced by planning and management </w:t>
      </w:r>
      <w:r w:rsidR="00AC3FFC">
        <w:rPr>
          <w:sz w:val="20"/>
          <w:szCs w:val="20"/>
        </w:rPr>
        <w:t>decisions</w:t>
      </w:r>
      <w:r>
        <w:rPr>
          <w:sz w:val="20"/>
          <w:szCs w:val="20"/>
        </w:rPr>
        <w:t xml:space="preserve">. Green nodes are core ecological objectives and blue nodes social and economic objectives. Positive links indicate the child node moves in the same direction as the parent (e.g. economic output increases as ports and shipping increases).  Negative links indicate an inverse relationship between parent and child nodes (e.g. turbidity and nutrients decrease as risk mitigation increases). </w:t>
      </w:r>
      <w:r>
        <w:rPr>
          <w:sz w:val="20"/>
          <w:szCs w:val="20"/>
        </w:rPr>
        <w:br w:type="page"/>
      </w:r>
    </w:p>
    <w:p w:rsidR="00A40003" w:rsidRDefault="003457AF" w:rsidP="00E755E8">
      <w:pPr>
        <w:rPr>
          <w:b/>
          <w:i/>
        </w:rPr>
      </w:pPr>
      <w:r w:rsidRPr="003B2D2C">
        <w:rPr>
          <w:b/>
          <w:i/>
        </w:rPr>
        <w:lastRenderedPageBreak/>
        <w:t>Step</w:t>
      </w:r>
      <w:r w:rsidR="003B2D2C" w:rsidRPr="003B2D2C">
        <w:rPr>
          <w:b/>
          <w:i/>
        </w:rPr>
        <w:t xml:space="preserve">s 4 and 5 </w:t>
      </w:r>
      <w:r w:rsidRPr="003B2D2C">
        <w:rPr>
          <w:b/>
          <w:i/>
        </w:rPr>
        <w:t>Estimate expected consequences</w:t>
      </w:r>
      <w:r w:rsidR="003B2D2C" w:rsidRPr="003B2D2C">
        <w:rPr>
          <w:b/>
          <w:i/>
        </w:rPr>
        <w:t xml:space="preserve">, </w:t>
      </w:r>
      <w:proofErr w:type="gramStart"/>
      <w:r w:rsidR="003B2D2C" w:rsidRPr="003B2D2C">
        <w:rPr>
          <w:b/>
          <w:i/>
        </w:rPr>
        <w:t>e</w:t>
      </w:r>
      <w:r w:rsidRPr="003B2D2C">
        <w:rPr>
          <w:b/>
          <w:i/>
        </w:rPr>
        <w:t>valuate</w:t>
      </w:r>
      <w:proofErr w:type="gramEnd"/>
      <w:r w:rsidRPr="003B2D2C">
        <w:rPr>
          <w:b/>
          <w:i/>
        </w:rPr>
        <w:t xml:space="preserve"> trade-offs and select an alternative</w:t>
      </w:r>
    </w:p>
    <w:p w:rsidR="004C459A" w:rsidRPr="004C459A" w:rsidRDefault="004C459A" w:rsidP="00E755E8">
      <w:r w:rsidRPr="004C459A">
        <w:t>A</w:t>
      </w:r>
      <w:r>
        <w:t xml:space="preserve">fter estimating the </w:t>
      </w:r>
      <w:r w:rsidR="00AC3FFC">
        <w:t>performance</w:t>
      </w:r>
      <w:r>
        <w:t xml:space="preserve"> of each alternative against each </w:t>
      </w:r>
      <w:r w:rsidR="00AC3FFC">
        <w:t>ecological</w:t>
      </w:r>
      <w:r>
        <w:t xml:space="preserve">, social and economic objective (for each region), the first task is to filter out any alternatives that do not satisfy constraints on environmental outcomes.  For our hypothetical exercise, let’s say the modest investment in risk mitigation under Alternative C was insufficient to offset anticipated adverse impacts associated with the proposed scale </w:t>
      </w:r>
      <w:r w:rsidR="00180AF3">
        <w:t>of industry development (Table 8</w:t>
      </w:r>
      <w:r>
        <w:t xml:space="preserve">).   If Alternatives A and B do satisfy </w:t>
      </w:r>
      <w:r w:rsidR="00AC3FFC">
        <w:t>environmental</w:t>
      </w:r>
      <w:r>
        <w:t xml:space="preserve"> constraints, environmental objectives become redundant. The task now is to identify the best alternative among the status quo a</w:t>
      </w:r>
      <w:r w:rsidR="00180AF3">
        <w:t>nd Alternatives A and B (Table 9</w:t>
      </w:r>
      <w:r>
        <w:t>).  To do so, requires articulation of trade-offs and a</w:t>
      </w:r>
      <w:r w:rsidR="00EF76EA">
        <w:t>s</w:t>
      </w:r>
      <w:r>
        <w:t>signment</w:t>
      </w:r>
      <w:r w:rsidR="00CC3F86">
        <w:t xml:space="preserve"> of weights, as illustrated in S</w:t>
      </w:r>
      <w:r>
        <w:t xml:space="preserve">ection 4.3. </w:t>
      </w:r>
    </w:p>
    <w:p w:rsidR="00E755E8" w:rsidRPr="00EF76EA" w:rsidRDefault="00180AF3" w:rsidP="00E755E8">
      <w:pPr>
        <w:rPr>
          <w:sz w:val="20"/>
          <w:szCs w:val="20"/>
        </w:rPr>
      </w:pPr>
      <w:proofErr w:type="gramStart"/>
      <w:r>
        <w:rPr>
          <w:b/>
          <w:sz w:val="20"/>
          <w:szCs w:val="20"/>
        </w:rPr>
        <w:t>Table 9</w:t>
      </w:r>
      <w:r w:rsidR="00EF76EA" w:rsidRPr="00EF76EA">
        <w:rPr>
          <w:b/>
          <w:sz w:val="20"/>
          <w:szCs w:val="20"/>
        </w:rPr>
        <w:t>.</w:t>
      </w:r>
      <w:proofErr w:type="gramEnd"/>
      <w:r w:rsidR="00EF76EA" w:rsidRPr="00EF76EA">
        <w:rPr>
          <w:sz w:val="20"/>
          <w:szCs w:val="20"/>
        </w:rPr>
        <w:t xml:space="preserve"> </w:t>
      </w:r>
      <w:proofErr w:type="gramStart"/>
      <w:r w:rsidR="00EF76EA" w:rsidRPr="00EF76EA">
        <w:rPr>
          <w:sz w:val="20"/>
          <w:szCs w:val="20"/>
        </w:rPr>
        <w:t>Hyp</w:t>
      </w:r>
      <w:r w:rsidR="004C459A" w:rsidRPr="00EF76EA">
        <w:rPr>
          <w:sz w:val="20"/>
          <w:szCs w:val="20"/>
        </w:rPr>
        <w:t>othetical consequence table</w:t>
      </w:r>
      <w:r w:rsidR="00EF76EA" w:rsidRPr="00EF76EA">
        <w:rPr>
          <w:sz w:val="20"/>
          <w:szCs w:val="20"/>
        </w:rPr>
        <w:t xml:space="preserve"> for two alternative development scenarios</w:t>
      </w:r>
      <w:r w:rsidR="00AC3FFC">
        <w:rPr>
          <w:sz w:val="20"/>
          <w:szCs w:val="20"/>
        </w:rPr>
        <w:t>,</w:t>
      </w:r>
      <w:r w:rsidR="00EF76EA" w:rsidRPr="00EF76EA">
        <w:rPr>
          <w:sz w:val="20"/>
          <w:szCs w:val="20"/>
        </w:rPr>
        <w:t xml:space="preserve"> alongside the </w:t>
      </w:r>
      <w:r w:rsidR="00AC3FFC" w:rsidRPr="00EF76EA">
        <w:rPr>
          <w:sz w:val="20"/>
          <w:szCs w:val="20"/>
        </w:rPr>
        <w:t>status</w:t>
      </w:r>
      <w:r w:rsidR="00EF76EA" w:rsidRPr="00EF76EA">
        <w:rPr>
          <w:sz w:val="20"/>
          <w:szCs w:val="20"/>
        </w:rPr>
        <w:t xml:space="preserve"> quo.</w:t>
      </w:r>
      <w:proofErr w:type="gramEnd"/>
      <w:r w:rsidR="00EF76EA" w:rsidRPr="00EF76EA">
        <w:rPr>
          <w:sz w:val="20"/>
          <w:szCs w:val="20"/>
        </w:rPr>
        <w:t xml:space="preserve">  Alternative C has been omitted because it failed to satisfy </w:t>
      </w:r>
      <w:r w:rsidR="00AC3FFC" w:rsidRPr="00EF76EA">
        <w:rPr>
          <w:sz w:val="20"/>
          <w:szCs w:val="20"/>
        </w:rPr>
        <w:t>minimum</w:t>
      </w:r>
      <w:r w:rsidR="00EF76EA" w:rsidRPr="00EF76EA">
        <w:rPr>
          <w:sz w:val="20"/>
          <w:szCs w:val="20"/>
        </w:rPr>
        <w:t xml:space="preserve"> requirements for environmental performance.</w:t>
      </w:r>
      <w:r w:rsidR="004C459A" w:rsidRPr="00EF76EA">
        <w:rPr>
          <w:sz w:val="20"/>
          <w:szCs w:val="20"/>
        </w:rPr>
        <w:t xml:space="preserve"> </w:t>
      </w:r>
    </w:p>
    <w:tbl>
      <w:tblPr>
        <w:tblW w:w="8946" w:type="dxa"/>
        <w:tblCellMar>
          <w:left w:w="0" w:type="dxa"/>
          <w:right w:w="0" w:type="dxa"/>
        </w:tblCellMar>
        <w:tblLook w:val="0600"/>
      </w:tblPr>
      <w:tblGrid>
        <w:gridCol w:w="4977"/>
        <w:gridCol w:w="1134"/>
        <w:gridCol w:w="1417"/>
        <w:gridCol w:w="1418"/>
      </w:tblGrid>
      <w:tr w:rsidR="00E755E8" w:rsidRPr="00EB5737" w:rsidTr="00191B3B">
        <w:trPr>
          <w:trHeight w:val="284"/>
        </w:trPr>
        <w:tc>
          <w:tcPr>
            <w:tcW w:w="4977" w:type="dxa"/>
            <w:tcBorders>
              <w:top w:val="single" w:sz="8" w:space="0" w:color="000000"/>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rPr>
                <w:rFonts w:eastAsia="Times New Roman" w:cs="Arial"/>
                <w:b/>
                <w:sz w:val="20"/>
                <w:szCs w:val="20"/>
                <w:lang w:eastAsia="en-AU"/>
              </w:rPr>
            </w:pPr>
            <w:r>
              <w:rPr>
                <w:rFonts w:eastAsia="Times New Roman" w:cs="Arial"/>
                <w:b/>
                <w:sz w:val="20"/>
                <w:szCs w:val="20"/>
                <w:lang w:eastAsia="en-AU"/>
              </w:rPr>
              <w:t xml:space="preserve">Social and </w:t>
            </w:r>
            <w:r w:rsidRPr="000F06C8">
              <w:rPr>
                <w:rFonts w:eastAsia="Times New Roman" w:cs="Arial"/>
                <w:b/>
                <w:sz w:val="20"/>
                <w:szCs w:val="20"/>
                <w:lang w:eastAsia="en-AU"/>
              </w:rPr>
              <w:t>economic objective</w:t>
            </w:r>
            <w:r>
              <w:rPr>
                <w:rFonts w:eastAsia="Times New Roman" w:cs="Arial"/>
                <w:b/>
                <w:sz w:val="20"/>
                <w:szCs w:val="20"/>
                <w:lang w:eastAsia="en-AU"/>
              </w:rPr>
              <w:t>s</w:t>
            </w:r>
          </w:p>
        </w:tc>
        <w:tc>
          <w:tcPr>
            <w:tcW w:w="1134" w:type="dxa"/>
            <w:tcBorders>
              <w:top w:val="single" w:sz="8" w:space="0" w:color="000000"/>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b/>
                <w:bCs/>
                <w:color w:val="000000" w:themeColor="dark1"/>
                <w:kern w:val="24"/>
                <w:sz w:val="20"/>
                <w:szCs w:val="20"/>
                <w:lang w:eastAsia="en-AU"/>
              </w:rPr>
              <w:t>status quo</w:t>
            </w:r>
          </w:p>
        </w:tc>
        <w:tc>
          <w:tcPr>
            <w:tcW w:w="1417" w:type="dxa"/>
            <w:tcBorders>
              <w:top w:val="single" w:sz="8" w:space="0" w:color="000000"/>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b/>
                <w:bCs/>
                <w:color w:val="000000" w:themeColor="dark1"/>
                <w:kern w:val="24"/>
                <w:sz w:val="20"/>
                <w:szCs w:val="20"/>
                <w:lang w:eastAsia="en-AU"/>
              </w:rPr>
              <w:t>alternative A</w:t>
            </w:r>
          </w:p>
        </w:tc>
        <w:tc>
          <w:tcPr>
            <w:tcW w:w="1418" w:type="dxa"/>
            <w:tcBorders>
              <w:top w:val="single" w:sz="8" w:space="0" w:color="000000"/>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b/>
                <w:bCs/>
                <w:color w:val="000000" w:themeColor="dark1"/>
                <w:kern w:val="24"/>
                <w:sz w:val="20"/>
                <w:szCs w:val="20"/>
                <w:lang w:eastAsia="en-AU"/>
              </w:rPr>
              <w:t>alternative B</w:t>
            </w:r>
          </w:p>
        </w:tc>
      </w:tr>
      <w:tr w:rsidR="00E755E8" w:rsidRPr="00EB5737" w:rsidTr="00191B3B">
        <w:trPr>
          <w:trHeight w:val="284"/>
        </w:trPr>
        <w:tc>
          <w:tcPr>
            <w:tcW w:w="4977"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north - economic output ($B per year)</w:t>
            </w:r>
          </w:p>
        </w:tc>
        <w:tc>
          <w:tcPr>
            <w:tcW w:w="1134"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0.5</w:t>
            </w:r>
          </w:p>
        </w:tc>
        <w:tc>
          <w:tcPr>
            <w:tcW w:w="1417"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4</w:t>
            </w:r>
          </w:p>
        </w:tc>
        <w:tc>
          <w:tcPr>
            <w:tcW w:w="1418" w:type="dxa"/>
            <w:tcBorders>
              <w:top w:val="single" w:sz="8" w:space="0" w:color="000000"/>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0.5</w:t>
            </w:r>
          </w:p>
        </w:tc>
      </w:tr>
      <w:tr w:rsidR="00E755E8" w:rsidRPr="00EB5737" w:rsidTr="00191B3B">
        <w:trPr>
          <w:trHeight w:val="284"/>
        </w:trPr>
        <w:tc>
          <w:tcPr>
            <w:tcW w:w="49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south - economic output ($B per year)</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2</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4</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4</w:t>
            </w:r>
          </w:p>
        </w:tc>
      </w:tr>
      <w:tr w:rsidR="00E755E8" w:rsidRPr="00EB5737" w:rsidTr="00191B3B">
        <w:trPr>
          <w:trHeight w:val="284"/>
        </w:trPr>
        <w:tc>
          <w:tcPr>
            <w:tcW w:w="49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xml:space="preserve">north - </w:t>
            </w:r>
            <w:proofErr w:type="spellStart"/>
            <w:r w:rsidRPr="00EB5737">
              <w:rPr>
                <w:rFonts w:ascii="Calibri" w:eastAsia="Times New Roman" w:hAnsi="Calibri" w:cs="Arial"/>
                <w:color w:val="000000" w:themeColor="dark1"/>
                <w:kern w:val="24"/>
                <w:sz w:val="20"/>
                <w:szCs w:val="20"/>
                <w:lang w:eastAsia="en-AU"/>
              </w:rPr>
              <w:t>QoL</w:t>
            </w:r>
            <w:proofErr w:type="spellEnd"/>
            <w:r w:rsidRPr="00EB5737">
              <w:rPr>
                <w:rFonts w:ascii="Calibri" w:eastAsia="Times New Roman" w:hAnsi="Calibri" w:cs="Arial"/>
                <w:color w:val="000000" w:themeColor="dark1"/>
                <w:kern w:val="24"/>
                <w:sz w:val="20"/>
                <w:szCs w:val="20"/>
                <w:lang w:eastAsia="en-AU"/>
              </w:rPr>
              <w:t xml:space="preserve"> - household wealth ($k per household)</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200</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600</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200</w:t>
            </w:r>
          </w:p>
        </w:tc>
      </w:tr>
      <w:tr w:rsidR="00E755E8" w:rsidRPr="00EB5737" w:rsidTr="00191B3B">
        <w:trPr>
          <w:trHeight w:val="284"/>
        </w:trPr>
        <w:tc>
          <w:tcPr>
            <w:tcW w:w="49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xml:space="preserve">south - </w:t>
            </w:r>
            <w:proofErr w:type="spellStart"/>
            <w:r w:rsidRPr="00EB5737">
              <w:rPr>
                <w:rFonts w:ascii="Calibri" w:eastAsia="Times New Roman" w:hAnsi="Calibri" w:cs="Arial"/>
                <w:color w:val="000000" w:themeColor="dark1"/>
                <w:kern w:val="24"/>
                <w:sz w:val="20"/>
                <w:szCs w:val="20"/>
                <w:lang w:eastAsia="en-AU"/>
              </w:rPr>
              <w:t>QoL</w:t>
            </w:r>
            <w:proofErr w:type="spellEnd"/>
            <w:r w:rsidRPr="00EB5737">
              <w:rPr>
                <w:rFonts w:ascii="Calibri" w:eastAsia="Times New Roman" w:hAnsi="Calibri" w:cs="Arial"/>
                <w:color w:val="000000" w:themeColor="dark1"/>
                <w:kern w:val="24"/>
                <w:sz w:val="20"/>
                <w:szCs w:val="20"/>
                <w:lang w:eastAsia="en-AU"/>
              </w:rPr>
              <w:t xml:space="preserve"> - household wealth ($k per household)</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400</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600</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600</w:t>
            </w:r>
          </w:p>
        </w:tc>
      </w:tr>
      <w:tr w:rsidR="00E755E8" w:rsidRPr="00EB5737" w:rsidTr="00191B3B">
        <w:trPr>
          <w:trHeight w:val="284"/>
        </w:trPr>
        <w:tc>
          <w:tcPr>
            <w:tcW w:w="49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xml:space="preserve">north - </w:t>
            </w:r>
            <w:proofErr w:type="spellStart"/>
            <w:r w:rsidRPr="00EB5737">
              <w:rPr>
                <w:rFonts w:ascii="Calibri" w:eastAsia="Times New Roman" w:hAnsi="Calibri" w:cs="Arial"/>
                <w:color w:val="000000" w:themeColor="dark1"/>
                <w:kern w:val="24"/>
                <w:sz w:val="20"/>
                <w:szCs w:val="20"/>
                <w:lang w:eastAsia="en-AU"/>
              </w:rPr>
              <w:t>QoL</w:t>
            </w:r>
            <w:proofErr w:type="spellEnd"/>
            <w:r w:rsidRPr="00EB5737">
              <w:rPr>
                <w:rFonts w:ascii="Calibri" w:eastAsia="Times New Roman" w:hAnsi="Calibri" w:cs="Arial"/>
                <w:color w:val="000000" w:themeColor="dark1"/>
                <w:kern w:val="24"/>
                <w:sz w:val="20"/>
                <w:szCs w:val="20"/>
                <w:lang w:eastAsia="en-AU"/>
              </w:rPr>
              <w:t xml:space="preserve"> - amenity (constructed scale)</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5</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1</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5</w:t>
            </w:r>
          </w:p>
        </w:tc>
      </w:tr>
      <w:tr w:rsidR="00E755E8" w:rsidRPr="00EB5737" w:rsidTr="00191B3B">
        <w:trPr>
          <w:trHeight w:val="284"/>
        </w:trPr>
        <w:tc>
          <w:tcPr>
            <w:tcW w:w="49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xml:space="preserve">south - </w:t>
            </w:r>
            <w:proofErr w:type="spellStart"/>
            <w:r w:rsidRPr="00EB5737">
              <w:rPr>
                <w:rFonts w:ascii="Calibri" w:eastAsia="Times New Roman" w:hAnsi="Calibri" w:cs="Arial"/>
                <w:color w:val="000000" w:themeColor="dark1"/>
                <w:kern w:val="24"/>
                <w:sz w:val="20"/>
                <w:szCs w:val="20"/>
                <w:lang w:eastAsia="en-AU"/>
              </w:rPr>
              <w:t>QoL</w:t>
            </w:r>
            <w:proofErr w:type="spellEnd"/>
            <w:r w:rsidRPr="00EB5737">
              <w:rPr>
                <w:rFonts w:ascii="Calibri" w:eastAsia="Times New Roman" w:hAnsi="Calibri" w:cs="Arial"/>
                <w:color w:val="000000" w:themeColor="dark1"/>
                <w:kern w:val="24"/>
                <w:sz w:val="20"/>
                <w:szCs w:val="20"/>
                <w:lang w:eastAsia="en-AU"/>
              </w:rPr>
              <w:t xml:space="preserve"> - amenity (constructed scale)</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3</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1</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1</w:t>
            </w:r>
          </w:p>
        </w:tc>
      </w:tr>
      <w:tr w:rsidR="00E755E8" w:rsidRPr="00EB5737" w:rsidTr="00191B3B">
        <w:trPr>
          <w:trHeight w:val="284"/>
        </w:trPr>
        <w:tc>
          <w:tcPr>
            <w:tcW w:w="49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xml:space="preserve">north - </w:t>
            </w:r>
            <w:proofErr w:type="spellStart"/>
            <w:r w:rsidRPr="00EB5737">
              <w:rPr>
                <w:rFonts w:ascii="Calibri" w:eastAsia="Times New Roman" w:hAnsi="Calibri" w:cs="Arial"/>
                <w:color w:val="000000" w:themeColor="dark1"/>
                <w:kern w:val="24"/>
                <w:sz w:val="20"/>
                <w:szCs w:val="20"/>
                <w:lang w:eastAsia="en-AU"/>
              </w:rPr>
              <w:t>QoL</w:t>
            </w:r>
            <w:proofErr w:type="spellEnd"/>
            <w:r w:rsidRPr="00EB5737">
              <w:rPr>
                <w:rFonts w:ascii="Calibri" w:eastAsia="Times New Roman" w:hAnsi="Calibri" w:cs="Arial"/>
                <w:color w:val="000000" w:themeColor="dark1"/>
                <w:kern w:val="24"/>
                <w:sz w:val="20"/>
                <w:szCs w:val="20"/>
                <w:lang w:eastAsia="en-AU"/>
              </w:rPr>
              <w:t xml:space="preserve"> - recreation (quality-adjusted recreation days)</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30</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5</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30</w:t>
            </w:r>
          </w:p>
        </w:tc>
      </w:tr>
      <w:tr w:rsidR="00E755E8" w:rsidRPr="00EB5737" w:rsidTr="00191B3B">
        <w:trPr>
          <w:trHeight w:val="284"/>
        </w:trPr>
        <w:tc>
          <w:tcPr>
            <w:tcW w:w="49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 xml:space="preserve">south - </w:t>
            </w:r>
            <w:proofErr w:type="spellStart"/>
            <w:r w:rsidRPr="00EB5737">
              <w:rPr>
                <w:rFonts w:ascii="Calibri" w:eastAsia="Times New Roman" w:hAnsi="Calibri" w:cs="Arial"/>
                <w:color w:val="000000" w:themeColor="dark1"/>
                <w:kern w:val="24"/>
                <w:sz w:val="20"/>
                <w:szCs w:val="20"/>
                <w:lang w:eastAsia="en-AU"/>
              </w:rPr>
              <w:t>QoL</w:t>
            </w:r>
            <w:proofErr w:type="spellEnd"/>
            <w:r w:rsidRPr="00EB5737">
              <w:rPr>
                <w:rFonts w:ascii="Calibri" w:eastAsia="Times New Roman" w:hAnsi="Calibri" w:cs="Arial"/>
                <w:color w:val="000000" w:themeColor="dark1"/>
                <w:kern w:val="24"/>
                <w:sz w:val="20"/>
                <w:szCs w:val="20"/>
                <w:lang w:eastAsia="en-AU"/>
              </w:rPr>
              <w:t xml:space="preserve"> - recreation (quality-adjusted recreation days)</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15</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5</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5</w:t>
            </w:r>
          </w:p>
        </w:tc>
      </w:tr>
      <w:tr w:rsidR="00E755E8" w:rsidRPr="00EB5737" w:rsidTr="00191B3B">
        <w:trPr>
          <w:trHeight w:val="284"/>
        </w:trPr>
        <w:tc>
          <w:tcPr>
            <w:tcW w:w="49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north - cost of risk mitigation ($M)</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1</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500</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1</w:t>
            </w:r>
          </w:p>
        </w:tc>
      </w:tr>
      <w:tr w:rsidR="00E755E8" w:rsidRPr="00EB5737" w:rsidTr="00191B3B">
        <w:trPr>
          <w:trHeight w:val="284"/>
        </w:trPr>
        <w:tc>
          <w:tcPr>
            <w:tcW w:w="4977"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south - cost of risk mitigation ($M)</w:t>
            </w:r>
          </w:p>
        </w:tc>
        <w:tc>
          <w:tcPr>
            <w:tcW w:w="1134"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5</w:t>
            </w:r>
          </w:p>
        </w:tc>
        <w:tc>
          <w:tcPr>
            <w:tcW w:w="1417"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500</w:t>
            </w:r>
          </w:p>
        </w:tc>
        <w:tc>
          <w:tcPr>
            <w:tcW w:w="1418" w:type="dxa"/>
            <w:tcBorders>
              <w:top w:val="single" w:sz="8" w:space="0" w:color="FFFFFF"/>
              <w:left w:val="single" w:sz="8" w:space="0" w:color="FFFFFF"/>
              <w:bottom w:val="single" w:sz="8" w:space="0" w:color="000000"/>
              <w:right w:val="single" w:sz="8" w:space="0" w:color="FFFFFF"/>
            </w:tcBorders>
            <w:shd w:val="clear" w:color="auto" w:fill="E9EDF4"/>
            <w:tcMar>
              <w:top w:w="15" w:type="dxa"/>
              <w:left w:w="15" w:type="dxa"/>
              <w:bottom w:w="0" w:type="dxa"/>
              <w:right w:w="15" w:type="dxa"/>
            </w:tcMar>
            <w:vAlign w:val="center"/>
            <w:hideMark/>
          </w:tcPr>
          <w:p w:rsidR="00E755E8" w:rsidRPr="00EB5737" w:rsidRDefault="00E755E8" w:rsidP="00191B3B">
            <w:pPr>
              <w:spacing w:after="0" w:line="240" w:lineRule="auto"/>
              <w:jc w:val="center"/>
              <w:textAlignment w:val="bottom"/>
              <w:rPr>
                <w:rFonts w:ascii="Arial" w:eastAsia="Times New Roman" w:hAnsi="Arial" w:cs="Arial"/>
                <w:sz w:val="20"/>
                <w:szCs w:val="20"/>
                <w:lang w:eastAsia="en-AU"/>
              </w:rPr>
            </w:pPr>
            <w:r w:rsidRPr="00EB5737">
              <w:rPr>
                <w:rFonts w:ascii="Calibri" w:eastAsia="Times New Roman" w:hAnsi="Calibri" w:cs="Arial"/>
                <w:color w:val="000000" w:themeColor="dark1"/>
                <w:kern w:val="24"/>
                <w:sz w:val="20"/>
                <w:szCs w:val="20"/>
                <w:lang w:eastAsia="en-AU"/>
              </w:rPr>
              <w:t>500</w:t>
            </w:r>
          </w:p>
        </w:tc>
      </w:tr>
    </w:tbl>
    <w:p w:rsidR="00E755E8" w:rsidRDefault="00E755E8" w:rsidP="00E755E8"/>
    <w:p w:rsidR="00E755E8" w:rsidRDefault="00EF76EA" w:rsidP="00E755E8">
      <w:r>
        <w:t xml:space="preserve">The results of the trade-off exercise may lead to the outcomes shown in Figure </w:t>
      </w:r>
      <w:r w:rsidR="007C31DB">
        <w:t>27</w:t>
      </w:r>
      <w:r>
        <w:t xml:space="preserve">. The social and economic multi-objective value of Alternative B is marginally better than the status quo and distinctly better </w:t>
      </w:r>
      <w:r w:rsidR="00AC3FFC">
        <w:t>than</w:t>
      </w:r>
      <w:r>
        <w:t xml:space="preserve"> Alternative A.  Alternative B emphasises quality of life in the (hypothetical) north region</w:t>
      </w:r>
      <w:r w:rsidR="00AC3FFC">
        <w:t>, and</w:t>
      </w:r>
      <w:r>
        <w:t xml:space="preserve"> provides substantial economic </w:t>
      </w:r>
      <w:r w:rsidR="00AC3FFC">
        <w:t>output with</w:t>
      </w:r>
      <w:r>
        <w:t xml:space="preserve"> reasonable risk mitigation costs. </w:t>
      </w:r>
    </w:p>
    <w:p w:rsidR="00E755E8" w:rsidRDefault="00E755E8" w:rsidP="004847BD">
      <w:pPr>
        <w:jc w:val="center"/>
      </w:pPr>
      <w:r w:rsidRPr="00EB5737">
        <w:rPr>
          <w:noProof/>
          <w:lang w:eastAsia="en-AU"/>
        </w:rPr>
        <w:drawing>
          <wp:inline distT="0" distB="0" distL="0" distR="0">
            <wp:extent cx="3682800" cy="1785600"/>
            <wp:effectExtent l="0" t="0" r="0" b="5715"/>
            <wp:docPr id="12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noChangeArrowheads="1"/>
                    </pic:cNvPicPr>
                  </pic:nvPicPr>
                  <pic:blipFill>
                    <a:blip r:embed="rId8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2800" cy="1785600"/>
                    </a:xfrm>
                    <a:prstGeom prst="rect">
                      <a:avLst/>
                    </a:prstGeom>
                    <a:noFill/>
                    <a:ln>
                      <a:noFill/>
                    </a:ln>
                    <a:effectLst/>
                    <a:extLst/>
                  </pic:spPr>
                </pic:pic>
              </a:graphicData>
            </a:graphic>
          </wp:inline>
        </w:drawing>
      </w:r>
    </w:p>
    <w:p w:rsidR="00B97AA1" w:rsidRPr="00EF76EA" w:rsidRDefault="00EF76EA" w:rsidP="00E755E8">
      <w:proofErr w:type="gramStart"/>
      <w:r w:rsidRPr="003B2D2C">
        <w:rPr>
          <w:b/>
          <w:sz w:val="20"/>
          <w:szCs w:val="20"/>
        </w:rPr>
        <w:t xml:space="preserve">Figure </w:t>
      </w:r>
      <w:r w:rsidR="007C31DB" w:rsidRPr="007C31DB">
        <w:rPr>
          <w:b/>
          <w:sz w:val="20"/>
          <w:szCs w:val="20"/>
        </w:rPr>
        <w:t>27</w:t>
      </w:r>
      <w:r w:rsidR="007C31DB">
        <w:rPr>
          <w:sz w:val="20"/>
          <w:szCs w:val="20"/>
        </w:rPr>
        <w:t>.</w:t>
      </w:r>
      <w:proofErr w:type="gramEnd"/>
      <w:r w:rsidRPr="00EF76EA">
        <w:rPr>
          <w:sz w:val="20"/>
          <w:szCs w:val="20"/>
        </w:rPr>
        <w:t xml:space="preserve"> </w:t>
      </w:r>
      <w:r>
        <w:rPr>
          <w:sz w:val="20"/>
          <w:szCs w:val="20"/>
        </w:rPr>
        <w:t>O</w:t>
      </w:r>
      <w:r w:rsidRPr="00EF76EA">
        <w:rPr>
          <w:sz w:val="20"/>
          <w:szCs w:val="20"/>
        </w:rPr>
        <w:t xml:space="preserve">utcomes of a </w:t>
      </w:r>
      <w:r>
        <w:rPr>
          <w:sz w:val="20"/>
          <w:szCs w:val="20"/>
        </w:rPr>
        <w:t xml:space="preserve">structured decision-making exercise identifying a preferred development scenario (Alternative B) that balances economic output and quality of life across two hypothetical regions, within environmental constraints.  </w:t>
      </w:r>
    </w:p>
    <w:p w:rsidR="00B97AA1" w:rsidRDefault="00EF76EA" w:rsidP="00E755E8">
      <w:r>
        <w:lastRenderedPageBreak/>
        <w:t xml:space="preserve">If Alternative B is adopted as the broad development </w:t>
      </w:r>
      <w:r w:rsidR="00802C99">
        <w:t>s</w:t>
      </w:r>
      <w:r>
        <w:t xml:space="preserve">trategy for our two hypothetical regions, the Queensland and Commonwealth governments have clear social and economic targets </w:t>
      </w:r>
      <w:r w:rsidR="00802C99">
        <w:t>(i.e. the consequences liste</w:t>
      </w:r>
      <w:r w:rsidR="00180AF3">
        <w:t>d under Alternative B in Table 9</w:t>
      </w:r>
      <w:r w:rsidR="00802C99">
        <w:t xml:space="preserve">) </w:t>
      </w:r>
      <w:r>
        <w:t xml:space="preserve">against which monitoring </w:t>
      </w:r>
      <w:r w:rsidR="00802C99">
        <w:t>can be undertaken, alongside corresponding targets associated with environmental outcomes.  As events unfold, managers can adjust adaptively to social and economic surprises in the same way we have described adaptive management for environmental outcomes.</w:t>
      </w:r>
    </w:p>
    <w:p w:rsidR="00B651B2" w:rsidRDefault="00B651B2" w:rsidP="003A22E1">
      <w:pPr>
        <w:pStyle w:val="Heading1"/>
        <w:spacing w:before="0" w:after="240"/>
      </w:pPr>
    </w:p>
    <w:p w:rsidR="007070D2" w:rsidRPr="003A22E1" w:rsidRDefault="008C3875" w:rsidP="003A22E1">
      <w:pPr>
        <w:pStyle w:val="Heading1"/>
        <w:spacing w:before="0" w:after="240"/>
      </w:pPr>
      <w:bookmarkStart w:id="24" w:name="_Toc406768051"/>
      <w:proofErr w:type="gramStart"/>
      <w:r>
        <w:t>6</w:t>
      </w:r>
      <w:r w:rsidR="006F3A96">
        <w:t xml:space="preserve">.0  </w:t>
      </w:r>
      <w:r w:rsidR="007D4AA7" w:rsidRPr="007D4AA7">
        <w:t>Integration</w:t>
      </w:r>
      <w:proofErr w:type="gramEnd"/>
      <w:r w:rsidR="007D4AA7" w:rsidRPr="007D4AA7">
        <w:t xml:space="preserve"> with reporting</w:t>
      </w:r>
      <w:bookmarkEnd w:id="24"/>
    </w:p>
    <w:p w:rsidR="003A22E1" w:rsidRDefault="003A22E1" w:rsidP="003A22E1">
      <w:pPr>
        <w:pStyle w:val="NormalWeb"/>
        <w:spacing w:before="0" w:beforeAutospacing="0" w:after="200" w:afterAutospacing="0" w:line="276" w:lineRule="auto"/>
        <w:rPr>
          <w:rFonts w:asciiTheme="minorHAnsi" w:hAnsiTheme="minorHAnsi"/>
          <w:sz w:val="22"/>
          <w:szCs w:val="22"/>
        </w:rPr>
      </w:pPr>
      <w:r w:rsidRPr="003A22E1">
        <w:rPr>
          <w:rFonts w:ascii="Calibri" w:hAnsi="Calibri"/>
          <w:color w:val="000000"/>
          <w:kern w:val="24"/>
          <w:sz w:val="22"/>
          <w:szCs w:val="22"/>
        </w:rPr>
        <w:t xml:space="preserve">Environmental managers draw on an array of information </w:t>
      </w:r>
      <w:proofErr w:type="gramStart"/>
      <w:r w:rsidRPr="003A22E1">
        <w:rPr>
          <w:rFonts w:ascii="Calibri" w:hAnsi="Calibri"/>
          <w:color w:val="000000"/>
          <w:kern w:val="24"/>
          <w:sz w:val="22"/>
          <w:szCs w:val="22"/>
        </w:rPr>
        <w:t>sources,</w:t>
      </w:r>
      <w:proofErr w:type="gramEnd"/>
      <w:r w:rsidRPr="003A22E1">
        <w:rPr>
          <w:rFonts w:ascii="Calibri" w:hAnsi="Calibri"/>
          <w:color w:val="000000"/>
          <w:kern w:val="24"/>
          <w:sz w:val="22"/>
          <w:szCs w:val="22"/>
        </w:rPr>
        <w:t xml:space="preserve"> however these are often from one-off research projects, or from monitoring programs </w:t>
      </w:r>
      <w:r w:rsidR="00B651B2">
        <w:rPr>
          <w:rFonts w:ascii="Calibri" w:hAnsi="Calibri"/>
          <w:color w:val="000000"/>
          <w:kern w:val="24"/>
          <w:sz w:val="22"/>
          <w:szCs w:val="22"/>
        </w:rPr>
        <w:t>where</w:t>
      </w:r>
      <w:r w:rsidRPr="003A22E1">
        <w:rPr>
          <w:rFonts w:ascii="Calibri" w:hAnsi="Calibri"/>
          <w:color w:val="000000"/>
          <w:kern w:val="24"/>
          <w:sz w:val="22"/>
          <w:szCs w:val="22"/>
        </w:rPr>
        <w:t xml:space="preserve"> results</w:t>
      </w:r>
      <w:r w:rsidR="00B651B2">
        <w:rPr>
          <w:rFonts w:ascii="Calibri" w:hAnsi="Calibri"/>
          <w:color w:val="000000"/>
          <w:kern w:val="24"/>
          <w:sz w:val="22"/>
          <w:szCs w:val="22"/>
        </w:rPr>
        <w:t xml:space="preserve"> are opaque or inaccessible</w:t>
      </w:r>
      <w:r w:rsidRPr="003A22E1">
        <w:rPr>
          <w:rFonts w:ascii="Calibri" w:hAnsi="Calibri"/>
          <w:color w:val="000000"/>
          <w:kern w:val="24"/>
          <w:sz w:val="22"/>
          <w:szCs w:val="22"/>
        </w:rPr>
        <w:t xml:space="preserve">. </w:t>
      </w:r>
      <w:r w:rsidR="007070D2" w:rsidRPr="003A22E1">
        <w:rPr>
          <w:rFonts w:asciiTheme="minorHAnsi" w:hAnsiTheme="minorHAnsi"/>
          <w:sz w:val="22"/>
          <w:szCs w:val="22"/>
        </w:rPr>
        <w:t>There is currently intense inter</w:t>
      </w:r>
      <w:r w:rsidR="00F772EB">
        <w:rPr>
          <w:rFonts w:asciiTheme="minorHAnsi" w:hAnsiTheme="minorHAnsi"/>
          <w:sz w:val="22"/>
          <w:szCs w:val="22"/>
        </w:rPr>
        <w:t>est in developing new methods that</w:t>
      </w:r>
      <w:r w:rsidR="002330B2">
        <w:rPr>
          <w:rFonts w:asciiTheme="minorHAnsi" w:hAnsiTheme="minorHAnsi"/>
          <w:sz w:val="22"/>
          <w:szCs w:val="22"/>
        </w:rPr>
        <w:t xml:space="preserve"> support </w:t>
      </w:r>
      <w:r w:rsidR="007070D2" w:rsidRPr="003A22E1">
        <w:rPr>
          <w:rFonts w:asciiTheme="minorHAnsi" w:hAnsiTheme="minorHAnsi"/>
          <w:sz w:val="22"/>
          <w:szCs w:val="22"/>
        </w:rPr>
        <w:t xml:space="preserve">integrated monitoring </w:t>
      </w:r>
      <w:r w:rsidR="002330B2">
        <w:rPr>
          <w:rFonts w:asciiTheme="minorHAnsi" w:hAnsiTheme="minorHAnsi"/>
          <w:sz w:val="22"/>
          <w:szCs w:val="22"/>
        </w:rPr>
        <w:t xml:space="preserve">and </w:t>
      </w:r>
      <w:r w:rsidR="007070D2" w:rsidRPr="003A22E1">
        <w:rPr>
          <w:rFonts w:asciiTheme="minorHAnsi" w:hAnsiTheme="minorHAnsi"/>
          <w:sz w:val="22"/>
          <w:szCs w:val="22"/>
        </w:rPr>
        <w:t>that better utilise and combine existing information from</w:t>
      </w:r>
      <w:r w:rsidRPr="003A22E1">
        <w:rPr>
          <w:rFonts w:asciiTheme="minorHAnsi" w:hAnsiTheme="minorHAnsi"/>
          <w:sz w:val="22"/>
          <w:szCs w:val="22"/>
        </w:rPr>
        <w:t xml:space="preserve"> multiple sources and sensors. </w:t>
      </w:r>
      <w:r w:rsidR="00C06A7C" w:rsidRPr="003A22E1">
        <w:rPr>
          <w:rFonts w:ascii="Calibri" w:hAnsi="Calibri"/>
          <w:color w:val="000000"/>
          <w:kern w:val="24"/>
          <w:sz w:val="22"/>
          <w:szCs w:val="22"/>
        </w:rPr>
        <w:t>The key to achieving an integrated monitoring program, at least from a data and visualisation perspective, is that the whole of the data, to analysis, to modelling, to reporting needs to be made ro</w:t>
      </w:r>
      <w:r w:rsidRPr="003A22E1">
        <w:rPr>
          <w:rFonts w:ascii="Calibri" w:hAnsi="Calibri"/>
          <w:color w:val="000000"/>
          <w:kern w:val="24"/>
          <w:sz w:val="22"/>
          <w:szCs w:val="22"/>
        </w:rPr>
        <w:t xml:space="preserve">utine. </w:t>
      </w:r>
    </w:p>
    <w:p w:rsidR="00F772EB" w:rsidRDefault="00F772EB" w:rsidP="003A22E1">
      <w:r w:rsidRPr="006A1EB4">
        <w:t xml:space="preserve">Report cards are now a common tool used to assist with integrating monitoring results into natural resource </w:t>
      </w:r>
      <w:r w:rsidRPr="00A0456F">
        <w:t xml:space="preserve">management in Australia (e.g., </w:t>
      </w:r>
      <w:r w:rsidRPr="00262665">
        <w:t>Ecosystem Health Monitoring Program 2012; GBRMPA 2014</w:t>
      </w:r>
      <w:r w:rsidRPr="004962D8">
        <w:t xml:space="preserve">) and around the globe (e.g., </w:t>
      </w:r>
      <w:proofErr w:type="spellStart"/>
      <w:r w:rsidRPr="00262665">
        <w:t>Gittings</w:t>
      </w:r>
      <w:proofErr w:type="spellEnd"/>
      <w:r w:rsidRPr="00262665">
        <w:t xml:space="preserve"> et al. 2013; Healthy Reefs Initiative 2012</w:t>
      </w:r>
      <w:r w:rsidRPr="0021010C">
        <w:t xml:space="preserve">). Report cards </w:t>
      </w:r>
      <w:r w:rsidRPr="006B707F">
        <w:t xml:space="preserve">rely on a strong process/framework to </w:t>
      </w:r>
      <w:r>
        <w:t xml:space="preserve">integrate </w:t>
      </w:r>
      <w:r w:rsidRPr="003A22E1">
        <w:t>multiple sources</w:t>
      </w:r>
      <w:r>
        <w:t xml:space="preserve"> of information, assist with the evaluation of ecosystem condition and trend, and effectively synthesize results for communication to the general public (</w:t>
      </w:r>
      <w:proofErr w:type="spellStart"/>
      <w:r w:rsidRPr="00262665">
        <w:t>Carruthers</w:t>
      </w:r>
      <w:proofErr w:type="spellEnd"/>
      <w:r w:rsidRPr="00262665">
        <w:t xml:space="preserve"> et al. 2013; Carter et al. 2007; </w:t>
      </w:r>
      <w:proofErr w:type="spellStart"/>
      <w:r w:rsidRPr="00262665">
        <w:t>Lookingbill</w:t>
      </w:r>
      <w:proofErr w:type="spellEnd"/>
      <w:r w:rsidRPr="00262665">
        <w:t xml:space="preserve"> et al. 2014</w:t>
      </w:r>
      <w:r>
        <w:t>).</w:t>
      </w:r>
    </w:p>
    <w:p w:rsidR="009269C3" w:rsidRDefault="000B7B84" w:rsidP="003A22E1">
      <w:r>
        <w:t xml:space="preserve">The target audience for report cards includes key stakeholders and the broader public.  The motivation for report cards is often as much about mobilising public sentiment as informing management.  </w:t>
      </w:r>
      <w:r w:rsidR="009269C3">
        <w:t>The preceding sections of t</w:t>
      </w:r>
      <w:r>
        <w:t>his report ha</w:t>
      </w:r>
      <w:r w:rsidR="009269C3">
        <w:t>ve</w:t>
      </w:r>
      <w:r>
        <w:t xml:space="preserve"> been </w:t>
      </w:r>
      <w:r w:rsidR="009269C3">
        <w:t xml:space="preserve">primarily </w:t>
      </w:r>
      <w:r>
        <w:t>concerned with development of an informed basis for the allocation of scarce monitoring and management resources.  The statistical detail and decision science underpinning r</w:t>
      </w:r>
      <w:r w:rsidR="009269C3">
        <w:t>esource allocation</w:t>
      </w:r>
      <w:r>
        <w:t xml:space="preserve"> is too detailed for routine reporting to audiences beyond senior managers and decision-makers.  </w:t>
      </w:r>
    </w:p>
    <w:p w:rsidR="00335F2C" w:rsidRDefault="000B7B84">
      <w:r>
        <w:t xml:space="preserve">Substantial progress has been made in developing metrics and indices that more effectively communicate status and trend to a broad cross-section of stakeholders.  </w:t>
      </w:r>
      <w:r w:rsidR="009269C3">
        <w:t>While these initiatives often</w:t>
      </w:r>
      <w:r w:rsidR="00A013B7">
        <w:t xml:space="preserve"> entail some</w:t>
      </w:r>
      <w:r w:rsidR="009269C3">
        <w:t xml:space="preserve"> loss of resolution, the gains in collective understanding of key ecosyste</w:t>
      </w:r>
      <w:r w:rsidR="00FC2BE6">
        <w:t>m stressors and responses can readily justify their deployment.  For example, t</w:t>
      </w:r>
      <w:r>
        <w:t xml:space="preserve">he </w:t>
      </w:r>
      <w:r w:rsidR="009269C3">
        <w:t xml:space="preserve">ordinal descriptors of condition and </w:t>
      </w:r>
      <w:r w:rsidR="009269C3" w:rsidRPr="00A013B7">
        <w:t xml:space="preserve">trend used in </w:t>
      </w:r>
      <w:r w:rsidRPr="00A013B7">
        <w:t xml:space="preserve">the Outlook report </w:t>
      </w:r>
      <w:r w:rsidR="009269C3" w:rsidRPr="00A013B7">
        <w:t>(</w:t>
      </w:r>
      <w:r w:rsidR="00A013B7" w:rsidRPr="00A013B7">
        <w:t>GBRMPA 2014</w:t>
      </w:r>
      <w:r w:rsidR="009269C3" w:rsidRPr="00A013B7">
        <w:t>)</w:t>
      </w:r>
      <w:r w:rsidR="00FC2BE6" w:rsidRPr="00A013B7">
        <w:t xml:space="preserve"> are</w:t>
      </w:r>
      <w:r w:rsidRPr="00A013B7">
        <w:t xml:space="preserve"> </w:t>
      </w:r>
      <w:r w:rsidR="00681AF6" w:rsidRPr="00A013B7">
        <w:t>firmly ent</w:t>
      </w:r>
      <w:r w:rsidRPr="00A013B7">
        <w:t>r</w:t>
      </w:r>
      <w:r w:rsidR="00FC2BE6" w:rsidRPr="00A013B7">
        <w:t>enched and broadly accepted as</w:t>
      </w:r>
      <w:r w:rsidRPr="00A013B7">
        <w:t xml:space="preserve"> credible</w:t>
      </w:r>
      <w:r w:rsidR="00FC2BE6" w:rsidRPr="00A013B7">
        <w:t>.  The MMP assigns equal weight to abundance, reproductive effort and nutrient status in its aggregated index of seagrass status (</w:t>
      </w:r>
      <w:r w:rsidR="00A013B7" w:rsidRPr="00A013B7">
        <w:t>McKenzie et al. 2014</w:t>
      </w:r>
      <w:r w:rsidR="00FC2BE6" w:rsidRPr="00A013B7">
        <w:t>).  Its summary water quality index (</w:t>
      </w:r>
      <w:r w:rsidR="00A013B7" w:rsidRPr="00A013B7">
        <w:t>Thompson et al. 2013</w:t>
      </w:r>
      <w:r w:rsidR="00FC2BE6" w:rsidRPr="00A013B7">
        <w:t xml:space="preserve">) aggregates scores for concentrations of particulate phosphorus, particulate nitrogen and chlorophyll and a combined water clarity indicator (suspended solids, turbidity and </w:t>
      </w:r>
      <w:proofErr w:type="spellStart"/>
      <w:r w:rsidR="00FC2BE6" w:rsidRPr="00A013B7">
        <w:t>Secchi</w:t>
      </w:r>
      <w:proofErr w:type="spellEnd"/>
      <w:r w:rsidR="00FC2BE6" w:rsidRPr="00A013B7">
        <w:t xml:space="preserve"> depth), relative to guideline values (GBRMPA 2010).  </w:t>
      </w:r>
      <w:r w:rsidR="00681AF6" w:rsidRPr="00A013B7">
        <w:t xml:space="preserve">And its </w:t>
      </w:r>
      <w:r w:rsidR="00FC2BE6" w:rsidRPr="00A013B7">
        <w:t xml:space="preserve">coral health index aggregates coral cover, cover of </w:t>
      </w:r>
      <w:proofErr w:type="spellStart"/>
      <w:r w:rsidR="00FC2BE6" w:rsidRPr="00A013B7">
        <w:t>macroalgae</w:t>
      </w:r>
      <w:proofErr w:type="spellEnd"/>
      <w:r w:rsidR="00FC2BE6" w:rsidRPr="00A013B7">
        <w:t xml:space="preserve">, density of juvenile corals and the rate of coral cover increase.  Challenges remain in the independent validation of these metrics and </w:t>
      </w:r>
      <w:proofErr w:type="gramStart"/>
      <w:r w:rsidR="00FC2BE6" w:rsidRPr="00A013B7">
        <w:t>indices,</w:t>
      </w:r>
      <w:proofErr w:type="gramEnd"/>
      <w:r w:rsidR="00FC2BE6" w:rsidRPr="00A013B7">
        <w:t xml:space="preserve"> and in the characterisation of their </w:t>
      </w:r>
      <w:r w:rsidR="00681AF6" w:rsidRPr="00A013B7">
        <w:t>s</w:t>
      </w:r>
      <w:r w:rsidR="00FC2BE6" w:rsidRPr="00A013B7">
        <w:t>tatistical precision (</w:t>
      </w:r>
      <w:proofErr w:type="spellStart"/>
      <w:r w:rsidR="00681AF6" w:rsidRPr="00A013B7">
        <w:t>Borja</w:t>
      </w:r>
      <w:proofErr w:type="spellEnd"/>
      <w:r w:rsidR="00681AF6" w:rsidRPr="00A013B7">
        <w:t xml:space="preserve"> et al. 2009, Fox 2013</w:t>
      </w:r>
      <w:r w:rsidR="00FC2BE6" w:rsidRPr="00A013B7">
        <w:t xml:space="preserve">).  Efforts to address these challenges represent a key </w:t>
      </w:r>
      <w:r w:rsidR="00681AF6" w:rsidRPr="00A013B7">
        <w:t xml:space="preserve">priority for applied </w:t>
      </w:r>
      <w:r w:rsidR="00FC2BE6" w:rsidRPr="00A013B7">
        <w:t>res</w:t>
      </w:r>
      <w:r w:rsidR="00681AF6" w:rsidRPr="00A013B7">
        <w:t>earch informing ongoing refinement of the IMP.</w:t>
      </w:r>
      <w:r w:rsidR="00335F2C">
        <w:br w:type="page"/>
      </w:r>
    </w:p>
    <w:p w:rsidR="00C06A7C" w:rsidRPr="00F772EB" w:rsidRDefault="00681AF6" w:rsidP="00F772EB">
      <w:pPr>
        <w:pStyle w:val="NormalWeb"/>
        <w:spacing w:before="0" w:beforeAutospacing="0" w:after="200" w:afterAutospacing="0" w:line="276" w:lineRule="auto"/>
        <w:rPr>
          <w:rFonts w:asciiTheme="minorHAnsi" w:hAnsiTheme="minorHAnsi"/>
          <w:color w:val="000000"/>
          <w:kern w:val="24"/>
          <w:sz w:val="22"/>
          <w:szCs w:val="22"/>
        </w:rPr>
      </w:pPr>
      <w:r>
        <w:rPr>
          <w:rFonts w:asciiTheme="minorHAnsi" w:hAnsiTheme="minorHAnsi"/>
          <w:sz w:val="22"/>
          <w:szCs w:val="22"/>
        </w:rPr>
        <w:lastRenderedPageBreak/>
        <w:t>Irrespective of format or granularity, h</w:t>
      </w:r>
      <w:r w:rsidR="00F772EB" w:rsidRPr="00F772EB">
        <w:rPr>
          <w:rFonts w:asciiTheme="minorHAnsi" w:hAnsiTheme="minorHAnsi"/>
          <w:sz w:val="22"/>
          <w:szCs w:val="22"/>
        </w:rPr>
        <w:t>ere we propose a process of</w:t>
      </w:r>
      <w:r w:rsidR="00F772EB" w:rsidRPr="00F772EB">
        <w:rPr>
          <w:rFonts w:asciiTheme="minorHAnsi" w:hAnsiTheme="minorHAnsi"/>
          <w:color w:val="000000"/>
          <w:kern w:val="24"/>
          <w:sz w:val="22"/>
          <w:szCs w:val="22"/>
        </w:rPr>
        <w:t xml:space="preserve"> data collection </w:t>
      </w:r>
      <w:r w:rsidR="00FC2BE6">
        <w:rPr>
          <w:rFonts w:asciiTheme="minorHAnsi" w:hAnsiTheme="minorHAnsi"/>
          <w:color w:val="000000"/>
          <w:kern w:val="24"/>
          <w:sz w:val="22"/>
          <w:szCs w:val="22"/>
        </w:rPr>
        <w:t xml:space="preserve">and dissemination </w:t>
      </w:r>
      <w:r w:rsidR="00F772EB" w:rsidRPr="00F772EB">
        <w:rPr>
          <w:rFonts w:asciiTheme="minorHAnsi" w:hAnsiTheme="minorHAnsi"/>
          <w:color w:val="000000"/>
          <w:kern w:val="24"/>
          <w:sz w:val="22"/>
          <w:szCs w:val="22"/>
        </w:rPr>
        <w:t xml:space="preserve">through to management as a supply chain (Figure </w:t>
      </w:r>
      <w:r w:rsidR="007C31DB">
        <w:rPr>
          <w:rFonts w:asciiTheme="minorHAnsi" w:hAnsiTheme="minorHAnsi"/>
          <w:color w:val="000000"/>
          <w:kern w:val="24"/>
          <w:sz w:val="22"/>
          <w:szCs w:val="22"/>
        </w:rPr>
        <w:t>28</w:t>
      </w:r>
      <w:r w:rsidR="00F772EB" w:rsidRPr="00F772EB">
        <w:rPr>
          <w:rFonts w:asciiTheme="minorHAnsi" w:hAnsiTheme="minorHAnsi"/>
          <w:color w:val="000000"/>
          <w:kern w:val="24"/>
          <w:sz w:val="22"/>
          <w:szCs w:val="22"/>
        </w:rPr>
        <w:t>). Monitoring data</w:t>
      </w:r>
      <w:r w:rsidR="00D608DC">
        <w:rPr>
          <w:rFonts w:asciiTheme="minorHAnsi" w:hAnsiTheme="minorHAnsi"/>
          <w:color w:val="000000"/>
          <w:kern w:val="24"/>
          <w:sz w:val="22"/>
          <w:szCs w:val="22"/>
        </w:rPr>
        <w:t xml:space="preserve"> can be </w:t>
      </w:r>
      <w:r w:rsidR="00F772EB" w:rsidRPr="00F772EB">
        <w:rPr>
          <w:rFonts w:asciiTheme="minorHAnsi" w:hAnsiTheme="minorHAnsi"/>
          <w:color w:val="000000"/>
          <w:kern w:val="24"/>
          <w:sz w:val="22"/>
          <w:szCs w:val="22"/>
        </w:rPr>
        <w:t>collected manually or automated in the f</w:t>
      </w:r>
      <w:r w:rsidR="00B651B2">
        <w:rPr>
          <w:rFonts w:asciiTheme="minorHAnsi" w:hAnsiTheme="minorHAnsi"/>
          <w:color w:val="000000"/>
          <w:kern w:val="24"/>
          <w:sz w:val="22"/>
          <w:szCs w:val="22"/>
        </w:rPr>
        <w:t xml:space="preserve">ield and captured as raw data. </w:t>
      </w:r>
      <w:r w:rsidR="00F772EB" w:rsidRPr="00F772EB">
        <w:rPr>
          <w:rFonts w:asciiTheme="minorHAnsi" w:hAnsiTheme="minorHAnsi"/>
          <w:sz w:val="22"/>
          <w:szCs w:val="22"/>
        </w:rPr>
        <w:t xml:space="preserve">A crucial aspect of any program designed to integrate multiple sources of information is that the data must meet a specified level of quality. A substantial amount of work has been undertaken in Europe regarding the quality assurance of marine biological monitoring data used in environmental decision-making (Addison 2010).  Quality Assurance in marine biology should be considered the systematic examination and evaluation of all </w:t>
      </w:r>
      <w:r w:rsidR="00D608DC">
        <w:rPr>
          <w:rFonts w:asciiTheme="minorHAnsi" w:hAnsiTheme="minorHAnsi"/>
          <w:sz w:val="22"/>
          <w:szCs w:val="22"/>
        </w:rPr>
        <w:t>aspects of a monitoring program</w:t>
      </w:r>
      <w:r w:rsidR="00F772EB" w:rsidRPr="00F772EB">
        <w:rPr>
          <w:rFonts w:asciiTheme="minorHAnsi" w:hAnsiTheme="minorHAnsi"/>
          <w:sz w:val="22"/>
          <w:szCs w:val="22"/>
        </w:rPr>
        <w:t xml:space="preserve"> (from survey design, field methods, laboratory methods, data analysis and storage) to ensure that standards of data quality and comparability between organisations are being met. Such quality assurance will provide confidence in the evidence-base used to inform adaptive management.</w:t>
      </w:r>
    </w:p>
    <w:p w:rsidR="00C06A7C" w:rsidRPr="003A22E1" w:rsidRDefault="00C06A7C" w:rsidP="004847BD">
      <w:pPr>
        <w:pStyle w:val="NormalWeb"/>
        <w:keepNext/>
        <w:spacing w:before="0" w:beforeAutospacing="0" w:after="200" w:afterAutospacing="0" w:line="276" w:lineRule="auto"/>
        <w:jc w:val="center"/>
        <w:rPr>
          <w:sz w:val="22"/>
          <w:szCs w:val="22"/>
        </w:rPr>
      </w:pPr>
      <w:r w:rsidRPr="003A22E1">
        <w:rPr>
          <w:rFonts w:ascii="Calibri" w:hAnsi="Calibri"/>
          <w:noProof/>
          <w:color w:val="000000"/>
          <w:kern w:val="24"/>
          <w:sz w:val="22"/>
          <w:szCs w:val="22"/>
        </w:rPr>
        <w:drawing>
          <wp:inline distT="0" distB="0" distL="0" distR="0">
            <wp:extent cx="3484800" cy="26136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S Supply Chain.tif"/>
                    <pic:cNvPicPr/>
                  </pic:nvPicPr>
                  <pic:blipFill>
                    <a:blip r:embed="rId8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84800" cy="2613600"/>
                    </a:xfrm>
                    <a:prstGeom prst="rect">
                      <a:avLst/>
                    </a:prstGeom>
                  </pic:spPr>
                </pic:pic>
              </a:graphicData>
            </a:graphic>
          </wp:inline>
        </w:drawing>
      </w:r>
    </w:p>
    <w:p w:rsidR="00C06A7C" w:rsidRPr="00802C99" w:rsidRDefault="003A22E1" w:rsidP="003A22E1">
      <w:pPr>
        <w:pStyle w:val="Caption"/>
        <w:spacing w:line="276" w:lineRule="auto"/>
        <w:rPr>
          <w:rFonts w:ascii="Calibri" w:hAnsi="Calibri"/>
          <w:b w:val="0"/>
          <w:color w:val="auto"/>
          <w:kern w:val="24"/>
          <w:sz w:val="20"/>
          <w:szCs w:val="20"/>
        </w:rPr>
      </w:pPr>
      <w:proofErr w:type="gramStart"/>
      <w:r w:rsidRPr="00802C99">
        <w:rPr>
          <w:color w:val="auto"/>
          <w:sz w:val="20"/>
          <w:szCs w:val="20"/>
        </w:rPr>
        <w:t xml:space="preserve">Figure </w:t>
      </w:r>
      <w:r w:rsidR="007C31DB">
        <w:rPr>
          <w:color w:val="auto"/>
          <w:sz w:val="20"/>
          <w:szCs w:val="20"/>
        </w:rPr>
        <w:t>28</w:t>
      </w:r>
      <w:r w:rsidRPr="00802C99">
        <w:rPr>
          <w:color w:val="auto"/>
          <w:sz w:val="20"/>
          <w:szCs w:val="20"/>
        </w:rPr>
        <w:t>.</w:t>
      </w:r>
      <w:proofErr w:type="gramEnd"/>
      <w:r w:rsidRPr="00802C99">
        <w:rPr>
          <w:b w:val="0"/>
          <w:color w:val="auto"/>
          <w:sz w:val="20"/>
          <w:szCs w:val="20"/>
        </w:rPr>
        <w:t xml:space="preserve"> </w:t>
      </w:r>
      <w:r w:rsidR="00C06A7C" w:rsidRPr="00802C99">
        <w:rPr>
          <w:b w:val="0"/>
          <w:color w:val="auto"/>
          <w:sz w:val="20"/>
          <w:szCs w:val="20"/>
        </w:rPr>
        <w:t>Monitoring, modelling a</w:t>
      </w:r>
      <w:r w:rsidR="00D608DC">
        <w:rPr>
          <w:b w:val="0"/>
          <w:color w:val="auto"/>
          <w:sz w:val="20"/>
          <w:szCs w:val="20"/>
        </w:rPr>
        <w:t>nd management supply chain from</w:t>
      </w:r>
      <w:r w:rsidR="00C06A7C" w:rsidRPr="00802C99">
        <w:rPr>
          <w:b w:val="0"/>
          <w:noProof/>
          <w:color w:val="auto"/>
          <w:sz w:val="20"/>
          <w:szCs w:val="20"/>
        </w:rPr>
        <w:t xml:space="preserve"> raw data to outcome reporting.  Requirements for consistent meaningful reporting include known data requirements, adhered to standards, scripts to perform required analyses for modelling and reports to expected outputs for management needs.</w:t>
      </w:r>
    </w:p>
    <w:p w:rsidR="003A22E1" w:rsidRPr="00802C99" w:rsidRDefault="003A22E1" w:rsidP="003A22E1">
      <w:pPr>
        <w:pStyle w:val="NormalWeb"/>
        <w:spacing w:before="0" w:beforeAutospacing="0" w:after="200" w:afterAutospacing="0" w:line="276" w:lineRule="auto"/>
        <w:rPr>
          <w:sz w:val="22"/>
          <w:szCs w:val="22"/>
        </w:rPr>
      </w:pPr>
      <w:r w:rsidRPr="00802C99">
        <w:rPr>
          <w:rFonts w:ascii="Calibri" w:hAnsi="Calibri"/>
          <w:color w:val="000000"/>
          <w:kern w:val="24"/>
          <w:sz w:val="22"/>
          <w:szCs w:val="22"/>
        </w:rPr>
        <w:t>For integration to be achieved the IMP needs to have a set of designated providers that deliver their data in a rigorous manner on a regular schedule. If the data to be delivered is contracted it can be designed in an integrated manner so that the information streams complement each other and facilitate maximum compatibility for performance integrated analysis. While some of the data streams will be able to be automated as data services, many will still remain manual due to the nature of the field work being undertaken and the level of IT support associated with each data provider. This does not prevent the automation of the rest of the knowledge supply chain as data would be checked upon upload into the system, allowing subsequent processes to automatically process the data.</w:t>
      </w:r>
    </w:p>
    <w:p w:rsidR="00C06A7C" w:rsidRPr="00802C99" w:rsidRDefault="00F772EB" w:rsidP="003A22E1">
      <w:pPr>
        <w:pStyle w:val="NormalWeb"/>
        <w:spacing w:before="0" w:beforeAutospacing="0" w:after="200" w:afterAutospacing="0" w:line="276" w:lineRule="auto"/>
        <w:rPr>
          <w:rFonts w:ascii="Calibri" w:hAnsi="Calibri"/>
          <w:color w:val="000000"/>
          <w:kern w:val="24"/>
          <w:sz w:val="22"/>
          <w:szCs w:val="22"/>
        </w:rPr>
      </w:pPr>
      <w:r w:rsidRPr="00F772EB">
        <w:rPr>
          <w:rFonts w:ascii="Calibri" w:hAnsi="Calibri"/>
          <w:color w:val="000000"/>
          <w:kern w:val="24"/>
          <w:sz w:val="22"/>
          <w:szCs w:val="22"/>
        </w:rPr>
        <w:t xml:space="preserve">A range of current and future information products, for example coral reef cover sourced from the LTMP for the Outlook Report (GBRMPA 2014), are generated from manual analysis methods.  In the </w:t>
      </w:r>
      <w:r w:rsidR="00822F16">
        <w:rPr>
          <w:rFonts w:ascii="Calibri" w:hAnsi="Calibri"/>
          <w:color w:val="000000"/>
          <w:kern w:val="24"/>
          <w:sz w:val="22"/>
          <w:szCs w:val="22"/>
        </w:rPr>
        <w:t xml:space="preserve">proposed integrated monitoring </w:t>
      </w:r>
      <w:r w:rsidRPr="00F772EB">
        <w:rPr>
          <w:rFonts w:ascii="Calibri" w:hAnsi="Calibri"/>
          <w:color w:val="000000"/>
          <w:kern w:val="24"/>
          <w:sz w:val="22"/>
          <w:szCs w:val="22"/>
        </w:rPr>
        <w:t xml:space="preserve">system, data providers would regularly submit monitoring data to enable routine and automated data </w:t>
      </w:r>
      <w:proofErr w:type="gramStart"/>
      <w:r w:rsidRPr="00F772EB">
        <w:rPr>
          <w:rFonts w:ascii="Calibri" w:hAnsi="Calibri"/>
          <w:color w:val="000000"/>
          <w:kern w:val="24"/>
          <w:sz w:val="22"/>
          <w:szCs w:val="22"/>
        </w:rPr>
        <w:t>analysis .</w:t>
      </w:r>
      <w:proofErr w:type="gramEnd"/>
      <w:r w:rsidRPr="00F772EB">
        <w:rPr>
          <w:rFonts w:ascii="Calibri" w:hAnsi="Calibri"/>
          <w:color w:val="000000"/>
          <w:kern w:val="24"/>
          <w:sz w:val="22"/>
          <w:szCs w:val="22"/>
        </w:rPr>
        <w:t xml:space="preserve"> The output of this process would produce value added products that can directly contribute to 1) report cards, and 2) be used by decision-makers to inform adaptive management of the GBRWHA.  Over time, data will progressively underpin ecosystem models of the GBRWHA, replacing expert judgment and its attendant frailties, and providing a greater level of </w:t>
      </w:r>
      <w:r w:rsidRPr="00F772EB">
        <w:rPr>
          <w:rFonts w:ascii="Calibri" w:hAnsi="Calibri"/>
          <w:color w:val="000000"/>
          <w:kern w:val="24"/>
          <w:sz w:val="22"/>
          <w:szCs w:val="22"/>
        </w:rPr>
        <w:lastRenderedPageBreak/>
        <w:t xml:space="preserve">sophistication to the understanding of the current and future state of the reef (something that many Australia MPA management agencies are working towards; Addison et al. </w:t>
      </w:r>
      <w:r w:rsidR="003A3305">
        <w:rPr>
          <w:rFonts w:ascii="Calibri" w:hAnsi="Calibri"/>
          <w:color w:val="000000"/>
          <w:kern w:val="24"/>
          <w:sz w:val="22"/>
          <w:szCs w:val="22"/>
        </w:rPr>
        <w:t>2015</w:t>
      </w:r>
      <w:r w:rsidRPr="00F772EB">
        <w:rPr>
          <w:rFonts w:ascii="Calibri" w:hAnsi="Calibri"/>
          <w:color w:val="000000"/>
          <w:kern w:val="24"/>
          <w:sz w:val="22"/>
          <w:szCs w:val="22"/>
        </w:rPr>
        <w:t>).</w:t>
      </w:r>
    </w:p>
    <w:p w:rsidR="00C06A7C" w:rsidRDefault="00C06A7C" w:rsidP="003A22E1">
      <w:pPr>
        <w:pStyle w:val="NormalWeb"/>
        <w:spacing w:before="0" w:beforeAutospacing="0" w:after="200" w:afterAutospacing="0" w:line="276" w:lineRule="auto"/>
        <w:rPr>
          <w:rFonts w:ascii="Calibri" w:hAnsi="Calibri"/>
          <w:color w:val="000000"/>
          <w:kern w:val="24"/>
          <w:sz w:val="22"/>
          <w:szCs w:val="22"/>
        </w:rPr>
      </w:pPr>
      <w:r w:rsidRPr="00802C99">
        <w:rPr>
          <w:rFonts w:ascii="Calibri" w:hAnsi="Calibri"/>
          <w:color w:val="000000"/>
          <w:kern w:val="24"/>
          <w:sz w:val="22"/>
          <w:szCs w:val="22"/>
        </w:rPr>
        <w:t xml:space="preserve">Products from the system, along with their associated analysis scripts would need to be identified and developed.  </w:t>
      </w:r>
      <w:r w:rsidR="007D50A7" w:rsidRPr="00802C99">
        <w:rPr>
          <w:rFonts w:ascii="Calibri" w:hAnsi="Calibri"/>
          <w:color w:val="000000"/>
          <w:kern w:val="24"/>
          <w:sz w:val="22"/>
          <w:szCs w:val="22"/>
        </w:rPr>
        <w:t xml:space="preserve">Figure </w:t>
      </w:r>
      <w:r w:rsidR="00802C99" w:rsidRPr="00802C99">
        <w:rPr>
          <w:rFonts w:ascii="Calibri" w:hAnsi="Calibri"/>
          <w:color w:val="000000"/>
          <w:kern w:val="24"/>
          <w:sz w:val="22"/>
          <w:szCs w:val="22"/>
        </w:rPr>
        <w:t>2</w:t>
      </w:r>
      <w:r w:rsidR="007C31DB">
        <w:rPr>
          <w:rFonts w:ascii="Calibri" w:hAnsi="Calibri"/>
          <w:color w:val="000000"/>
          <w:kern w:val="24"/>
          <w:sz w:val="22"/>
          <w:szCs w:val="22"/>
        </w:rPr>
        <w:t>9</w:t>
      </w:r>
      <w:r w:rsidR="007D50A7" w:rsidRPr="00802C99">
        <w:rPr>
          <w:rFonts w:ascii="Calibri" w:hAnsi="Calibri"/>
          <w:color w:val="000000"/>
          <w:kern w:val="24"/>
          <w:sz w:val="22"/>
          <w:szCs w:val="22"/>
        </w:rPr>
        <w:t xml:space="preserve"> illustrates the Data Integration </w:t>
      </w:r>
      <w:r w:rsidRPr="00802C99">
        <w:rPr>
          <w:rFonts w:ascii="Calibri" w:hAnsi="Calibri"/>
          <w:color w:val="000000"/>
          <w:kern w:val="24"/>
          <w:sz w:val="22"/>
          <w:szCs w:val="22"/>
        </w:rPr>
        <w:t>Management System’s (DIMS) capacity to handle dynamic reporting under uncertain data</w:t>
      </w:r>
      <w:r w:rsidRPr="003A22E1">
        <w:rPr>
          <w:rFonts w:ascii="Calibri" w:hAnsi="Calibri"/>
          <w:color w:val="000000"/>
          <w:kern w:val="24"/>
          <w:sz w:val="22"/>
          <w:szCs w:val="22"/>
        </w:rPr>
        <w:t xml:space="preserve"> conditions.</w:t>
      </w:r>
    </w:p>
    <w:p w:rsidR="004847BD" w:rsidRPr="00FC2BE6" w:rsidRDefault="004847BD">
      <w:r>
        <w:t xml:space="preserve">Irrespective of where data originates or is housed, information shall flow on-demand or be triggered by up-dating events from origin to consumers.  </w:t>
      </w:r>
      <w:r w:rsidR="002330B2">
        <w:t>I</w:t>
      </w:r>
      <w:r w:rsidRPr="003A7AA9">
        <w:t xml:space="preserve">t is important that the DIMS </w:t>
      </w:r>
      <w:proofErr w:type="gramStart"/>
      <w:r w:rsidRPr="003A7AA9">
        <w:t>enables</w:t>
      </w:r>
      <w:proofErr w:type="gramEnd"/>
      <w:r w:rsidRPr="003A7AA9">
        <w:t xml:space="preserve"> </w:t>
      </w:r>
      <w:r>
        <w:t>the IMP</w:t>
      </w:r>
      <w:r w:rsidRPr="003A7AA9">
        <w:t xml:space="preserve"> to generate its report cards even when a number of datasets are not available. In some cases the data might not be available due to delays in sampling. In </w:t>
      </w:r>
      <w:r>
        <w:t>others,</w:t>
      </w:r>
      <w:r w:rsidRPr="003A7AA9">
        <w:t xml:space="preserve"> the nature of the data being collected or the data format might change over time making it no longer compatible with the existing indicator analysis scripts. In either case the system </w:t>
      </w:r>
      <w:r>
        <w:t>will</w:t>
      </w:r>
      <w:r w:rsidRPr="003A7AA9">
        <w:t xml:space="preserve"> allow t</w:t>
      </w:r>
      <w:r>
        <w:t>he generation of a report card, with appropriate adjustment qualifying commentary desc</w:t>
      </w:r>
      <w:r w:rsidR="00FC2BE6">
        <w:t xml:space="preserve">ribing accuracy and precision. </w:t>
      </w:r>
    </w:p>
    <w:p w:rsidR="00C06A7C" w:rsidRPr="007D50A7" w:rsidRDefault="00335F2C" w:rsidP="007D50A7">
      <w:pPr>
        <w:ind w:left="1123" w:firstLine="720"/>
      </w:pPr>
      <w:r w:rsidRPr="007D50A7">
        <w:t xml:space="preserve"> </w:t>
      </w:r>
      <w:r w:rsidR="007D50A7" w:rsidRPr="007D50A7">
        <w:t>(a)</w:t>
      </w:r>
    </w:p>
    <w:p w:rsidR="007D50A7" w:rsidRDefault="00C06A7C" w:rsidP="007D50A7">
      <w:pPr>
        <w:ind w:left="1843"/>
        <w:rPr>
          <w:rFonts w:ascii="Cambria" w:hAnsi="Cambria"/>
        </w:rPr>
      </w:pPr>
      <w:r>
        <w:rPr>
          <w:rFonts w:ascii="Cambria" w:hAnsi="Cambria"/>
          <w:noProof/>
          <w:lang w:eastAsia="en-AU"/>
        </w:rPr>
        <w:drawing>
          <wp:inline distT="0" distB="0" distL="0" distR="0">
            <wp:extent cx="2762119" cy="2616494"/>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3663" cy="2617957"/>
                    </a:xfrm>
                    <a:prstGeom prst="rect">
                      <a:avLst/>
                    </a:prstGeom>
                    <a:noFill/>
                  </pic:spPr>
                </pic:pic>
              </a:graphicData>
            </a:graphic>
          </wp:inline>
        </w:drawing>
      </w:r>
    </w:p>
    <w:p w:rsidR="007D50A7" w:rsidRDefault="007D50A7" w:rsidP="007D50A7">
      <w:pPr>
        <w:ind w:left="1843"/>
        <w:rPr>
          <w:rFonts w:ascii="Cambria" w:hAnsi="Cambria"/>
        </w:rPr>
      </w:pPr>
    </w:p>
    <w:p w:rsidR="007D50A7" w:rsidRPr="007D50A7" w:rsidRDefault="007D50A7" w:rsidP="007D50A7">
      <w:pPr>
        <w:ind w:left="1123" w:firstLine="720"/>
        <w:rPr>
          <w:rFonts w:ascii="Calibri" w:hAnsi="Calibri"/>
        </w:rPr>
      </w:pPr>
      <w:r w:rsidRPr="007D50A7">
        <w:rPr>
          <w:rFonts w:ascii="Calibri" w:hAnsi="Calibri"/>
        </w:rPr>
        <w:t>(b)</w:t>
      </w:r>
    </w:p>
    <w:p w:rsidR="00C06A7C" w:rsidRDefault="00C06A7C" w:rsidP="007D50A7">
      <w:pPr>
        <w:ind w:left="1843"/>
        <w:rPr>
          <w:rFonts w:ascii="Cambria" w:hAnsi="Cambria"/>
        </w:rPr>
      </w:pPr>
      <w:r>
        <w:rPr>
          <w:rFonts w:ascii="Cambria" w:hAnsi="Cambria"/>
          <w:noProof/>
          <w:lang w:eastAsia="en-AU"/>
        </w:rPr>
        <w:drawing>
          <wp:inline distT="0" distB="0" distL="0" distR="0">
            <wp:extent cx="2405759" cy="1898168"/>
            <wp:effectExtent l="0" t="0" r="0" b="698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6728" cy="1906823"/>
                    </a:xfrm>
                    <a:prstGeom prst="rect">
                      <a:avLst/>
                    </a:prstGeom>
                    <a:noFill/>
                  </pic:spPr>
                </pic:pic>
              </a:graphicData>
            </a:graphic>
          </wp:inline>
        </w:drawing>
      </w:r>
    </w:p>
    <w:p w:rsidR="00335F2C" w:rsidRDefault="007D50A7">
      <w:pPr>
        <w:rPr>
          <w:sz w:val="20"/>
          <w:szCs w:val="20"/>
        </w:rPr>
      </w:pPr>
      <w:proofErr w:type="gramStart"/>
      <w:r w:rsidRPr="007D50A7">
        <w:rPr>
          <w:b/>
          <w:sz w:val="20"/>
          <w:szCs w:val="20"/>
        </w:rPr>
        <w:t>Figure</w:t>
      </w:r>
      <w:r w:rsidR="00C06A7C" w:rsidRPr="007D50A7">
        <w:rPr>
          <w:b/>
          <w:sz w:val="20"/>
          <w:szCs w:val="20"/>
        </w:rPr>
        <w:t xml:space="preserve"> </w:t>
      </w:r>
      <w:r w:rsidR="00802C99">
        <w:rPr>
          <w:b/>
          <w:sz w:val="20"/>
          <w:szCs w:val="20"/>
        </w:rPr>
        <w:t>2</w:t>
      </w:r>
      <w:r w:rsidR="007C31DB">
        <w:rPr>
          <w:b/>
          <w:sz w:val="20"/>
          <w:szCs w:val="20"/>
        </w:rPr>
        <w:t>9</w:t>
      </w:r>
      <w:r w:rsidR="00C06A7C" w:rsidRPr="007D50A7">
        <w:rPr>
          <w:b/>
          <w:sz w:val="20"/>
          <w:szCs w:val="20"/>
        </w:rPr>
        <w:t>.</w:t>
      </w:r>
      <w:proofErr w:type="gramEnd"/>
      <w:r w:rsidR="00C06A7C" w:rsidRPr="007D50A7">
        <w:rPr>
          <w:b/>
          <w:sz w:val="20"/>
          <w:szCs w:val="20"/>
        </w:rPr>
        <w:t xml:space="preserve"> </w:t>
      </w:r>
      <w:r w:rsidR="00C06A7C">
        <w:rPr>
          <w:sz w:val="20"/>
          <w:szCs w:val="20"/>
        </w:rPr>
        <w:t xml:space="preserve"> </w:t>
      </w:r>
      <w:r>
        <w:rPr>
          <w:b/>
          <w:sz w:val="20"/>
          <w:szCs w:val="20"/>
        </w:rPr>
        <w:t>(a)</w:t>
      </w:r>
      <w:r w:rsidR="00C06A7C" w:rsidRPr="00B15556">
        <w:rPr>
          <w:b/>
          <w:sz w:val="20"/>
          <w:szCs w:val="20"/>
        </w:rPr>
        <w:t xml:space="preserve"> </w:t>
      </w:r>
      <w:r w:rsidR="00C06A7C" w:rsidRPr="00B15556">
        <w:rPr>
          <w:sz w:val="20"/>
          <w:szCs w:val="20"/>
        </w:rPr>
        <w:t xml:space="preserve">Layout of how monitoring data are handled through the Data Integration Management System. </w:t>
      </w:r>
      <w:r>
        <w:rPr>
          <w:b/>
          <w:sz w:val="20"/>
          <w:szCs w:val="20"/>
        </w:rPr>
        <w:t>(b)</w:t>
      </w:r>
      <w:r>
        <w:rPr>
          <w:sz w:val="20"/>
          <w:szCs w:val="20"/>
        </w:rPr>
        <w:t xml:space="preserve"> L</w:t>
      </w:r>
      <w:r w:rsidR="00C06A7C">
        <w:rPr>
          <w:sz w:val="20"/>
          <w:szCs w:val="20"/>
        </w:rPr>
        <w:t>ayout of how datasets can be handled for the purpose of reporting.</w:t>
      </w:r>
      <w:r w:rsidR="00335F2C">
        <w:rPr>
          <w:sz w:val="20"/>
          <w:szCs w:val="20"/>
        </w:rPr>
        <w:br w:type="page"/>
      </w:r>
    </w:p>
    <w:p w:rsidR="00601B4B" w:rsidRDefault="006E740A" w:rsidP="00A0686B">
      <w:pPr>
        <w:pStyle w:val="Heading1"/>
        <w:spacing w:before="0" w:after="240"/>
      </w:pPr>
      <w:bookmarkStart w:id="25" w:name="_Toc406768052"/>
      <w:proofErr w:type="gramStart"/>
      <w:r>
        <w:lastRenderedPageBreak/>
        <w:t>7</w:t>
      </w:r>
      <w:r w:rsidR="006F3A96">
        <w:t xml:space="preserve">.0  </w:t>
      </w:r>
      <w:r w:rsidR="00064330">
        <w:t>Conclusion</w:t>
      </w:r>
      <w:proofErr w:type="gramEnd"/>
      <w:r w:rsidR="00064330">
        <w:t xml:space="preserve"> and </w:t>
      </w:r>
      <w:r w:rsidR="00A97080" w:rsidRPr="00EE7F9F">
        <w:t>recommendations</w:t>
      </w:r>
      <w:bookmarkEnd w:id="25"/>
      <w:r w:rsidR="00601B4B" w:rsidRPr="007D4AA7">
        <w:t xml:space="preserve"> </w:t>
      </w:r>
    </w:p>
    <w:p w:rsidR="00462578" w:rsidRDefault="00064330" w:rsidP="00795925">
      <w:pPr>
        <w:rPr>
          <w:lang w:val="en-US"/>
        </w:rPr>
      </w:pPr>
      <w:r w:rsidRPr="001E5A2B">
        <w:rPr>
          <w:lang w:val="en-US"/>
        </w:rPr>
        <w:t>T</w:t>
      </w:r>
      <w:r w:rsidR="00462578">
        <w:rPr>
          <w:lang w:val="en-US"/>
        </w:rPr>
        <w:t xml:space="preserve">he introduction to this report </w:t>
      </w:r>
      <w:proofErr w:type="spellStart"/>
      <w:r w:rsidR="00462578">
        <w:rPr>
          <w:lang w:val="en-US"/>
        </w:rPr>
        <w:t>emphasised</w:t>
      </w:r>
      <w:proofErr w:type="spellEnd"/>
      <w:r w:rsidR="00462578">
        <w:rPr>
          <w:lang w:val="en-US"/>
        </w:rPr>
        <w:t xml:space="preserve"> </w:t>
      </w:r>
      <w:r w:rsidRPr="001E5A2B">
        <w:rPr>
          <w:lang w:val="en-US"/>
        </w:rPr>
        <w:t>the facilitation of evidence-based continuous improvement as a central objective.  We’ve recommended coherent integration of models and monitoring data to inform adaptive management of the GBR in the context of the LTSP2050</w:t>
      </w:r>
      <w:r w:rsidR="00DF78B8">
        <w:rPr>
          <w:lang w:val="en-US"/>
        </w:rPr>
        <w:t>.</w:t>
      </w:r>
      <w:r w:rsidR="00462578">
        <w:rPr>
          <w:lang w:val="en-US"/>
        </w:rPr>
        <w:t xml:space="preserve"> </w:t>
      </w:r>
      <w:r w:rsidR="00462578" w:rsidRPr="001E5A2B">
        <w:rPr>
          <w:lang w:val="en-US"/>
        </w:rPr>
        <w:t>T</w:t>
      </w:r>
      <w:r w:rsidR="00462578" w:rsidRPr="001E5A2B">
        <w:t xml:space="preserve">he essential role of monitoring in the context of targets is to test the validity of assertions regarding </w:t>
      </w:r>
      <w:r w:rsidR="00F35973">
        <w:t>management effectiveness</w:t>
      </w:r>
      <w:r w:rsidR="00462578" w:rsidRPr="001E5A2B">
        <w:t xml:space="preserve"> that</w:t>
      </w:r>
      <w:r w:rsidR="00F35973">
        <w:t xml:space="preserve"> are implicitly embedded in </w:t>
      </w:r>
      <w:r w:rsidR="00462578" w:rsidRPr="001E5A2B">
        <w:t xml:space="preserve">policies and procedures. Conceptually, the requirement to undertake rigorous and intensive monitoring </w:t>
      </w:r>
      <w:r w:rsidR="00231A3B">
        <w:t xml:space="preserve">is </w:t>
      </w:r>
      <w:r w:rsidR="00462578" w:rsidRPr="001E5A2B">
        <w:t xml:space="preserve">proportional to the extent to which </w:t>
      </w:r>
      <w:r w:rsidR="001D2B15">
        <w:t xml:space="preserve">OUV </w:t>
      </w:r>
      <w:r w:rsidR="00231A3B">
        <w:t xml:space="preserve">and other values </w:t>
      </w:r>
      <w:r w:rsidR="00462578">
        <w:t>are exposed to risk</w:t>
      </w:r>
      <w:r w:rsidR="00462578" w:rsidRPr="001E5A2B">
        <w:t>.  A risk-averse or precautionary approach implies low likelihood of a negative impact, and investment in monitoring may be a lesser imperative.</w:t>
      </w:r>
      <w:r w:rsidR="00462578">
        <w:t xml:space="preserve">  Where risks are high, greater insurance against h</w:t>
      </w:r>
      <w:r w:rsidR="00231A3B">
        <w:t>arm can</w:t>
      </w:r>
      <w:r w:rsidR="00462578">
        <w:t xml:space="preserve"> be ‘purchased’ through greater </w:t>
      </w:r>
      <w:r w:rsidR="00AC3FFC">
        <w:t>investment</w:t>
      </w:r>
      <w:r w:rsidR="00795925">
        <w:t xml:space="preserve"> in monitoring. </w:t>
      </w:r>
    </w:p>
    <w:p w:rsidR="00DF78B8" w:rsidRPr="00462578" w:rsidRDefault="00DF78B8" w:rsidP="00DF78B8">
      <w:pPr>
        <w:rPr>
          <w:lang w:val="en-US"/>
        </w:rPr>
      </w:pPr>
      <w:r w:rsidRPr="001E5A2B">
        <w:t>Monitoring programs that clearly differentiate circumstances in which management complies or doesn’t comply with specified goals or targ</w:t>
      </w:r>
      <w:r>
        <w:t>et</w:t>
      </w:r>
      <w:r w:rsidRPr="001E5A2B">
        <w:t>s typically demand intensive sampling (</w:t>
      </w:r>
      <w:proofErr w:type="spellStart"/>
      <w:r w:rsidRPr="001E5A2B">
        <w:t>Mapstone</w:t>
      </w:r>
      <w:proofErr w:type="spellEnd"/>
      <w:r w:rsidRPr="001E5A2B">
        <w:t xml:space="preserve"> 1995).  </w:t>
      </w:r>
      <w:r w:rsidRPr="001E5A2B">
        <w:rPr>
          <w:lang w:val="en-US"/>
        </w:rPr>
        <w:t>Our guess is that with typical budgets dedicated to monitoring, there will be many instances where unc</w:t>
      </w:r>
      <w:r>
        <w:rPr>
          <w:lang w:val="en-US"/>
        </w:rPr>
        <w:t>er</w:t>
      </w:r>
      <w:r w:rsidRPr="001E5A2B">
        <w:rPr>
          <w:lang w:val="en-US"/>
        </w:rPr>
        <w:t xml:space="preserve">tainty implies intolerable rates of false </w:t>
      </w:r>
      <w:r w:rsidR="00462578">
        <w:rPr>
          <w:lang w:val="en-US"/>
        </w:rPr>
        <w:t>failure</w:t>
      </w:r>
      <w:r w:rsidRPr="001E5A2B">
        <w:rPr>
          <w:lang w:val="en-US"/>
        </w:rPr>
        <w:t xml:space="preserve"> and false </w:t>
      </w:r>
      <w:r w:rsidR="00462578">
        <w:rPr>
          <w:lang w:val="en-US"/>
        </w:rPr>
        <w:t>success</w:t>
      </w:r>
      <w:r w:rsidRPr="001E5A2B">
        <w:rPr>
          <w:lang w:val="en-US"/>
        </w:rPr>
        <w:t xml:space="preserve">.  This is not a weakness of the approach we advocate.  Rather, the inadequacy of resources dedicated to monitoring is made plain to managers and stakeholders.  Credibility of the notions of evidence-based continuous improvement and decision-making would be substantially improved if a consequence of </w:t>
      </w:r>
      <w:r w:rsidR="00231A3B">
        <w:rPr>
          <w:lang w:val="en-US"/>
        </w:rPr>
        <w:t xml:space="preserve">candid description of </w:t>
      </w:r>
      <w:r w:rsidR="00462578">
        <w:rPr>
          <w:lang w:val="en-US"/>
        </w:rPr>
        <w:t xml:space="preserve">uncertainty in </w:t>
      </w:r>
      <w:r w:rsidRPr="001E5A2B">
        <w:rPr>
          <w:lang w:val="en-US"/>
        </w:rPr>
        <w:t>status and trend reporting was a greater allocation of resources to monitoring.</w:t>
      </w:r>
    </w:p>
    <w:p w:rsidR="00064330" w:rsidRDefault="00DF78B8" w:rsidP="00C7613D">
      <w:pPr>
        <w:rPr>
          <w:lang w:val="en-US"/>
        </w:rPr>
      </w:pPr>
      <w:r w:rsidRPr="001E5A2B">
        <w:rPr>
          <w:lang w:val="en-US"/>
        </w:rPr>
        <w:t xml:space="preserve">However, our expectation is that it will be cost-prohibitive for managers to allocate sufficient resources to monitoring </w:t>
      </w:r>
      <w:r w:rsidRPr="001E5A2B">
        <w:rPr>
          <w:i/>
          <w:lang w:val="en-US"/>
        </w:rPr>
        <w:t>all</w:t>
      </w:r>
      <w:r w:rsidRPr="001E5A2B">
        <w:rPr>
          <w:lang w:val="en-US"/>
        </w:rPr>
        <w:t xml:space="preserve"> targets in a way that satisfies demanding Type I and Type II error rates. We suggest an iterative approach to demonstrating progress against targets, whereby targets considered most important by mana</w:t>
      </w:r>
      <w:r w:rsidR="00462578">
        <w:rPr>
          <w:lang w:val="en-US"/>
        </w:rPr>
        <w:t xml:space="preserve">gers and stakeholders are assigned more </w:t>
      </w:r>
      <w:r w:rsidR="00AC3FFC">
        <w:rPr>
          <w:lang w:val="en-US"/>
        </w:rPr>
        <w:t>monitoring</w:t>
      </w:r>
      <w:r w:rsidR="00462578">
        <w:rPr>
          <w:lang w:val="en-US"/>
        </w:rPr>
        <w:t xml:space="preserve"> resources </w:t>
      </w:r>
      <w:r w:rsidRPr="001E5A2B">
        <w:rPr>
          <w:lang w:val="en-US"/>
        </w:rPr>
        <w:t>than</w:t>
      </w:r>
      <w:r w:rsidR="00231A3B">
        <w:rPr>
          <w:lang w:val="en-US"/>
        </w:rPr>
        <w:t xml:space="preserve"> targets of lesser importance.  </w:t>
      </w:r>
    </w:p>
    <w:p w:rsidR="003E4DF7" w:rsidRDefault="003E4DF7" w:rsidP="003E4DF7">
      <w:pPr>
        <w:spacing w:after="0"/>
      </w:pPr>
      <w:r>
        <w:t xml:space="preserve">The informed treatment of risk requires, </w:t>
      </w:r>
    </w:p>
    <w:p w:rsidR="007479FF" w:rsidRPr="00462578" w:rsidRDefault="007479FF" w:rsidP="007479FF">
      <w:pPr>
        <w:pStyle w:val="ListParagraph"/>
        <w:numPr>
          <w:ilvl w:val="0"/>
          <w:numId w:val="22"/>
        </w:numPr>
        <w:rPr>
          <w:lang w:val="en-US"/>
        </w:rPr>
      </w:pPr>
      <w:r>
        <w:t xml:space="preserve">probabilistic predictions of performance against LTSP2050 targets obtained through modelling, </w:t>
      </w:r>
    </w:p>
    <w:p w:rsidR="003E4DF7" w:rsidRDefault="003E4DF7" w:rsidP="003E4DF7">
      <w:pPr>
        <w:pStyle w:val="ListParagraph"/>
        <w:numPr>
          <w:ilvl w:val="0"/>
          <w:numId w:val="22"/>
        </w:numPr>
        <w:rPr>
          <w:lang w:val="en-US"/>
        </w:rPr>
      </w:pPr>
      <w:r>
        <w:rPr>
          <w:lang w:val="en-US"/>
        </w:rPr>
        <w:t>estimation of the precision of a sampling regime,</w:t>
      </w:r>
    </w:p>
    <w:p w:rsidR="003E4DF7" w:rsidRDefault="003E4DF7" w:rsidP="003E4DF7">
      <w:pPr>
        <w:pStyle w:val="ListParagraph"/>
        <w:numPr>
          <w:ilvl w:val="0"/>
          <w:numId w:val="22"/>
        </w:numPr>
        <w:rPr>
          <w:lang w:val="en-US"/>
        </w:rPr>
      </w:pPr>
      <w:proofErr w:type="spellStart"/>
      <w:r>
        <w:rPr>
          <w:lang w:val="en-US"/>
        </w:rPr>
        <w:t>characterisation</w:t>
      </w:r>
      <w:proofErr w:type="spellEnd"/>
      <w:r>
        <w:rPr>
          <w:lang w:val="en-US"/>
        </w:rPr>
        <w:t xml:space="preserve"> of the consequences of false success, true </w:t>
      </w:r>
      <w:r w:rsidR="00473B42">
        <w:rPr>
          <w:lang w:val="en-US"/>
        </w:rPr>
        <w:t>success, false</w:t>
      </w:r>
      <w:r>
        <w:rPr>
          <w:lang w:val="en-US"/>
        </w:rPr>
        <w:t xml:space="preserve"> failure and true failure, and</w:t>
      </w:r>
    </w:p>
    <w:p w:rsidR="003E4DF7" w:rsidRPr="00462578" w:rsidRDefault="003E4DF7" w:rsidP="003E4DF7">
      <w:pPr>
        <w:pStyle w:val="ListParagraph"/>
        <w:numPr>
          <w:ilvl w:val="0"/>
          <w:numId w:val="22"/>
        </w:numPr>
        <w:rPr>
          <w:lang w:val="en-US"/>
        </w:rPr>
      </w:pPr>
      <w:proofErr w:type="gramStart"/>
      <w:r>
        <w:rPr>
          <w:lang w:val="en-US"/>
        </w:rPr>
        <w:t>estimates</w:t>
      </w:r>
      <w:proofErr w:type="gramEnd"/>
      <w:r>
        <w:rPr>
          <w:lang w:val="en-US"/>
        </w:rPr>
        <w:t xml:space="preserve"> of the financial costs of data acquisition.</w:t>
      </w:r>
    </w:p>
    <w:p w:rsidR="002330B2" w:rsidRPr="00C7613D" w:rsidRDefault="00795925" w:rsidP="00C7613D">
      <w:pPr>
        <w:rPr>
          <w:lang w:val="en-US"/>
        </w:rPr>
      </w:pPr>
      <w:r w:rsidRPr="00795925">
        <w:rPr>
          <w:lang w:val="en-US"/>
        </w:rPr>
        <w:t xml:space="preserve">When considered alongside options for management intervention, these four elements provide the basis for adaptive management and adaptive monitoring.  We recommend </w:t>
      </w:r>
      <w:r w:rsidR="002330B2" w:rsidRPr="00795925">
        <w:rPr>
          <w:lang w:val="en-US"/>
        </w:rPr>
        <w:t xml:space="preserve">those responsible for </w:t>
      </w:r>
      <w:r w:rsidRPr="00795925">
        <w:rPr>
          <w:lang w:val="en-US"/>
        </w:rPr>
        <w:t>implementation of integrated monitoring under the LTSP2050 embrace urgent development of these four elements as cornerstones of a committed approach to continuous improvement.</w:t>
      </w:r>
    </w:p>
    <w:p w:rsidR="004C0D37" w:rsidRDefault="004C0D37" w:rsidP="004C0D37">
      <w:pPr>
        <w:rPr>
          <w:rFonts w:cs="Arial"/>
        </w:rPr>
      </w:pPr>
      <w:r>
        <w:rPr>
          <w:rFonts w:cs="Arial"/>
        </w:rPr>
        <w:br w:type="page"/>
      </w:r>
    </w:p>
    <w:p w:rsidR="005D7F01" w:rsidRDefault="005D7F01" w:rsidP="005D7F01">
      <w:pPr>
        <w:pStyle w:val="Heading1"/>
      </w:pPr>
      <w:bookmarkStart w:id="26" w:name="_Toc406768053"/>
      <w:r w:rsidRPr="002858C5">
        <w:lastRenderedPageBreak/>
        <w:t>Acknowledgements</w:t>
      </w:r>
      <w:bookmarkEnd w:id="26"/>
    </w:p>
    <w:p w:rsidR="005D7F01" w:rsidRDefault="00F80C7E" w:rsidP="005D7F01">
      <w:r>
        <w:t xml:space="preserve">We thank </w:t>
      </w:r>
      <w:r w:rsidR="005D7F01">
        <w:t xml:space="preserve">Carolyn Cameron and Caroline </w:t>
      </w:r>
      <w:proofErr w:type="spellStart"/>
      <w:r w:rsidR="005D7F01">
        <w:t>Brusse</w:t>
      </w:r>
      <w:proofErr w:type="spellEnd"/>
      <w:r>
        <w:t xml:space="preserve"> from the Great Barrier Reef Taskforce for guidance throughout the project. We also acknowledge the guidance and insight provided by </w:t>
      </w:r>
      <w:r w:rsidR="005D7F01">
        <w:t xml:space="preserve">Roger </w:t>
      </w:r>
      <w:proofErr w:type="spellStart"/>
      <w:r w:rsidR="005D7F01">
        <w:t>Beeden</w:t>
      </w:r>
      <w:proofErr w:type="spellEnd"/>
      <w:r w:rsidR="005D7F01">
        <w:t xml:space="preserve">, Fergus Molly, Margret Gooch, Julia Chandler, Katherine Martin, </w:t>
      </w:r>
      <w:r>
        <w:t xml:space="preserve">and </w:t>
      </w:r>
      <w:r w:rsidR="005D7F01">
        <w:t>Hugh</w:t>
      </w:r>
      <w:r>
        <w:t xml:space="preserve"> </w:t>
      </w:r>
      <w:proofErr w:type="spellStart"/>
      <w:r>
        <w:t>Yorkston</w:t>
      </w:r>
      <w:proofErr w:type="spellEnd"/>
      <w:r>
        <w:t xml:space="preserve"> at the Great Barrier Reef Marine Park Autho</w:t>
      </w:r>
      <w:r w:rsidR="00822F16">
        <w:t>r</w:t>
      </w:r>
      <w:r>
        <w:t xml:space="preserve">ity.  Thanks to </w:t>
      </w:r>
      <w:r w:rsidR="004C0D37">
        <w:t>David Williamson</w:t>
      </w:r>
      <w:r>
        <w:t xml:space="preserve"> for his generosity in sharing data, and to organisations that did likewise, including </w:t>
      </w:r>
      <w:proofErr w:type="spellStart"/>
      <w:r>
        <w:t>TropWater</w:t>
      </w:r>
      <w:proofErr w:type="spellEnd"/>
      <w:r>
        <w:t xml:space="preserve"> at James C</w:t>
      </w:r>
      <w:r w:rsidR="002858C5">
        <w:t xml:space="preserve">ook University and GBRMPA. </w:t>
      </w:r>
      <w:r w:rsidR="002858C5" w:rsidRPr="00705550">
        <w:t>Development of the content of this report</w:t>
      </w:r>
      <w:r w:rsidR="002858C5">
        <w:t xml:space="preserve"> benefited from a one-day meeting of stakeholders, held 19 September in Brisbane.  We are grateful to all participants: </w:t>
      </w:r>
      <w:r w:rsidR="002858C5" w:rsidRPr="00F80C7E">
        <w:rPr>
          <w:iCs/>
          <w:color w:val="000000"/>
        </w:rPr>
        <w:t>Nyssa Henry</w:t>
      </w:r>
      <w:r w:rsidR="002858C5">
        <w:t xml:space="preserve">, </w:t>
      </w:r>
      <w:r w:rsidR="002858C5">
        <w:rPr>
          <w:iCs/>
          <w:color w:val="000000"/>
        </w:rPr>
        <w:t xml:space="preserve">Claire Andersen, </w:t>
      </w:r>
      <w:r w:rsidR="002858C5" w:rsidRPr="00F80C7E">
        <w:rPr>
          <w:iCs/>
          <w:color w:val="000000"/>
        </w:rPr>
        <w:t xml:space="preserve">Fergus </w:t>
      </w:r>
      <w:proofErr w:type="gramStart"/>
      <w:r w:rsidR="002858C5" w:rsidRPr="00F80C7E">
        <w:rPr>
          <w:iCs/>
          <w:color w:val="000000"/>
        </w:rPr>
        <w:t xml:space="preserve">Molloy </w:t>
      </w:r>
      <w:r w:rsidR="002858C5">
        <w:t>,</w:t>
      </w:r>
      <w:proofErr w:type="gramEnd"/>
      <w:r w:rsidR="002858C5">
        <w:t xml:space="preserve"> </w:t>
      </w:r>
      <w:r w:rsidR="002858C5" w:rsidRPr="00F80C7E">
        <w:rPr>
          <w:iCs/>
          <w:color w:val="000000"/>
        </w:rPr>
        <w:t>Margaret Gooch</w:t>
      </w:r>
      <w:r w:rsidR="002858C5">
        <w:t xml:space="preserve">, </w:t>
      </w:r>
      <w:r w:rsidR="002858C5" w:rsidRPr="00F80C7E">
        <w:rPr>
          <w:iCs/>
          <w:color w:val="000000"/>
        </w:rPr>
        <w:t xml:space="preserve">Roger </w:t>
      </w:r>
      <w:proofErr w:type="spellStart"/>
      <w:r w:rsidR="002858C5" w:rsidRPr="00F80C7E">
        <w:rPr>
          <w:iCs/>
          <w:color w:val="000000"/>
        </w:rPr>
        <w:t>Beeden</w:t>
      </w:r>
      <w:proofErr w:type="spellEnd"/>
      <w:r w:rsidR="002858C5">
        <w:t xml:space="preserve">, </w:t>
      </w:r>
      <w:r w:rsidR="002858C5" w:rsidRPr="00F80C7E">
        <w:rPr>
          <w:iCs/>
          <w:color w:val="000000"/>
        </w:rPr>
        <w:t xml:space="preserve">David </w:t>
      </w:r>
      <w:proofErr w:type="spellStart"/>
      <w:r w:rsidR="002858C5" w:rsidRPr="00F80C7E">
        <w:rPr>
          <w:iCs/>
          <w:color w:val="000000"/>
        </w:rPr>
        <w:t>Wachenfeld</w:t>
      </w:r>
      <w:proofErr w:type="spellEnd"/>
      <w:r w:rsidR="002858C5">
        <w:t xml:space="preserve">, </w:t>
      </w:r>
      <w:r w:rsidR="002858C5" w:rsidRPr="00F80C7E">
        <w:rPr>
          <w:iCs/>
          <w:color w:val="000000"/>
        </w:rPr>
        <w:t>Carolyn Cameron</w:t>
      </w:r>
      <w:r w:rsidR="002858C5">
        <w:t xml:space="preserve">, </w:t>
      </w:r>
      <w:r w:rsidR="002858C5" w:rsidRPr="00F80C7E">
        <w:rPr>
          <w:iCs/>
          <w:color w:val="000000"/>
        </w:rPr>
        <w:t xml:space="preserve">Caroline </w:t>
      </w:r>
      <w:proofErr w:type="spellStart"/>
      <w:r w:rsidR="002858C5" w:rsidRPr="00F80C7E">
        <w:rPr>
          <w:iCs/>
          <w:color w:val="000000"/>
        </w:rPr>
        <w:t>Brusse</w:t>
      </w:r>
      <w:proofErr w:type="spellEnd"/>
      <w:r w:rsidR="002858C5" w:rsidRPr="00F80C7E">
        <w:rPr>
          <w:iCs/>
          <w:color w:val="000000"/>
        </w:rPr>
        <w:t xml:space="preserve"> </w:t>
      </w:r>
      <w:r w:rsidR="002858C5">
        <w:t xml:space="preserve">, </w:t>
      </w:r>
      <w:r w:rsidR="002858C5" w:rsidRPr="00F80C7E">
        <w:rPr>
          <w:iCs/>
          <w:color w:val="000000"/>
        </w:rPr>
        <w:t>Giles West</w:t>
      </w:r>
      <w:r w:rsidR="002858C5">
        <w:t xml:space="preserve">, </w:t>
      </w:r>
      <w:r w:rsidR="002858C5" w:rsidRPr="00F80C7E">
        <w:rPr>
          <w:iCs/>
        </w:rPr>
        <w:t>Kevin Kane</w:t>
      </w:r>
      <w:r w:rsidR="002858C5">
        <w:t xml:space="preserve">, </w:t>
      </w:r>
      <w:r w:rsidR="002858C5" w:rsidRPr="00F80C7E">
        <w:rPr>
          <w:iCs/>
        </w:rPr>
        <w:t>Paul Doyle</w:t>
      </w:r>
      <w:r w:rsidR="002858C5">
        <w:t xml:space="preserve">, </w:t>
      </w:r>
      <w:r w:rsidR="002858C5" w:rsidRPr="00F80C7E">
        <w:rPr>
          <w:iCs/>
          <w:color w:val="000000"/>
        </w:rPr>
        <w:t xml:space="preserve">Eva </w:t>
      </w:r>
      <w:proofErr w:type="spellStart"/>
      <w:r w:rsidR="002858C5" w:rsidRPr="00F80C7E">
        <w:rPr>
          <w:iCs/>
          <w:color w:val="000000"/>
        </w:rPr>
        <w:t>Abal</w:t>
      </w:r>
      <w:proofErr w:type="spellEnd"/>
      <w:r w:rsidR="002858C5">
        <w:t xml:space="preserve">, </w:t>
      </w:r>
      <w:r w:rsidR="002858C5" w:rsidRPr="00F80C7E">
        <w:rPr>
          <w:iCs/>
        </w:rPr>
        <w:t xml:space="preserve">Nadine Marshall </w:t>
      </w:r>
      <w:r w:rsidR="002858C5">
        <w:t xml:space="preserve">, </w:t>
      </w:r>
      <w:r w:rsidR="002858C5" w:rsidRPr="00F80C7E">
        <w:rPr>
          <w:iCs/>
        </w:rPr>
        <w:t xml:space="preserve">Michelle Devlin </w:t>
      </w:r>
      <w:r w:rsidR="002858C5">
        <w:t xml:space="preserve">, </w:t>
      </w:r>
      <w:r w:rsidR="002858C5" w:rsidRPr="00F80C7E">
        <w:rPr>
          <w:iCs/>
        </w:rPr>
        <w:t xml:space="preserve">Len McKenzie </w:t>
      </w:r>
      <w:r w:rsidR="002858C5">
        <w:t xml:space="preserve">and </w:t>
      </w:r>
      <w:r w:rsidR="002858C5" w:rsidRPr="00B93C32">
        <w:t xml:space="preserve">Di </w:t>
      </w:r>
      <w:proofErr w:type="spellStart"/>
      <w:r w:rsidR="002858C5" w:rsidRPr="00B93C32">
        <w:t>Tarte</w:t>
      </w:r>
      <w:proofErr w:type="spellEnd"/>
      <w:r w:rsidR="002858C5">
        <w:t xml:space="preserve">. </w:t>
      </w:r>
      <w:r>
        <w:t xml:space="preserve">This report was improved after feedback and contributions </w:t>
      </w:r>
      <w:r w:rsidRPr="00942947">
        <w:t xml:space="preserve">from </w:t>
      </w:r>
      <w:r w:rsidR="005D7F01" w:rsidRPr="00942947">
        <w:t xml:space="preserve">Jamie Oliver, John Gunn, Britta </w:t>
      </w:r>
      <w:proofErr w:type="spellStart"/>
      <w:r w:rsidR="005D7F01" w:rsidRPr="00942947">
        <w:t>Schaffelke</w:t>
      </w:r>
      <w:proofErr w:type="spellEnd"/>
      <w:r w:rsidR="00254C9B" w:rsidRPr="00942947">
        <w:t xml:space="preserve"> and Julian </w:t>
      </w:r>
      <w:proofErr w:type="spellStart"/>
      <w:r w:rsidR="00254C9B" w:rsidRPr="00942947">
        <w:t>Caley</w:t>
      </w:r>
      <w:proofErr w:type="spellEnd"/>
      <w:r w:rsidR="00254C9B" w:rsidRPr="00942947">
        <w:t>.</w:t>
      </w:r>
    </w:p>
    <w:p w:rsidR="004C0D37" w:rsidRDefault="004C0D37" w:rsidP="00F80C7E"/>
    <w:p w:rsidR="007D4AA7" w:rsidRPr="003457AF" w:rsidRDefault="007D4AA7" w:rsidP="005D7F01">
      <w:r w:rsidRPr="009D6DC7">
        <w:rPr>
          <w:i/>
        </w:rPr>
        <w:br w:type="page"/>
      </w:r>
    </w:p>
    <w:p w:rsidR="000D4FE0" w:rsidRPr="007469DA" w:rsidRDefault="000D4FE0" w:rsidP="000D4FE0">
      <w:pPr>
        <w:pStyle w:val="Heading1"/>
        <w:spacing w:after="240"/>
      </w:pPr>
      <w:bookmarkStart w:id="27" w:name="_Toc406768054"/>
      <w:r w:rsidRPr="001470D7">
        <w:lastRenderedPageBreak/>
        <w:t>References</w:t>
      </w:r>
      <w:bookmarkEnd w:id="27"/>
    </w:p>
    <w:p w:rsidR="000D4FE0" w:rsidRPr="001505E9" w:rsidRDefault="000D4FE0" w:rsidP="000D4FE0">
      <w:pPr>
        <w:spacing w:after="0"/>
        <w:ind w:left="567" w:hanging="567"/>
      </w:pPr>
      <w:r w:rsidRPr="001505E9">
        <w:t xml:space="preserve">Addison, P. </w:t>
      </w:r>
      <w:r>
        <w:t>(</w:t>
      </w:r>
      <w:r w:rsidRPr="001505E9">
        <w:t>2010</w:t>
      </w:r>
      <w:r>
        <w:t>)</w:t>
      </w:r>
      <w:r w:rsidRPr="001505E9">
        <w:t xml:space="preserve">. </w:t>
      </w:r>
      <w:proofErr w:type="gramStart"/>
      <w:r w:rsidRPr="001505E9">
        <w:t>Quality assurance in marine biological monitoring.</w:t>
      </w:r>
      <w:proofErr w:type="gramEnd"/>
      <w:r w:rsidRPr="001505E9">
        <w:t xml:space="preserve"> A report prepared for the Healthy and Biologically Diverse Seas Evidence Group and the National Marine Biological Analytical Quality Control scheme. </w:t>
      </w:r>
      <w:proofErr w:type="gramStart"/>
      <w:r w:rsidRPr="001505E9">
        <w:t>Environment Agency and the Joint Nature Conservation Committee.</w:t>
      </w:r>
      <w:proofErr w:type="gramEnd"/>
    </w:p>
    <w:p w:rsidR="000D4FE0" w:rsidRPr="001505E9" w:rsidRDefault="000D4FE0" w:rsidP="000D4FE0">
      <w:pPr>
        <w:spacing w:after="0"/>
        <w:ind w:left="567" w:hanging="567"/>
      </w:pPr>
      <w:r w:rsidRPr="001505E9">
        <w:rPr>
          <w:rFonts w:cs="Segoe UI"/>
        </w:rPr>
        <w:t xml:space="preserve">Addison, P. F. E. </w:t>
      </w:r>
      <w:r>
        <w:rPr>
          <w:rFonts w:cs="Segoe UI"/>
        </w:rPr>
        <w:t>(</w:t>
      </w:r>
      <w:r w:rsidRPr="001505E9">
        <w:rPr>
          <w:rFonts w:cs="Segoe UI"/>
        </w:rPr>
        <w:t>2011</w:t>
      </w:r>
      <w:r>
        <w:rPr>
          <w:rFonts w:cs="Segoe UI"/>
        </w:rPr>
        <w:t>)</w:t>
      </w:r>
      <w:r w:rsidRPr="001505E9">
        <w:rPr>
          <w:rFonts w:cs="Segoe UI"/>
        </w:rPr>
        <w:t xml:space="preserve">. A global review of long-term marine protected area monitoring programmes: The application of a good framework to marine biological monitoring. A report prepared for the Joint Nature Conservation Committee. JNCC Report Number 455. </w:t>
      </w:r>
      <w:proofErr w:type="gramStart"/>
      <w:r w:rsidRPr="001505E9">
        <w:rPr>
          <w:rFonts w:cs="Segoe UI"/>
        </w:rPr>
        <w:t>School of Botany, University of Melbourne, Australia.</w:t>
      </w:r>
      <w:proofErr w:type="gramEnd"/>
      <w:r w:rsidRPr="001505E9">
        <w:t xml:space="preserve"> </w:t>
      </w:r>
    </w:p>
    <w:p w:rsidR="000D4FE0" w:rsidRPr="001505E9" w:rsidRDefault="000D4FE0" w:rsidP="000D4FE0">
      <w:pPr>
        <w:spacing w:after="0"/>
        <w:ind w:left="567" w:hanging="567"/>
      </w:pPr>
      <w:r w:rsidRPr="001505E9">
        <w:rPr>
          <w:rFonts w:cs="Segoe UI"/>
        </w:rPr>
        <w:t xml:space="preserve">Addison, P. </w:t>
      </w:r>
      <w:r>
        <w:rPr>
          <w:rFonts w:cs="Segoe UI"/>
        </w:rPr>
        <w:t>(</w:t>
      </w:r>
      <w:r w:rsidRPr="001505E9">
        <w:rPr>
          <w:rFonts w:cs="Segoe UI"/>
        </w:rPr>
        <w:t>2014</w:t>
      </w:r>
      <w:r>
        <w:rPr>
          <w:rFonts w:cs="Segoe UI"/>
        </w:rPr>
        <w:t>)</w:t>
      </w:r>
      <w:r w:rsidRPr="001505E9">
        <w:rPr>
          <w:rFonts w:cs="Segoe UI"/>
        </w:rPr>
        <w:t xml:space="preserve">. </w:t>
      </w:r>
      <w:proofErr w:type="gramStart"/>
      <w:r w:rsidRPr="001505E9">
        <w:rPr>
          <w:rFonts w:cs="Segoe UI"/>
        </w:rPr>
        <w:t>Targeting the science–management interface: Improving the use of long-term monitoring in conservation management.</w:t>
      </w:r>
      <w:proofErr w:type="gramEnd"/>
      <w:r w:rsidRPr="001505E9">
        <w:rPr>
          <w:rFonts w:cs="Segoe UI"/>
        </w:rPr>
        <w:t xml:space="preserve"> </w:t>
      </w:r>
      <w:proofErr w:type="gramStart"/>
      <w:r w:rsidRPr="001505E9">
        <w:rPr>
          <w:rFonts w:cs="Segoe UI"/>
        </w:rPr>
        <w:t>PhD dissertation.</w:t>
      </w:r>
      <w:proofErr w:type="gramEnd"/>
      <w:r w:rsidRPr="001505E9">
        <w:rPr>
          <w:rFonts w:cs="Segoe UI"/>
        </w:rPr>
        <w:t xml:space="preserve"> </w:t>
      </w:r>
      <w:proofErr w:type="gramStart"/>
      <w:r>
        <w:rPr>
          <w:rFonts w:cs="Segoe UI"/>
        </w:rPr>
        <w:t xml:space="preserve">School of Botany, </w:t>
      </w:r>
      <w:r w:rsidRPr="001505E9">
        <w:rPr>
          <w:rFonts w:cs="Segoe UI"/>
        </w:rPr>
        <w:t>University of Melbourne, Melbourne, Australia.</w:t>
      </w:r>
      <w:proofErr w:type="gramEnd"/>
    </w:p>
    <w:p w:rsidR="000D4FE0" w:rsidRPr="0098721F" w:rsidRDefault="000D4FE0" w:rsidP="000D4FE0">
      <w:pPr>
        <w:spacing w:after="0"/>
        <w:ind w:left="567" w:hanging="567"/>
      </w:pPr>
      <w:proofErr w:type="gramStart"/>
      <w:r w:rsidRPr="001505E9">
        <w:t xml:space="preserve">Addison, P., </w:t>
      </w:r>
      <w:proofErr w:type="spellStart"/>
      <w:r w:rsidRPr="001505E9">
        <w:t>Flander</w:t>
      </w:r>
      <w:proofErr w:type="spellEnd"/>
      <w:r w:rsidRPr="001505E9">
        <w:t xml:space="preserve">, </w:t>
      </w:r>
      <w:r>
        <w:t xml:space="preserve">L.B. </w:t>
      </w:r>
      <w:r w:rsidRPr="001505E9">
        <w:t xml:space="preserve">and </w:t>
      </w:r>
      <w:r>
        <w:t>Cook, C.N. (2015).</w:t>
      </w:r>
      <w:proofErr w:type="gramEnd"/>
      <w:r w:rsidRPr="001505E9">
        <w:t xml:space="preserve"> Are we missing the boat? </w:t>
      </w:r>
      <w:proofErr w:type="gramStart"/>
      <w:r w:rsidRPr="001505E9">
        <w:t>Current uses of long-term biological monitoring data in the evaluation and management of marine protected areas.</w:t>
      </w:r>
      <w:proofErr w:type="gramEnd"/>
      <w:r w:rsidRPr="001505E9">
        <w:t xml:space="preserve"> </w:t>
      </w:r>
      <w:r w:rsidRPr="001505E9">
        <w:rPr>
          <w:i/>
        </w:rPr>
        <w:t>Jour</w:t>
      </w:r>
      <w:r>
        <w:rPr>
          <w:i/>
        </w:rPr>
        <w:t xml:space="preserve">nal of Environmental Management, </w:t>
      </w:r>
      <w:r>
        <w:t xml:space="preserve">149: </w:t>
      </w:r>
      <w:r w:rsidRPr="0098721F">
        <w:t>148 – 156.</w:t>
      </w:r>
    </w:p>
    <w:p w:rsidR="000D4FE0" w:rsidRDefault="000D4FE0" w:rsidP="000D4FE0">
      <w:pPr>
        <w:spacing w:after="0"/>
        <w:ind w:left="567" w:hanging="567"/>
        <w:rPr>
          <w:lang w:val="en-US"/>
        </w:rPr>
      </w:pPr>
      <w:r>
        <w:t xml:space="preserve">André, J., </w:t>
      </w:r>
      <w:proofErr w:type="spellStart"/>
      <w:r>
        <w:t>Gyuris</w:t>
      </w:r>
      <w:proofErr w:type="spellEnd"/>
      <w:r>
        <w:t xml:space="preserve">, E. and Lawler, I. </w:t>
      </w:r>
      <w:proofErr w:type="gramStart"/>
      <w:r>
        <w:t>R..</w:t>
      </w:r>
      <w:proofErr w:type="gramEnd"/>
      <w:r>
        <w:t xml:space="preserve"> </w:t>
      </w:r>
      <w:proofErr w:type="gramStart"/>
      <w:r>
        <w:t xml:space="preserve">(2005). Comparison of the diets of sympatric dugongs and green turtles on the </w:t>
      </w:r>
      <w:proofErr w:type="spellStart"/>
      <w:r>
        <w:t>Orman</w:t>
      </w:r>
      <w:proofErr w:type="spellEnd"/>
      <w:r>
        <w:t xml:space="preserve"> Reefs, Torres Strait, Australia.</w:t>
      </w:r>
      <w:proofErr w:type="gramEnd"/>
      <w:r>
        <w:t xml:space="preserve"> </w:t>
      </w:r>
      <w:r w:rsidRPr="00887820">
        <w:rPr>
          <w:i/>
        </w:rPr>
        <w:t>Wildlife Research</w:t>
      </w:r>
      <w:r>
        <w:t>, 32: 53–62.</w:t>
      </w:r>
    </w:p>
    <w:p w:rsidR="000D4FE0" w:rsidRDefault="000D4FE0" w:rsidP="000D4FE0">
      <w:pPr>
        <w:spacing w:after="0"/>
        <w:ind w:left="567" w:hanging="567"/>
        <w:rPr>
          <w:lang w:val="en-US"/>
        </w:rPr>
      </w:pPr>
      <w:proofErr w:type="gramStart"/>
      <w:r>
        <w:rPr>
          <w:lang w:val="en-US"/>
        </w:rPr>
        <w:t>Anon (2014).</w:t>
      </w:r>
      <w:proofErr w:type="gramEnd"/>
      <w:r>
        <w:rPr>
          <w:lang w:val="en-US"/>
        </w:rPr>
        <w:t xml:space="preserve"> </w:t>
      </w:r>
      <w:proofErr w:type="gramStart"/>
      <w:r>
        <w:rPr>
          <w:lang w:val="en-US"/>
        </w:rPr>
        <w:t>Great Barrier Reef Report Card 2012 and 2013.</w:t>
      </w:r>
      <w:proofErr w:type="gramEnd"/>
      <w:r>
        <w:rPr>
          <w:lang w:val="en-US"/>
        </w:rPr>
        <w:t xml:space="preserve"> </w:t>
      </w:r>
      <w:proofErr w:type="gramStart"/>
      <w:r>
        <w:rPr>
          <w:lang w:val="en-US"/>
        </w:rPr>
        <w:t>Reef Water Quality Protection Plan.</w:t>
      </w:r>
      <w:proofErr w:type="gramEnd"/>
      <w:r>
        <w:rPr>
          <w:lang w:val="en-US"/>
        </w:rPr>
        <w:t xml:space="preserve"> </w:t>
      </w:r>
      <w:proofErr w:type="gramStart"/>
      <w:r>
        <w:rPr>
          <w:lang w:val="en-US"/>
        </w:rPr>
        <w:t>Australian Government and Queensland Government.</w:t>
      </w:r>
      <w:proofErr w:type="gramEnd"/>
    </w:p>
    <w:p w:rsidR="000D4FE0" w:rsidRPr="00887820" w:rsidRDefault="000D4FE0" w:rsidP="000D4FE0">
      <w:pPr>
        <w:spacing w:after="0"/>
        <w:ind w:left="567" w:hanging="567"/>
        <w:rPr>
          <w:lang w:val="en-US"/>
        </w:rPr>
      </w:pPr>
      <w:proofErr w:type="gramStart"/>
      <w:r w:rsidRPr="00C77DB0">
        <w:rPr>
          <w:lang w:val="en-US"/>
        </w:rPr>
        <w:t xml:space="preserve">Anthony, K.R.N., </w:t>
      </w:r>
      <w:proofErr w:type="spellStart"/>
      <w:r w:rsidRPr="00C77DB0">
        <w:rPr>
          <w:lang w:val="en-US"/>
        </w:rPr>
        <w:t>Dambacher</w:t>
      </w:r>
      <w:proofErr w:type="spellEnd"/>
      <w:r w:rsidRPr="00C77DB0">
        <w:rPr>
          <w:lang w:val="en-US"/>
        </w:rPr>
        <w:t xml:space="preserve">, J., </w:t>
      </w:r>
      <w:proofErr w:type="spellStart"/>
      <w:r w:rsidRPr="00C77DB0">
        <w:rPr>
          <w:lang w:val="en-US"/>
        </w:rPr>
        <w:t>Walshe</w:t>
      </w:r>
      <w:proofErr w:type="spellEnd"/>
      <w:r w:rsidRPr="00C77DB0">
        <w:rPr>
          <w:lang w:val="en-US"/>
        </w:rPr>
        <w:t xml:space="preserve">, T. and </w:t>
      </w:r>
      <w:proofErr w:type="spellStart"/>
      <w:r w:rsidRPr="00C77DB0">
        <w:rPr>
          <w:lang w:val="en-US"/>
        </w:rPr>
        <w:t>Beeden</w:t>
      </w:r>
      <w:proofErr w:type="spellEnd"/>
      <w:r>
        <w:rPr>
          <w:lang w:val="en-US"/>
        </w:rPr>
        <w:t>, R. (2013).</w:t>
      </w:r>
      <w:proofErr w:type="gramEnd"/>
      <w:r>
        <w:rPr>
          <w:lang w:val="en-US"/>
        </w:rPr>
        <w:t xml:space="preserve"> </w:t>
      </w:r>
      <w:proofErr w:type="gramStart"/>
      <w:r>
        <w:rPr>
          <w:lang w:val="en-US"/>
        </w:rPr>
        <w:t>A framework for understanding cumulative impacts, supporting environmental decisions and informing resilience-based management of the Great Barrier Reef Heritage Area.</w:t>
      </w:r>
      <w:proofErr w:type="gramEnd"/>
      <w:r>
        <w:rPr>
          <w:lang w:val="en-US"/>
        </w:rPr>
        <w:t xml:space="preserve">  </w:t>
      </w:r>
      <w:proofErr w:type="gramStart"/>
      <w:r>
        <w:rPr>
          <w:lang w:val="en-US"/>
        </w:rPr>
        <w:t>Final report for the Great Barrier Reef Marine Park Authority and the Department of the Environment.</w:t>
      </w:r>
      <w:proofErr w:type="gramEnd"/>
      <w:r>
        <w:rPr>
          <w:lang w:val="en-US"/>
        </w:rPr>
        <w:t xml:space="preserve">  </w:t>
      </w:r>
      <w:r w:rsidRPr="00887820">
        <w:rPr>
          <w:lang w:val="en-US"/>
        </w:rPr>
        <w:t>ISBN: 978-1-022126-06-1</w:t>
      </w:r>
    </w:p>
    <w:p w:rsidR="000D4FE0" w:rsidRDefault="000D4FE0" w:rsidP="000D4FE0">
      <w:pPr>
        <w:spacing w:after="0"/>
        <w:ind w:left="567" w:hanging="567"/>
      </w:pPr>
      <w:proofErr w:type="gramStart"/>
      <w:r w:rsidRPr="00C77DB0">
        <w:t>Anthony, K</w:t>
      </w:r>
      <w:r>
        <w:t>.</w:t>
      </w:r>
      <w:r w:rsidRPr="00C77DB0">
        <w:t>R</w:t>
      </w:r>
      <w:r>
        <w:t>.</w:t>
      </w:r>
      <w:r w:rsidRPr="00C77DB0">
        <w:t>N</w:t>
      </w:r>
      <w:r>
        <w:t>.</w:t>
      </w:r>
      <w:r w:rsidRPr="00C77DB0">
        <w:t xml:space="preserve">, </w:t>
      </w:r>
      <w:proofErr w:type="spellStart"/>
      <w:r w:rsidRPr="00C77DB0">
        <w:t>Hoogenboom</w:t>
      </w:r>
      <w:proofErr w:type="spellEnd"/>
      <w:r w:rsidRPr="00C77DB0">
        <w:t>, M</w:t>
      </w:r>
      <w:r>
        <w:t>.</w:t>
      </w:r>
      <w:r w:rsidRPr="00C77DB0">
        <w:t>O</w:t>
      </w:r>
      <w:r>
        <w:t>.</w:t>
      </w:r>
      <w:r w:rsidRPr="00C77DB0">
        <w:t>, Maynard, J</w:t>
      </w:r>
      <w:r>
        <w:t>.</w:t>
      </w:r>
      <w:r w:rsidRPr="00C77DB0">
        <w:t>A</w:t>
      </w:r>
      <w:r>
        <w:t>.</w:t>
      </w:r>
      <w:r w:rsidRPr="00C77DB0">
        <w:t xml:space="preserve">, </w:t>
      </w:r>
      <w:proofErr w:type="spellStart"/>
      <w:r w:rsidRPr="00C77DB0">
        <w:t>Grottoli</w:t>
      </w:r>
      <w:proofErr w:type="spellEnd"/>
      <w:r w:rsidRPr="00C77DB0">
        <w:t>, A</w:t>
      </w:r>
      <w:r>
        <w:t>.</w:t>
      </w:r>
      <w:r w:rsidRPr="00C77DB0">
        <w:t>G</w:t>
      </w:r>
      <w:r>
        <w:t>.</w:t>
      </w:r>
      <w:r w:rsidRPr="00C77DB0">
        <w:t xml:space="preserve"> and </w:t>
      </w:r>
      <w:proofErr w:type="spellStart"/>
      <w:r w:rsidRPr="00C77DB0">
        <w:t>Middlebrook</w:t>
      </w:r>
      <w:proofErr w:type="spellEnd"/>
      <w:r w:rsidRPr="00C77DB0">
        <w:t>, R</w:t>
      </w:r>
      <w:r>
        <w:t>.</w:t>
      </w:r>
      <w:r w:rsidRPr="00C77DB0">
        <w:t xml:space="preserve"> (2009)</w:t>
      </w:r>
      <w:r>
        <w:t>.</w:t>
      </w:r>
      <w:proofErr w:type="gramEnd"/>
      <w:r>
        <w:t xml:space="preserve"> </w:t>
      </w:r>
      <w:proofErr w:type="spellStart"/>
      <w:r w:rsidRPr="00742CC9">
        <w:t>Energetics</w:t>
      </w:r>
      <w:proofErr w:type="spellEnd"/>
      <w:r w:rsidRPr="00742CC9">
        <w:t xml:space="preserve"> approach to predicting mortality risk from environmental stress: a</w:t>
      </w:r>
      <w:r>
        <w:t xml:space="preserve"> case study of coral bleaching.</w:t>
      </w:r>
      <w:r w:rsidRPr="00742CC9">
        <w:t xml:space="preserve"> </w:t>
      </w:r>
      <w:r w:rsidRPr="00887820">
        <w:rPr>
          <w:i/>
        </w:rPr>
        <w:t>Functional Ecology</w:t>
      </w:r>
      <w:r>
        <w:t xml:space="preserve">, </w:t>
      </w:r>
      <w:r w:rsidRPr="00887820">
        <w:t xml:space="preserve">23: </w:t>
      </w:r>
      <w:r w:rsidRPr="00742CC9">
        <w:t>539-550.</w:t>
      </w:r>
    </w:p>
    <w:p w:rsidR="000D4FE0" w:rsidRPr="00742CC9" w:rsidRDefault="000D4FE0" w:rsidP="000D4FE0">
      <w:pPr>
        <w:spacing w:after="0"/>
        <w:ind w:left="567" w:hanging="567"/>
      </w:pPr>
      <w:r w:rsidRPr="001D1331">
        <w:t xml:space="preserve">Anthony, K. R. N., Maynard, </w:t>
      </w:r>
      <w:r>
        <w:t xml:space="preserve">J. A., </w:t>
      </w:r>
      <w:r w:rsidRPr="001D1331">
        <w:t>Diaz-</w:t>
      </w:r>
      <w:proofErr w:type="spellStart"/>
      <w:r w:rsidRPr="001D1331">
        <w:t>Pulido</w:t>
      </w:r>
      <w:proofErr w:type="spellEnd"/>
      <w:r w:rsidRPr="001D1331">
        <w:t xml:space="preserve">, </w:t>
      </w:r>
      <w:r>
        <w:t xml:space="preserve">G., </w:t>
      </w:r>
      <w:proofErr w:type="spellStart"/>
      <w:r w:rsidRPr="001D1331">
        <w:t>Mumby</w:t>
      </w:r>
      <w:proofErr w:type="spellEnd"/>
      <w:r w:rsidRPr="001D1331">
        <w:t xml:space="preserve">, </w:t>
      </w:r>
      <w:r>
        <w:t>P. J.,</w:t>
      </w:r>
      <w:r w:rsidRPr="001D1331">
        <w:t xml:space="preserve"> Cao, </w:t>
      </w:r>
      <w:r>
        <w:t xml:space="preserve">L., </w:t>
      </w:r>
      <w:r w:rsidRPr="001D1331">
        <w:t xml:space="preserve">Marshall, P. A. and </w:t>
      </w:r>
      <w:proofErr w:type="spellStart"/>
      <w:r w:rsidRPr="001D1331">
        <w:t>Hoegh-Guldberg</w:t>
      </w:r>
      <w:proofErr w:type="spellEnd"/>
      <w:r>
        <w:t xml:space="preserve">, </w:t>
      </w:r>
      <w:r w:rsidRPr="001D1331">
        <w:t>O.</w:t>
      </w:r>
      <w:r>
        <w:t xml:space="preserve"> (</w:t>
      </w:r>
      <w:r w:rsidRPr="001D1331">
        <w:t>2011</w:t>
      </w:r>
      <w:r>
        <w:t>)</w:t>
      </w:r>
      <w:r w:rsidRPr="001D1331">
        <w:t xml:space="preserve">. Ocean acidification and warming will lower coral reef resilience. </w:t>
      </w:r>
      <w:r w:rsidRPr="001D1331">
        <w:rPr>
          <w:i/>
        </w:rPr>
        <w:t>Global Change Biology</w:t>
      </w:r>
      <w:r>
        <w:t>,</w:t>
      </w:r>
      <w:r w:rsidRPr="001D1331">
        <w:t xml:space="preserve"> 17:</w:t>
      </w:r>
      <w:r>
        <w:t xml:space="preserve"> </w:t>
      </w:r>
      <w:r w:rsidRPr="001D1331">
        <w:t>1798-1808.</w:t>
      </w:r>
    </w:p>
    <w:p w:rsidR="000D4FE0" w:rsidRPr="001E5A2B" w:rsidRDefault="000D4FE0" w:rsidP="000D4FE0">
      <w:pPr>
        <w:spacing w:after="0"/>
        <w:ind w:left="567" w:hanging="567"/>
        <w:rPr>
          <w:lang w:val="en-US"/>
        </w:rPr>
      </w:pPr>
      <w:proofErr w:type="gramStart"/>
      <w:r w:rsidRPr="001E5A2B">
        <w:rPr>
          <w:lang w:val="en-US"/>
        </w:rPr>
        <w:t>ANZECC/ARCMANZ (2000).</w:t>
      </w:r>
      <w:proofErr w:type="gramEnd"/>
      <w:r w:rsidRPr="001E5A2B">
        <w:rPr>
          <w:lang w:val="en-US"/>
        </w:rPr>
        <w:t xml:space="preserve"> </w:t>
      </w:r>
      <w:proofErr w:type="gramStart"/>
      <w:r w:rsidRPr="001E5A2B">
        <w:rPr>
          <w:i/>
          <w:lang w:val="en-US"/>
        </w:rPr>
        <w:t>Australian Guidelines for Water Quality Monitoring and Reporting.</w:t>
      </w:r>
      <w:proofErr w:type="gramEnd"/>
      <w:r w:rsidRPr="001E5A2B">
        <w:rPr>
          <w:lang w:val="en-US"/>
        </w:rPr>
        <w:t xml:space="preserve"> </w:t>
      </w:r>
      <w:proofErr w:type="gramStart"/>
      <w:r w:rsidRPr="001E5A2B">
        <w:rPr>
          <w:lang w:val="en-US"/>
        </w:rPr>
        <w:t>Australian and New Zealand Environment and Conservation Council / Agriculture and Resource Management Council of Australia and New Zealand.</w:t>
      </w:r>
      <w:proofErr w:type="gramEnd"/>
      <w:r w:rsidRPr="001E5A2B">
        <w:rPr>
          <w:lang w:val="en-US"/>
        </w:rPr>
        <w:t xml:space="preserve"> Canberra: Australian Government Publishing Service.</w:t>
      </w:r>
    </w:p>
    <w:p w:rsidR="000D4FE0" w:rsidRDefault="000D4FE0" w:rsidP="000D4FE0">
      <w:pPr>
        <w:spacing w:after="0"/>
        <w:ind w:left="567" w:hanging="567"/>
      </w:pPr>
      <w:proofErr w:type="spellStart"/>
      <w:r>
        <w:t>Aragones</w:t>
      </w:r>
      <w:proofErr w:type="spellEnd"/>
      <w:r>
        <w:t>, L. and Marsh, H</w:t>
      </w:r>
      <w:proofErr w:type="gramStart"/>
      <w:r>
        <w:t>..</w:t>
      </w:r>
      <w:proofErr w:type="gramEnd"/>
      <w:r>
        <w:t xml:space="preserve"> </w:t>
      </w:r>
      <w:proofErr w:type="gramStart"/>
      <w:r>
        <w:t>(2000). Impact of dugong grazing and turtle cropping on tropical seagrass communities.</w:t>
      </w:r>
      <w:proofErr w:type="gramEnd"/>
      <w:r>
        <w:t xml:space="preserve"> </w:t>
      </w:r>
      <w:r w:rsidRPr="00887820">
        <w:rPr>
          <w:i/>
        </w:rPr>
        <w:t>Pacific Conservation Biology</w:t>
      </w:r>
      <w:r>
        <w:t>, 5: 277–288.</w:t>
      </w:r>
    </w:p>
    <w:p w:rsidR="000D4FE0" w:rsidRDefault="000D4FE0" w:rsidP="000D4FE0">
      <w:pPr>
        <w:spacing w:after="0"/>
        <w:ind w:left="567" w:hanging="567"/>
      </w:pPr>
      <w:proofErr w:type="gramStart"/>
      <w:r>
        <w:t>Australian and Queensland governments, undated.</w:t>
      </w:r>
      <w:proofErr w:type="gramEnd"/>
      <w:r>
        <w:t xml:space="preserve"> Reef 2050 Long-Term Sustainability Plan. </w:t>
      </w:r>
      <w:proofErr w:type="gramStart"/>
      <w:r>
        <w:t>For comment.</w:t>
      </w:r>
      <w:proofErr w:type="gramEnd"/>
      <w:r>
        <w:t xml:space="preserve">  </w:t>
      </w:r>
      <w:hyperlink r:id="rId92" w:history="1">
        <w:r w:rsidRPr="00E77F37">
          <w:rPr>
            <w:rStyle w:val="Hyperlink"/>
          </w:rPr>
          <w:t>http://www.environment.gov.au/marine/gbr/reef2050</w:t>
        </w:r>
      </w:hyperlink>
      <w:r>
        <w:t xml:space="preserve"> </w:t>
      </w:r>
      <w:r w:rsidRPr="00A16700">
        <w:t xml:space="preserve"> </w:t>
      </w:r>
      <w:r>
        <w:t>Accessed 15/09/2014.</w:t>
      </w:r>
    </w:p>
    <w:p w:rsidR="000D4FE0" w:rsidRDefault="000D4FE0" w:rsidP="000D4FE0">
      <w:pPr>
        <w:spacing w:after="0"/>
        <w:ind w:left="567" w:hanging="567"/>
      </w:pPr>
      <w:proofErr w:type="gramStart"/>
      <w:r w:rsidRPr="00742CC9">
        <w:t>Baird, A.</w:t>
      </w:r>
      <w:r>
        <w:t xml:space="preserve"> H. and Marshall, P.A. (2002).</w:t>
      </w:r>
      <w:proofErr w:type="gramEnd"/>
      <w:r>
        <w:t xml:space="preserve"> </w:t>
      </w:r>
      <w:proofErr w:type="gramStart"/>
      <w:r w:rsidRPr="00742CC9">
        <w:t xml:space="preserve">Mortality, growth and reproduction in </w:t>
      </w:r>
      <w:proofErr w:type="spellStart"/>
      <w:r w:rsidRPr="00742CC9">
        <w:t>scleractinian</w:t>
      </w:r>
      <w:proofErr w:type="spellEnd"/>
      <w:r w:rsidRPr="00742CC9">
        <w:t xml:space="preserve"> corals following bleac</w:t>
      </w:r>
      <w:r>
        <w:t>hing on the Great Barrier Reef.</w:t>
      </w:r>
      <w:proofErr w:type="gramEnd"/>
      <w:r w:rsidRPr="00742CC9">
        <w:t xml:space="preserve"> </w:t>
      </w:r>
      <w:r w:rsidRPr="00887820">
        <w:rPr>
          <w:i/>
        </w:rPr>
        <w:t>Marine Ecology-Progress Series</w:t>
      </w:r>
      <w:r>
        <w:t xml:space="preserve">, </w:t>
      </w:r>
      <w:r w:rsidRPr="00887820">
        <w:t>237:</w:t>
      </w:r>
      <w:r w:rsidRPr="00742CC9">
        <w:t xml:space="preserve"> 133-141.</w:t>
      </w:r>
    </w:p>
    <w:p w:rsidR="000D4FE0" w:rsidRDefault="000D4FE0" w:rsidP="000D4FE0">
      <w:pPr>
        <w:spacing w:after="0"/>
        <w:ind w:left="567" w:hanging="567"/>
      </w:pPr>
      <w:proofErr w:type="spellStart"/>
      <w:proofErr w:type="gramStart"/>
      <w:r>
        <w:t>Banoo</w:t>
      </w:r>
      <w:proofErr w:type="spellEnd"/>
      <w:r>
        <w:t xml:space="preserve">, </w:t>
      </w:r>
      <w:r w:rsidRPr="00601641">
        <w:t>S</w:t>
      </w:r>
      <w:r>
        <w:t>., Bell,</w:t>
      </w:r>
      <w:r w:rsidRPr="00601641">
        <w:t xml:space="preserve"> D</w:t>
      </w:r>
      <w:r>
        <w:t>.</w:t>
      </w:r>
      <w:r w:rsidRPr="00601641">
        <w:t xml:space="preserve">, </w:t>
      </w:r>
      <w:proofErr w:type="spellStart"/>
      <w:r w:rsidRPr="00601641">
        <w:t>Bossuyt</w:t>
      </w:r>
      <w:proofErr w:type="spellEnd"/>
      <w:r>
        <w:t>,</w:t>
      </w:r>
      <w:r w:rsidRPr="00601641">
        <w:t xml:space="preserve"> P</w:t>
      </w:r>
      <w:r>
        <w:t>.</w:t>
      </w:r>
      <w:r w:rsidRPr="00601641">
        <w:t>, Herring</w:t>
      </w:r>
      <w:r>
        <w:t>,</w:t>
      </w:r>
      <w:r w:rsidRPr="00601641">
        <w:t xml:space="preserve"> A</w:t>
      </w:r>
      <w:r>
        <w:t>.</w:t>
      </w:r>
      <w:r w:rsidRPr="00601641">
        <w:t xml:space="preserve">, </w:t>
      </w:r>
      <w:proofErr w:type="spellStart"/>
      <w:r w:rsidRPr="00601641">
        <w:t>Mabey</w:t>
      </w:r>
      <w:proofErr w:type="spellEnd"/>
      <w:r>
        <w:t>,</w:t>
      </w:r>
      <w:r w:rsidRPr="00601641">
        <w:t xml:space="preserve"> D</w:t>
      </w:r>
      <w:r>
        <w:t>.</w:t>
      </w:r>
      <w:r w:rsidRPr="00601641">
        <w:t>, Poole</w:t>
      </w:r>
      <w:r>
        <w:t>,</w:t>
      </w:r>
      <w:r w:rsidRPr="00601641">
        <w:t xml:space="preserve"> F</w:t>
      </w:r>
      <w:r>
        <w:t>.</w:t>
      </w:r>
      <w:r w:rsidRPr="00601641">
        <w:t>, Smith</w:t>
      </w:r>
      <w:r>
        <w:t>,</w:t>
      </w:r>
      <w:r w:rsidRPr="00601641">
        <w:t xml:space="preserve"> P</w:t>
      </w:r>
      <w:r>
        <w:t>.</w:t>
      </w:r>
      <w:r w:rsidRPr="00601641">
        <w:t>G</w:t>
      </w:r>
      <w:r>
        <w:t xml:space="preserve">., </w:t>
      </w:r>
      <w:proofErr w:type="spellStart"/>
      <w:r>
        <w:t>Sriram</w:t>
      </w:r>
      <w:proofErr w:type="spellEnd"/>
      <w:r>
        <w:t xml:space="preserve">, </w:t>
      </w:r>
      <w:r w:rsidRPr="00601641">
        <w:t>N</w:t>
      </w:r>
      <w:r>
        <w:t xml:space="preserve">., </w:t>
      </w:r>
      <w:proofErr w:type="spellStart"/>
      <w:r>
        <w:t>Wongsrichanalai</w:t>
      </w:r>
      <w:proofErr w:type="spellEnd"/>
      <w:r>
        <w:t xml:space="preserve">, </w:t>
      </w:r>
      <w:r w:rsidRPr="00601641">
        <w:t>C</w:t>
      </w:r>
      <w:r>
        <w:t xml:space="preserve">., </w:t>
      </w:r>
      <w:proofErr w:type="spellStart"/>
      <w:r>
        <w:t>Linke</w:t>
      </w:r>
      <w:proofErr w:type="spellEnd"/>
      <w:r>
        <w:t xml:space="preserve">, </w:t>
      </w:r>
      <w:r w:rsidRPr="00601641">
        <w:t>R</w:t>
      </w:r>
      <w:r>
        <w:t xml:space="preserve">., O'Brien, </w:t>
      </w:r>
      <w:r w:rsidRPr="00601641">
        <w:t>R</w:t>
      </w:r>
      <w:r>
        <w:t xml:space="preserve">., Perkins, </w:t>
      </w:r>
      <w:r w:rsidRPr="00601641">
        <w:t>M</w:t>
      </w:r>
      <w:r>
        <w:t xml:space="preserve">., Cunningham, </w:t>
      </w:r>
      <w:r w:rsidRPr="00601641">
        <w:t>J</w:t>
      </w:r>
      <w:r>
        <w:t xml:space="preserve">., </w:t>
      </w:r>
      <w:proofErr w:type="spellStart"/>
      <w:r>
        <w:t>Matsoso</w:t>
      </w:r>
      <w:proofErr w:type="spellEnd"/>
      <w:r>
        <w:t xml:space="preserve">, </w:t>
      </w:r>
      <w:r w:rsidRPr="00601641">
        <w:t>P</w:t>
      </w:r>
      <w:r>
        <w:t>.</w:t>
      </w:r>
      <w:r w:rsidRPr="00601641">
        <w:t xml:space="preserve">, </w:t>
      </w:r>
      <w:proofErr w:type="spellStart"/>
      <w:r w:rsidRPr="00601641">
        <w:t>Nathanson</w:t>
      </w:r>
      <w:proofErr w:type="spellEnd"/>
      <w:r>
        <w:t>,</w:t>
      </w:r>
      <w:r w:rsidRPr="00601641">
        <w:t xml:space="preserve"> C</w:t>
      </w:r>
      <w:r>
        <w:t>.</w:t>
      </w:r>
      <w:r w:rsidRPr="00601641">
        <w:t>M</w:t>
      </w:r>
      <w:r>
        <w:t>.</w:t>
      </w:r>
      <w:r w:rsidRPr="00601641">
        <w:t xml:space="preserve">, </w:t>
      </w:r>
      <w:proofErr w:type="spellStart"/>
      <w:r w:rsidRPr="00601641">
        <w:t>Olliaro</w:t>
      </w:r>
      <w:proofErr w:type="spellEnd"/>
      <w:r>
        <w:t>,</w:t>
      </w:r>
      <w:r w:rsidRPr="00601641">
        <w:t xml:space="preserve"> P</w:t>
      </w:r>
      <w:r>
        <w:t>.</w:t>
      </w:r>
      <w:r w:rsidRPr="00601641">
        <w:t>, Peeling</w:t>
      </w:r>
      <w:r>
        <w:t>,</w:t>
      </w:r>
      <w:r w:rsidRPr="00601641">
        <w:t xml:space="preserve"> R</w:t>
      </w:r>
      <w:r>
        <w:t>.</w:t>
      </w:r>
      <w:r w:rsidRPr="00601641">
        <w:t>W</w:t>
      </w:r>
      <w:r>
        <w:t xml:space="preserve">. and Ramsay, </w:t>
      </w:r>
      <w:r w:rsidRPr="00601641">
        <w:t>A.</w:t>
      </w:r>
      <w:r>
        <w:t xml:space="preserve"> (2008).</w:t>
      </w:r>
      <w:proofErr w:type="gramEnd"/>
      <w:r>
        <w:t xml:space="preserve"> </w:t>
      </w:r>
      <w:r w:rsidRPr="00601641">
        <w:t>Evaluation of diagnostic tests for infectious diseases: general principles.</w:t>
      </w:r>
      <w:r>
        <w:t xml:space="preserve"> </w:t>
      </w:r>
      <w:r w:rsidRPr="00601641">
        <w:rPr>
          <w:rStyle w:val="journalname"/>
        </w:rPr>
        <w:t>Nature Reviews Microbiology</w:t>
      </w:r>
      <w:r>
        <w:rPr>
          <w:rStyle w:val="journalname"/>
        </w:rPr>
        <w:t>,</w:t>
      </w:r>
      <w:r>
        <w:t xml:space="preserve"> </w:t>
      </w:r>
      <w:r w:rsidRPr="00887820">
        <w:rPr>
          <w:rStyle w:val="journalnumber"/>
        </w:rPr>
        <w:t>6</w:t>
      </w:r>
      <w:r w:rsidRPr="00887820">
        <w:t>:</w:t>
      </w:r>
      <w:r>
        <w:t xml:space="preserve"> S16–S28.</w:t>
      </w:r>
    </w:p>
    <w:p w:rsidR="000D4FE0" w:rsidRDefault="000D4FE0" w:rsidP="000D4FE0">
      <w:pPr>
        <w:spacing w:after="0"/>
        <w:ind w:left="567" w:hanging="567"/>
      </w:pPr>
      <w:proofErr w:type="gramStart"/>
      <w:r>
        <w:t>Bar-Hillel, M. (1980).</w:t>
      </w:r>
      <w:proofErr w:type="gramEnd"/>
      <w:r>
        <w:t xml:space="preserve"> </w:t>
      </w:r>
      <w:proofErr w:type="gramStart"/>
      <w:r>
        <w:t>The base-rate fallacy in probability judgments.</w:t>
      </w:r>
      <w:proofErr w:type="gramEnd"/>
      <w:r>
        <w:t xml:space="preserve"> </w:t>
      </w:r>
      <w:proofErr w:type="spellStart"/>
      <w:r w:rsidRPr="0072683E">
        <w:rPr>
          <w:i/>
        </w:rPr>
        <w:t>Acta</w:t>
      </w:r>
      <w:proofErr w:type="spellEnd"/>
      <w:r w:rsidRPr="0072683E">
        <w:rPr>
          <w:i/>
        </w:rPr>
        <w:t xml:space="preserve"> </w:t>
      </w:r>
      <w:proofErr w:type="spellStart"/>
      <w:r w:rsidRPr="0072683E">
        <w:rPr>
          <w:i/>
        </w:rPr>
        <w:t>Psychologica</w:t>
      </w:r>
      <w:proofErr w:type="spellEnd"/>
      <w:r>
        <w:t>, 44: 211 – 233.</w:t>
      </w:r>
    </w:p>
    <w:p w:rsidR="000D4FE0" w:rsidRPr="003F73C1" w:rsidRDefault="000D4FE0" w:rsidP="000D4FE0">
      <w:pPr>
        <w:spacing w:after="0"/>
        <w:ind w:left="567" w:hanging="567"/>
        <w:rPr>
          <w:lang w:val="en-US"/>
        </w:rPr>
      </w:pPr>
      <w:proofErr w:type="gramStart"/>
      <w:r w:rsidRPr="001E5A2B">
        <w:lastRenderedPageBreak/>
        <w:t>Bocking, S. (2004).</w:t>
      </w:r>
      <w:proofErr w:type="gramEnd"/>
      <w:r w:rsidRPr="001E5A2B">
        <w:t xml:space="preserve"> </w:t>
      </w:r>
      <w:r w:rsidRPr="001E5A2B">
        <w:rPr>
          <w:i/>
        </w:rPr>
        <w:t xml:space="preserve">Nature’s Experts. </w:t>
      </w:r>
      <w:proofErr w:type="gramStart"/>
      <w:r w:rsidRPr="001E5A2B">
        <w:rPr>
          <w:i/>
        </w:rPr>
        <w:t>Science, Politics and the Environment.</w:t>
      </w:r>
      <w:proofErr w:type="gramEnd"/>
      <w:r w:rsidRPr="001E5A2B">
        <w:t xml:space="preserve"> Rutgers University Press, New Brunswick.</w:t>
      </w:r>
    </w:p>
    <w:p w:rsidR="000D4FE0" w:rsidRDefault="000D4FE0" w:rsidP="000D4FE0">
      <w:pPr>
        <w:spacing w:after="0"/>
        <w:ind w:left="567" w:hanging="567"/>
      </w:pPr>
      <w:proofErr w:type="spellStart"/>
      <w:r>
        <w:t>Borja</w:t>
      </w:r>
      <w:proofErr w:type="spellEnd"/>
      <w:r>
        <w:t xml:space="preserve">, A., </w:t>
      </w:r>
      <w:proofErr w:type="spellStart"/>
      <w:r>
        <w:t>Dauer</w:t>
      </w:r>
      <w:proofErr w:type="spellEnd"/>
      <w:r>
        <w:t xml:space="preserve">, D.M., </w:t>
      </w:r>
      <w:proofErr w:type="spellStart"/>
      <w:r>
        <w:t>Grémare</w:t>
      </w:r>
      <w:proofErr w:type="spellEnd"/>
      <w:r>
        <w:t xml:space="preserve">, A. (2012) </w:t>
      </w:r>
      <w:proofErr w:type="gramStart"/>
      <w:r>
        <w:t>The</w:t>
      </w:r>
      <w:proofErr w:type="gramEnd"/>
      <w:r>
        <w:t xml:space="preserve"> importance of setting targets and reference conditions in assessing marine ecosystem quality.</w:t>
      </w:r>
      <w:r w:rsidRPr="00742CC9">
        <w:t xml:space="preserve"> </w:t>
      </w:r>
      <w:r w:rsidRPr="00887820">
        <w:rPr>
          <w:i/>
        </w:rPr>
        <w:t>Ecological Indicators,</w:t>
      </w:r>
      <w:r>
        <w:t xml:space="preserve"> 12: 1–7.</w:t>
      </w:r>
    </w:p>
    <w:p w:rsidR="00681AF6" w:rsidRDefault="00681AF6" w:rsidP="00681AF6">
      <w:pPr>
        <w:spacing w:after="0"/>
        <w:ind w:left="567" w:hanging="567"/>
      </w:pPr>
      <w:proofErr w:type="spellStart"/>
      <w:r>
        <w:t>Borja</w:t>
      </w:r>
      <w:proofErr w:type="spellEnd"/>
      <w:r>
        <w:t xml:space="preserve">, A., </w:t>
      </w:r>
      <w:proofErr w:type="spellStart"/>
      <w:r>
        <w:t>Ranasinghe</w:t>
      </w:r>
      <w:proofErr w:type="spellEnd"/>
      <w:r>
        <w:t>, A., Weisberg, S.B. (2009). Assessing ecological integrity in marine waters, using multiple indices and ecosystem components: challenges for the future</w:t>
      </w:r>
      <w:r w:rsidRPr="00681AF6">
        <w:rPr>
          <w:i/>
        </w:rPr>
        <w:t>. Marine Pollution Bulletin</w:t>
      </w:r>
      <w:r>
        <w:rPr>
          <w:i/>
        </w:rPr>
        <w:t xml:space="preserve">, </w:t>
      </w:r>
      <w:r>
        <w:t>59: 1 - 4.</w:t>
      </w:r>
    </w:p>
    <w:p w:rsidR="00160550" w:rsidRDefault="00160550" w:rsidP="00160550">
      <w:pPr>
        <w:spacing w:after="0"/>
        <w:ind w:left="567" w:hanging="567"/>
      </w:pPr>
      <w:r>
        <w:t>Brando</w:t>
      </w:r>
      <w:r w:rsidRPr="00160550">
        <w:t xml:space="preserve">, </w:t>
      </w:r>
      <w:r>
        <w:t>V.E., Devlin</w:t>
      </w:r>
      <w:r w:rsidRPr="00160550">
        <w:t>,</w:t>
      </w:r>
      <w:r>
        <w:t xml:space="preserve"> M.</w:t>
      </w:r>
      <w:proofErr w:type="gramStart"/>
      <w:r>
        <w:t xml:space="preserve">, </w:t>
      </w:r>
      <w:r w:rsidRPr="00160550">
        <w:t xml:space="preserve"> </w:t>
      </w:r>
      <w:proofErr w:type="spellStart"/>
      <w:r>
        <w:t>Dobbie</w:t>
      </w:r>
      <w:proofErr w:type="spellEnd"/>
      <w:proofErr w:type="gramEnd"/>
      <w:r w:rsidRPr="00160550">
        <w:t>,</w:t>
      </w:r>
      <w:r>
        <w:t xml:space="preserve"> M., McNeil</w:t>
      </w:r>
      <w:r w:rsidRPr="00160550">
        <w:t>,</w:t>
      </w:r>
      <w:r>
        <w:t xml:space="preserve"> A., </w:t>
      </w:r>
      <w:proofErr w:type="spellStart"/>
      <w:r>
        <w:t>Schaffelke</w:t>
      </w:r>
      <w:proofErr w:type="spellEnd"/>
      <w:r>
        <w:t>, B. and</w:t>
      </w:r>
      <w:r w:rsidRPr="00160550">
        <w:t xml:space="preserve"> </w:t>
      </w:r>
      <w:proofErr w:type="spellStart"/>
      <w:r w:rsidRPr="00160550">
        <w:t>and</w:t>
      </w:r>
      <w:proofErr w:type="spellEnd"/>
      <w:r w:rsidRPr="00160550">
        <w:t xml:space="preserve"> </w:t>
      </w:r>
      <w:r>
        <w:t xml:space="preserve">Schroeder, T. (2014). Developing integrated assessment metrics for reporting of water quality in the Great Barrier Reef lagoon. Project RRRD016. </w:t>
      </w:r>
      <w:proofErr w:type="gramStart"/>
      <w:r>
        <w:t>CSIRO.</w:t>
      </w:r>
      <w:proofErr w:type="gramEnd"/>
      <w:r>
        <w:t xml:space="preserve"> Available at </w:t>
      </w:r>
      <w:r w:rsidRPr="00160550">
        <w:t>http://www.reefrescueresearch.com.au/component/content/article/23-final-reports/188-rrrd016-final-report.html</w:t>
      </w:r>
    </w:p>
    <w:p w:rsidR="000D4FE0" w:rsidRDefault="000D4FE0" w:rsidP="000D4FE0">
      <w:pPr>
        <w:spacing w:after="0"/>
        <w:ind w:left="567" w:hanging="567"/>
      </w:pPr>
      <w:proofErr w:type="gramStart"/>
      <w:r w:rsidRPr="009D7A21">
        <w:t>Brown B</w:t>
      </w:r>
      <w:r>
        <w:t>.</w:t>
      </w:r>
      <w:r w:rsidRPr="009D7A21">
        <w:t>E</w:t>
      </w:r>
      <w:r>
        <w:t>. and</w:t>
      </w:r>
      <w:r w:rsidRPr="009D7A21">
        <w:t xml:space="preserve"> </w:t>
      </w:r>
      <w:proofErr w:type="spellStart"/>
      <w:r w:rsidRPr="009D7A21">
        <w:t>Cossins</w:t>
      </w:r>
      <w:proofErr w:type="spellEnd"/>
      <w:r>
        <w:t>,</w:t>
      </w:r>
      <w:r w:rsidRPr="009D7A21">
        <w:t xml:space="preserve"> A</w:t>
      </w:r>
      <w:r>
        <w:t>.</w:t>
      </w:r>
      <w:r w:rsidRPr="009D7A21">
        <w:t>R</w:t>
      </w:r>
      <w:r>
        <w:t>.</w:t>
      </w:r>
      <w:r w:rsidRPr="009D7A21">
        <w:t xml:space="preserve"> (2011)</w:t>
      </w:r>
      <w:r>
        <w:t>.</w:t>
      </w:r>
      <w:proofErr w:type="gramEnd"/>
      <w:r w:rsidRPr="009D7A21">
        <w:t xml:space="preserve"> </w:t>
      </w:r>
      <w:proofErr w:type="gramStart"/>
      <w:r w:rsidRPr="009D7A21">
        <w:t>The potential for temperature acclimatisation of reef corals in the face of climate change.</w:t>
      </w:r>
      <w:proofErr w:type="gramEnd"/>
      <w:r w:rsidRPr="009D7A21">
        <w:t xml:space="preserve"> In: </w:t>
      </w:r>
      <w:r>
        <w:t xml:space="preserve">Z. </w:t>
      </w:r>
      <w:proofErr w:type="gramStart"/>
      <w:r>
        <w:t>Dubinsky  and</w:t>
      </w:r>
      <w:proofErr w:type="gramEnd"/>
      <w:r>
        <w:t xml:space="preserve"> N. </w:t>
      </w:r>
      <w:proofErr w:type="spellStart"/>
      <w:r>
        <w:t>Stambler</w:t>
      </w:r>
      <w:proofErr w:type="spellEnd"/>
      <w:r>
        <w:t xml:space="preserve"> (</w:t>
      </w:r>
      <w:proofErr w:type="spellStart"/>
      <w:r>
        <w:t>eds</w:t>
      </w:r>
      <w:proofErr w:type="spellEnd"/>
      <w:r>
        <w:t>)</w:t>
      </w:r>
      <w:r w:rsidRPr="009D7A21">
        <w:t xml:space="preserve">. </w:t>
      </w:r>
      <w:r w:rsidRPr="009D7A21">
        <w:rPr>
          <w:i/>
        </w:rPr>
        <w:t xml:space="preserve">Coral reefs: an </w:t>
      </w:r>
      <w:proofErr w:type="spellStart"/>
      <w:r w:rsidRPr="009D7A21">
        <w:rPr>
          <w:i/>
        </w:rPr>
        <w:t>ecosytem</w:t>
      </w:r>
      <w:proofErr w:type="spellEnd"/>
      <w:r w:rsidRPr="009D7A21">
        <w:rPr>
          <w:i/>
        </w:rPr>
        <w:t xml:space="preserve"> in transition.</w:t>
      </w:r>
      <w:r w:rsidRPr="009D7A21">
        <w:t xml:space="preserve"> Dordrecht Heidelberg London New York: Springer. pp. 421–433.</w:t>
      </w:r>
    </w:p>
    <w:p w:rsidR="000D4FE0" w:rsidRPr="001505E9" w:rsidRDefault="000D4FE0" w:rsidP="000D4FE0">
      <w:pPr>
        <w:spacing w:after="0"/>
        <w:ind w:left="567" w:hanging="567"/>
      </w:pPr>
      <w:proofErr w:type="spellStart"/>
      <w:r>
        <w:t>Carruthers</w:t>
      </w:r>
      <w:proofErr w:type="spellEnd"/>
      <w:r>
        <w:t xml:space="preserve">, T. J., </w:t>
      </w:r>
      <w:proofErr w:type="spellStart"/>
      <w:r w:rsidRPr="001505E9">
        <w:t>Beckert</w:t>
      </w:r>
      <w:proofErr w:type="spellEnd"/>
      <w:r w:rsidRPr="001505E9">
        <w:t xml:space="preserve">, </w:t>
      </w:r>
      <w:r>
        <w:t xml:space="preserve">K., </w:t>
      </w:r>
      <w:proofErr w:type="spellStart"/>
      <w:r w:rsidRPr="001505E9">
        <w:t>Schupp</w:t>
      </w:r>
      <w:proofErr w:type="spellEnd"/>
      <w:r w:rsidRPr="001505E9">
        <w:t xml:space="preserve">, </w:t>
      </w:r>
      <w:r>
        <w:t xml:space="preserve">C.A., </w:t>
      </w:r>
      <w:r w:rsidRPr="001505E9">
        <w:t xml:space="preserve">Saxby, </w:t>
      </w:r>
      <w:r>
        <w:t>T.,</w:t>
      </w:r>
      <w:r w:rsidRPr="001505E9">
        <w:t xml:space="preserve"> </w:t>
      </w:r>
      <w:proofErr w:type="spellStart"/>
      <w:proofErr w:type="gramStart"/>
      <w:r w:rsidRPr="001505E9">
        <w:t>Kumer</w:t>
      </w:r>
      <w:r>
        <w:t>J.P</w:t>
      </w:r>
      <w:proofErr w:type="spellEnd"/>
      <w:r>
        <w:t>.,</w:t>
      </w:r>
      <w:proofErr w:type="gramEnd"/>
      <w:r>
        <w:t xml:space="preserve"> </w:t>
      </w:r>
      <w:r w:rsidRPr="001505E9">
        <w:t xml:space="preserve">Thomas, </w:t>
      </w:r>
      <w:r>
        <w:t xml:space="preserve">J., </w:t>
      </w:r>
      <w:r w:rsidRPr="001505E9">
        <w:t xml:space="preserve">Sturgis, </w:t>
      </w:r>
      <w:r>
        <w:t xml:space="preserve">B., </w:t>
      </w:r>
      <w:r w:rsidRPr="001505E9">
        <w:t>Dennison</w:t>
      </w:r>
      <w:r>
        <w:t xml:space="preserve">, W.C., </w:t>
      </w:r>
      <w:r w:rsidRPr="001505E9">
        <w:t xml:space="preserve">Williams, </w:t>
      </w:r>
      <w:r>
        <w:t xml:space="preserve">M. </w:t>
      </w:r>
      <w:r w:rsidRPr="001505E9">
        <w:t xml:space="preserve">and T. Fisher. </w:t>
      </w:r>
      <w:proofErr w:type="gramStart"/>
      <w:r>
        <w:t>T. (</w:t>
      </w:r>
      <w:r w:rsidRPr="001505E9">
        <w:t>2013</w:t>
      </w:r>
      <w:r>
        <w:t>)</w:t>
      </w:r>
      <w:r w:rsidRPr="001505E9">
        <w:t>.</w:t>
      </w:r>
      <w:proofErr w:type="gramEnd"/>
      <w:r w:rsidRPr="001505E9">
        <w:t xml:space="preserve"> </w:t>
      </w:r>
      <w:proofErr w:type="gramStart"/>
      <w:r w:rsidRPr="001505E9">
        <w:t>Improving management of a mid-Atlantic coastal barrier island through assessment of habitat condition.</w:t>
      </w:r>
      <w:proofErr w:type="gramEnd"/>
      <w:r w:rsidRPr="001505E9">
        <w:t xml:space="preserve"> </w:t>
      </w:r>
      <w:r w:rsidRPr="001505E9">
        <w:rPr>
          <w:i/>
        </w:rPr>
        <w:t>Estuarine, Coastal and Shelf Science</w:t>
      </w:r>
      <w:r>
        <w:t>,</w:t>
      </w:r>
      <w:r w:rsidRPr="001505E9">
        <w:t xml:space="preserve"> 116:</w:t>
      </w:r>
      <w:r>
        <w:t xml:space="preserve"> </w:t>
      </w:r>
      <w:r w:rsidRPr="001505E9">
        <w:t>74-86.</w:t>
      </w:r>
    </w:p>
    <w:p w:rsidR="000D4FE0" w:rsidRDefault="000D4FE0" w:rsidP="000D4FE0">
      <w:pPr>
        <w:spacing w:after="0"/>
        <w:ind w:left="567" w:hanging="567"/>
      </w:pPr>
      <w:proofErr w:type="gramStart"/>
      <w:r>
        <w:t>Carter, S. L.,</w:t>
      </w:r>
      <w:r w:rsidRPr="005832D0">
        <w:t xml:space="preserve"> Mora-Bourgeois, </w:t>
      </w:r>
      <w:r>
        <w:t xml:space="preserve">G., </w:t>
      </w:r>
      <w:proofErr w:type="spellStart"/>
      <w:r w:rsidRPr="005832D0">
        <w:t>Lookingbill</w:t>
      </w:r>
      <w:proofErr w:type="spellEnd"/>
      <w:r w:rsidRPr="005832D0">
        <w:t xml:space="preserve">, </w:t>
      </w:r>
      <w:r>
        <w:t xml:space="preserve">T.R., </w:t>
      </w:r>
      <w:proofErr w:type="spellStart"/>
      <w:r w:rsidRPr="005832D0">
        <w:t>Carruthers</w:t>
      </w:r>
      <w:proofErr w:type="spellEnd"/>
      <w:r w:rsidRPr="005832D0">
        <w:t xml:space="preserve">, </w:t>
      </w:r>
      <w:r>
        <w:t xml:space="preserve">T.J. and </w:t>
      </w:r>
      <w:r w:rsidRPr="005832D0">
        <w:t>Dennison</w:t>
      </w:r>
      <w:r>
        <w:t>, W.C</w:t>
      </w:r>
      <w:r w:rsidRPr="005832D0">
        <w:t xml:space="preserve">. </w:t>
      </w:r>
      <w:r>
        <w:t>(</w:t>
      </w:r>
      <w:r w:rsidRPr="005832D0">
        <w:t>2007</w:t>
      </w:r>
      <w:r>
        <w:t>)</w:t>
      </w:r>
      <w:r w:rsidRPr="005832D0">
        <w:t>.</w:t>
      </w:r>
      <w:proofErr w:type="gramEnd"/>
      <w:r w:rsidRPr="005832D0">
        <w:t xml:space="preserve"> The challenge of communicating moni</w:t>
      </w:r>
      <w:r>
        <w:t>toring results to effect change. The George Wright Forum, pp.</w:t>
      </w:r>
      <w:r w:rsidRPr="005832D0">
        <w:t xml:space="preserve"> 48-58</w:t>
      </w:r>
      <w:r>
        <w:t>.</w:t>
      </w:r>
    </w:p>
    <w:p w:rsidR="000D4FE0" w:rsidRDefault="000D4FE0" w:rsidP="000D4FE0">
      <w:pPr>
        <w:spacing w:after="0"/>
        <w:ind w:left="567" w:hanging="567"/>
      </w:pPr>
      <w:proofErr w:type="spellStart"/>
      <w:r>
        <w:t>Chaloupka</w:t>
      </w:r>
      <w:proofErr w:type="spellEnd"/>
      <w:r>
        <w:t xml:space="preserve">, M., </w:t>
      </w:r>
      <w:proofErr w:type="spellStart"/>
      <w:r>
        <w:t>Bjorndal</w:t>
      </w:r>
      <w:proofErr w:type="spellEnd"/>
      <w:r>
        <w:t xml:space="preserve">, K.A., </w:t>
      </w:r>
      <w:proofErr w:type="spellStart"/>
      <w:r>
        <w:t>Balazs</w:t>
      </w:r>
      <w:proofErr w:type="spellEnd"/>
      <w:r>
        <w:t xml:space="preserve">, G.H., </w:t>
      </w:r>
      <w:proofErr w:type="spellStart"/>
      <w:r>
        <w:t>Bolten</w:t>
      </w:r>
      <w:proofErr w:type="spellEnd"/>
      <w:r>
        <w:t xml:space="preserve">, A.B., </w:t>
      </w:r>
      <w:proofErr w:type="spellStart"/>
      <w:r>
        <w:t>Ehrhart</w:t>
      </w:r>
      <w:proofErr w:type="spellEnd"/>
      <w:r>
        <w:t xml:space="preserve">, L.M., </w:t>
      </w:r>
      <w:proofErr w:type="spellStart"/>
      <w:r>
        <w:t>Limpus</w:t>
      </w:r>
      <w:proofErr w:type="spellEnd"/>
      <w:r>
        <w:t xml:space="preserve">, </w:t>
      </w:r>
      <w:proofErr w:type="spellStart"/>
      <w:r>
        <w:t>C.J.</w:t>
      </w:r>
      <w:proofErr w:type="gramStart"/>
      <w:r>
        <w:t>,Suganuma</w:t>
      </w:r>
      <w:proofErr w:type="spellEnd"/>
      <w:proofErr w:type="gramEnd"/>
      <w:r>
        <w:t xml:space="preserve">, H., </w:t>
      </w:r>
      <w:proofErr w:type="spellStart"/>
      <w:r>
        <w:t>Troeeng</w:t>
      </w:r>
      <w:proofErr w:type="spellEnd"/>
      <w:r>
        <w:t>, S. and Yamaguchi, M.</w:t>
      </w:r>
      <w:r w:rsidRPr="001D1331">
        <w:t xml:space="preserve"> (2008) Encouraging outlook for recovery of a once severely exploited marine </w:t>
      </w:r>
      <w:proofErr w:type="spellStart"/>
      <w:r w:rsidRPr="001D1331">
        <w:t>megaherbivore</w:t>
      </w:r>
      <w:proofErr w:type="spellEnd"/>
      <w:r w:rsidRPr="001D1331">
        <w:t xml:space="preserve">. </w:t>
      </w:r>
      <w:r w:rsidRPr="00887820">
        <w:rPr>
          <w:i/>
        </w:rPr>
        <w:t>Global Ecology and Biogeography</w:t>
      </w:r>
      <w:r w:rsidRPr="001D1331">
        <w:t>, 17: 297-304.</w:t>
      </w:r>
    </w:p>
    <w:p w:rsidR="000D4FE0" w:rsidRDefault="000D4FE0" w:rsidP="000D4FE0">
      <w:pPr>
        <w:spacing w:after="0"/>
        <w:ind w:left="567" w:hanging="567"/>
      </w:pPr>
      <w:proofErr w:type="spellStart"/>
      <w:proofErr w:type="gramStart"/>
      <w:r w:rsidRPr="0001430C">
        <w:t>Chankong</w:t>
      </w:r>
      <w:proofErr w:type="spellEnd"/>
      <w:r w:rsidRPr="0001430C">
        <w:t xml:space="preserve">, V. and </w:t>
      </w:r>
      <w:proofErr w:type="spellStart"/>
      <w:r w:rsidRPr="0001430C">
        <w:t>Haimes</w:t>
      </w:r>
      <w:proofErr w:type="spellEnd"/>
      <w:r w:rsidRPr="0001430C">
        <w:t>, Y.Y. (2008).</w:t>
      </w:r>
      <w:proofErr w:type="gramEnd"/>
      <w:r w:rsidRPr="0001430C">
        <w:t xml:space="preserve"> </w:t>
      </w:r>
      <w:proofErr w:type="spellStart"/>
      <w:proofErr w:type="gramStart"/>
      <w:r w:rsidRPr="00887820">
        <w:rPr>
          <w:i/>
        </w:rPr>
        <w:t>Multiobjective</w:t>
      </w:r>
      <w:proofErr w:type="spellEnd"/>
      <w:r w:rsidRPr="00887820">
        <w:rPr>
          <w:i/>
        </w:rPr>
        <w:t xml:space="preserve"> decision making.</w:t>
      </w:r>
      <w:proofErr w:type="gramEnd"/>
      <w:r w:rsidRPr="00887820">
        <w:rPr>
          <w:i/>
        </w:rPr>
        <w:t xml:space="preserve"> </w:t>
      </w:r>
      <w:proofErr w:type="gramStart"/>
      <w:r w:rsidRPr="00887820">
        <w:rPr>
          <w:i/>
        </w:rPr>
        <w:t>Theory and methodology.</w:t>
      </w:r>
      <w:proofErr w:type="gramEnd"/>
      <w:r w:rsidRPr="00887820">
        <w:rPr>
          <w:i/>
        </w:rPr>
        <w:t xml:space="preserve"> </w:t>
      </w:r>
      <w:r w:rsidRPr="0001430C">
        <w:t>Dover, New York.</w:t>
      </w:r>
    </w:p>
    <w:p w:rsidR="000D4FE0" w:rsidRDefault="000D4FE0" w:rsidP="000D4FE0">
      <w:pPr>
        <w:spacing w:after="0"/>
        <w:ind w:left="567" w:hanging="567"/>
      </w:pPr>
      <w:proofErr w:type="gramStart"/>
      <w:r>
        <w:t xml:space="preserve">Cole, A. J., </w:t>
      </w:r>
      <w:proofErr w:type="spellStart"/>
      <w:r>
        <w:t>Pratchett</w:t>
      </w:r>
      <w:proofErr w:type="spellEnd"/>
      <w:r>
        <w:t>, M. S. and Jones, G. P.</w:t>
      </w:r>
      <w:proofErr w:type="gramEnd"/>
      <w:r>
        <w:t xml:space="preserve">  </w:t>
      </w:r>
      <w:proofErr w:type="gramStart"/>
      <w:r>
        <w:t>(2008). Diversity and functional importance of coral-feeding fishes on tropical coral reefs.</w:t>
      </w:r>
      <w:proofErr w:type="gramEnd"/>
      <w:r>
        <w:t xml:space="preserve"> </w:t>
      </w:r>
      <w:r w:rsidRPr="00887820">
        <w:rPr>
          <w:i/>
        </w:rPr>
        <w:t>Fish and Fisheries</w:t>
      </w:r>
      <w:r>
        <w:t>, 9: 1–22.</w:t>
      </w:r>
    </w:p>
    <w:p w:rsidR="000D4FE0" w:rsidRDefault="000D4FE0" w:rsidP="000D4FE0">
      <w:pPr>
        <w:spacing w:after="0"/>
        <w:ind w:left="567" w:hanging="567"/>
      </w:pPr>
      <w:proofErr w:type="gramStart"/>
      <w:r w:rsidRPr="00BF12E1">
        <w:t>Collier</w:t>
      </w:r>
      <w:r>
        <w:t>,</w:t>
      </w:r>
      <w:r w:rsidRPr="00BF12E1">
        <w:t xml:space="preserve"> C</w:t>
      </w:r>
      <w:r>
        <w:t>.</w:t>
      </w:r>
      <w:r w:rsidRPr="00BF12E1">
        <w:t>J</w:t>
      </w:r>
      <w:r>
        <w:t>.</w:t>
      </w:r>
      <w:r w:rsidRPr="00BF12E1">
        <w:t xml:space="preserve">, </w:t>
      </w:r>
      <w:proofErr w:type="spellStart"/>
      <w:r w:rsidRPr="00BF12E1">
        <w:t>Waycott</w:t>
      </w:r>
      <w:proofErr w:type="spellEnd"/>
      <w:r w:rsidRPr="00BF12E1">
        <w:t>, M</w:t>
      </w:r>
      <w:r>
        <w:t>.</w:t>
      </w:r>
      <w:r w:rsidRPr="00BF12E1">
        <w:t xml:space="preserve">, </w:t>
      </w:r>
      <w:proofErr w:type="spellStart"/>
      <w:r w:rsidRPr="00BF12E1">
        <w:t>Ospina</w:t>
      </w:r>
      <w:proofErr w:type="spellEnd"/>
      <w:r w:rsidRPr="00BF12E1">
        <w:t xml:space="preserve"> A</w:t>
      </w:r>
      <w:r>
        <w:t>.</w:t>
      </w:r>
      <w:r w:rsidRPr="00BF12E1">
        <w:t>G</w:t>
      </w:r>
      <w:r>
        <w:t>.</w:t>
      </w:r>
      <w:r w:rsidRPr="00BF12E1">
        <w:t xml:space="preserve"> (2012) Responses of four Indo-West Pacific seagrass species to shading.</w:t>
      </w:r>
      <w:proofErr w:type="gramEnd"/>
      <w:r w:rsidRPr="00BF12E1">
        <w:t xml:space="preserve"> </w:t>
      </w:r>
      <w:r w:rsidRPr="00887820">
        <w:rPr>
          <w:i/>
        </w:rPr>
        <w:t>Marine Pollution Bulletin</w:t>
      </w:r>
      <w:r w:rsidRPr="00BF12E1">
        <w:t>, 65: 342–354</w:t>
      </w:r>
      <w:r>
        <w:t>.</w:t>
      </w:r>
    </w:p>
    <w:p w:rsidR="000D4FE0" w:rsidRPr="007469DA" w:rsidRDefault="000D4FE0" w:rsidP="000D4FE0">
      <w:pPr>
        <w:spacing w:after="0"/>
        <w:ind w:left="567" w:hanging="567"/>
      </w:pPr>
      <w:proofErr w:type="gramStart"/>
      <w:r w:rsidRPr="008D5085">
        <w:t>Cooper T</w:t>
      </w:r>
      <w:r>
        <w:t>.</w:t>
      </w:r>
      <w:r w:rsidRPr="008D5085">
        <w:t>F</w:t>
      </w:r>
      <w:r>
        <w:t>.</w:t>
      </w:r>
      <w:r w:rsidRPr="008D5085">
        <w:t xml:space="preserve">, </w:t>
      </w:r>
      <w:proofErr w:type="spellStart"/>
      <w:r w:rsidRPr="008D5085">
        <w:t>Ridd</w:t>
      </w:r>
      <w:proofErr w:type="spellEnd"/>
      <w:r>
        <w:t>,</w:t>
      </w:r>
      <w:r w:rsidRPr="008D5085">
        <w:t xml:space="preserve"> P</w:t>
      </w:r>
      <w:r>
        <w:t>.</w:t>
      </w:r>
      <w:r w:rsidRPr="008D5085">
        <w:t xml:space="preserve">, </w:t>
      </w:r>
      <w:proofErr w:type="spellStart"/>
      <w:r w:rsidRPr="008D5085">
        <w:t>Ulstrup</w:t>
      </w:r>
      <w:proofErr w:type="spellEnd"/>
      <w:r>
        <w:t>,</w:t>
      </w:r>
      <w:r w:rsidRPr="008D5085">
        <w:t xml:space="preserve"> K</w:t>
      </w:r>
      <w:r>
        <w:t>.</w:t>
      </w:r>
      <w:r w:rsidRPr="008D5085">
        <w:t>E</w:t>
      </w:r>
      <w:r>
        <w:t>.</w:t>
      </w:r>
      <w:r w:rsidRPr="008D5085">
        <w:t>, Humphrey</w:t>
      </w:r>
      <w:r>
        <w:t>,</w:t>
      </w:r>
      <w:r w:rsidRPr="008D5085">
        <w:t xml:space="preserve"> C</w:t>
      </w:r>
      <w:r>
        <w:t>.</w:t>
      </w:r>
      <w:r w:rsidRPr="008D5085">
        <w:t>A</w:t>
      </w:r>
      <w:r>
        <w:t>.</w:t>
      </w:r>
      <w:r w:rsidRPr="008D5085">
        <w:t xml:space="preserve">, </w:t>
      </w:r>
      <w:proofErr w:type="spellStart"/>
      <w:r w:rsidRPr="008D5085">
        <w:t>Slivkoff</w:t>
      </w:r>
      <w:proofErr w:type="spellEnd"/>
      <w:r>
        <w:t>,</w:t>
      </w:r>
      <w:r w:rsidRPr="008D5085">
        <w:t xml:space="preserve"> M</w:t>
      </w:r>
      <w:r>
        <w:t>.</w:t>
      </w:r>
      <w:r w:rsidRPr="008D5085">
        <w:t>M</w:t>
      </w:r>
      <w:r>
        <w:t xml:space="preserve">. and </w:t>
      </w:r>
      <w:proofErr w:type="spellStart"/>
      <w:r>
        <w:t>Fabricius</w:t>
      </w:r>
      <w:proofErr w:type="spellEnd"/>
      <w:r>
        <w:t xml:space="preserve">, </w:t>
      </w:r>
      <w:r w:rsidRPr="008D5085">
        <w:t>K</w:t>
      </w:r>
      <w:r>
        <w:t>.</w:t>
      </w:r>
      <w:r w:rsidRPr="008D5085">
        <w:t>E</w:t>
      </w:r>
      <w:r>
        <w:t>. (2008).</w:t>
      </w:r>
      <w:proofErr w:type="gramEnd"/>
      <w:r>
        <w:t xml:space="preserve"> </w:t>
      </w:r>
      <w:proofErr w:type="gramStart"/>
      <w:r w:rsidRPr="004A4201">
        <w:t xml:space="preserve">Temporal dynamics in coral </w:t>
      </w:r>
      <w:proofErr w:type="spellStart"/>
      <w:r w:rsidRPr="004A4201">
        <w:t>bioindicators</w:t>
      </w:r>
      <w:proofErr w:type="spellEnd"/>
      <w:r w:rsidRPr="004A4201">
        <w:t xml:space="preserve"> for water quality on coastal coral re</w:t>
      </w:r>
      <w:r>
        <w:t>efs of the Great Barrier Reef.</w:t>
      </w:r>
      <w:proofErr w:type="gramEnd"/>
      <w:r>
        <w:t xml:space="preserve"> </w:t>
      </w:r>
      <w:r w:rsidRPr="008D5085">
        <w:rPr>
          <w:i/>
        </w:rPr>
        <w:t>Marine and Freshwater Research</w:t>
      </w:r>
      <w:r w:rsidRPr="004A4201">
        <w:t xml:space="preserve"> </w:t>
      </w:r>
      <w:r w:rsidRPr="00887820">
        <w:t xml:space="preserve">59: </w:t>
      </w:r>
      <w:r w:rsidRPr="004A4201">
        <w:t>703-716.</w:t>
      </w:r>
    </w:p>
    <w:p w:rsidR="000D4FE0" w:rsidRPr="007469DA" w:rsidRDefault="000D4FE0" w:rsidP="000D4FE0">
      <w:pPr>
        <w:spacing w:after="0"/>
        <w:ind w:left="567" w:hanging="567"/>
      </w:pPr>
      <w:proofErr w:type="spellStart"/>
      <w:proofErr w:type="gramStart"/>
      <w:r w:rsidRPr="007469DA">
        <w:t>De'ath</w:t>
      </w:r>
      <w:proofErr w:type="spellEnd"/>
      <w:r w:rsidRPr="007469DA">
        <w:t xml:space="preserve">, G. and </w:t>
      </w:r>
      <w:proofErr w:type="spellStart"/>
      <w:r w:rsidRPr="007469DA">
        <w:t>Fabricius</w:t>
      </w:r>
      <w:proofErr w:type="spellEnd"/>
      <w:r w:rsidRPr="007469DA">
        <w:t xml:space="preserve">, K.E. </w:t>
      </w:r>
      <w:r>
        <w:t>(2008).</w:t>
      </w:r>
      <w:proofErr w:type="gramEnd"/>
      <w:r w:rsidRPr="007469DA">
        <w:t xml:space="preserve"> Water quality of the Great Barrier Reef: distributions, effects on reef biota and trigger values for the protection of ecosystem health, Great Barrier Reef Marine Park Authority, Townsville.</w:t>
      </w:r>
    </w:p>
    <w:p w:rsidR="000D4FE0" w:rsidRDefault="000D4FE0" w:rsidP="000D4FE0">
      <w:pPr>
        <w:spacing w:after="0"/>
        <w:ind w:left="567" w:hanging="567"/>
      </w:pPr>
      <w:proofErr w:type="gramStart"/>
      <w:r w:rsidRPr="006765D4">
        <w:t xml:space="preserve">Deloitte Access Economics </w:t>
      </w:r>
      <w:r>
        <w:t>(</w:t>
      </w:r>
      <w:r w:rsidRPr="006765D4">
        <w:t>2013</w:t>
      </w:r>
      <w:r>
        <w:t>).</w:t>
      </w:r>
      <w:proofErr w:type="gramEnd"/>
      <w:r w:rsidRPr="006765D4">
        <w:t xml:space="preserve"> </w:t>
      </w:r>
      <w:proofErr w:type="gramStart"/>
      <w:r w:rsidRPr="006765D4">
        <w:t>Economic contrib</w:t>
      </w:r>
      <w:r>
        <w:t>ution of the Great Barrier Reef.</w:t>
      </w:r>
      <w:proofErr w:type="gramEnd"/>
      <w:r w:rsidRPr="006765D4">
        <w:t xml:space="preserve"> Great Barrier Reef Marine Park Authority, Townsville.</w:t>
      </w:r>
    </w:p>
    <w:p w:rsidR="000D4FE0" w:rsidRDefault="000D4FE0" w:rsidP="000D4FE0">
      <w:pPr>
        <w:spacing w:after="0"/>
        <w:ind w:left="567" w:hanging="567"/>
      </w:pPr>
      <w:r>
        <w:t xml:space="preserve">Devlin, M. J., </w:t>
      </w:r>
      <w:proofErr w:type="spellStart"/>
      <w:r>
        <w:t>McKinna</w:t>
      </w:r>
      <w:proofErr w:type="spellEnd"/>
      <w:r>
        <w:t xml:space="preserve">, L. W., Alvarez-Romero, J. G., </w:t>
      </w:r>
      <w:proofErr w:type="spellStart"/>
      <w:r>
        <w:t>Petus</w:t>
      </w:r>
      <w:proofErr w:type="spellEnd"/>
      <w:r>
        <w:t xml:space="preserve">, C., </w:t>
      </w:r>
      <w:proofErr w:type="spellStart"/>
      <w:r>
        <w:t>Abott</w:t>
      </w:r>
      <w:proofErr w:type="spellEnd"/>
      <w:r>
        <w:t xml:space="preserve">, B., </w:t>
      </w:r>
      <w:proofErr w:type="spellStart"/>
      <w:r>
        <w:t>Harkness</w:t>
      </w:r>
      <w:proofErr w:type="spellEnd"/>
      <w:r>
        <w:t xml:space="preserve">, P. and </w:t>
      </w:r>
      <w:proofErr w:type="spellStart"/>
      <w:r>
        <w:t>Brodie</w:t>
      </w:r>
      <w:proofErr w:type="spellEnd"/>
      <w:r>
        <w:t xml:space="preserve">, J. (2012). </w:t>
      </w:r>
      <w:proofErr w:type="gramStart"/>
      <w:r>
        <w:t xml:space="preserve">Mapping the pollutants in surface </w:t>
      </w:r>
      <w:proofErr w:type="spellStart"/>
      <w:r>
        <w:t>riverine</w:t>
      </w:r>
      <w:proofErr w:type="spellEnd"/>
      <w:r>
        <w:t xml:space="preserve"> flood plume waters in the Great Barrier Reef, Australia.</w:t>
      </w:r>
      <w:proofErr w:type="gramEnd"/>
      <w:r>
        <w:t xml:space="preserve"> </w:t>
      </w:r>
      <w:r w:rsidRPr="000F2083">
        <w:rPr>
          <w:i/>
        </w:rPr>
        <w:t>Marine Pollution Bulletin</w:t>
      </w:r>
      <w:r>
        <w:t>, 65: 224-235.</w:t>
      </w:r>
    </w:p>
    <w:p w:rsidR="000D4FE0" w:rsidRDefault="000D4FE0" w:rsidP="000D4FE0">
      <w:pPr>
        <w:spacing w:after="0"/>
        <w:ind w:left="567" w:hanging="567"/>
        <w:rPr>
          <w:lang w:val="en-US"/>
        </w:rPr>
      </w:pPr>
      <w:proofErr w:type="gramStart"/>
      <w:r w:rsidRPr="00BA5311">
        <w:rPr>
          <w:lang w:val="en-US"/>
        </w:rPr>
        <w:t xml:space="preserve">Dietz, T. </w:t>
      </w:r>
      <w:r>
        <w:rPr>
          <w:lang w:val="en-US"/>
        </w:rPr>
        <w:t>(</w:t>
      </w:r>
      <w:r w:rsidRPr="00BA5311">
        <w:rPr>
          <w:lang w:val="en-US"/>
        </w:rPr>
        <w:t>1987</w:t>
      </w:r>
      <w:r>
        <w:rPr>
          <w:lang w:val="en-US"/>
        </w:rPr>
        <w:t>)</w:t>
      </w:r>
      <w:r w:rsidRPr="00BA5311">
        <w:rPr>
          <w:lang w:val="en-US"/>
        </w:rPr>
        <w:t>.</w:t>
      </w:r>
      <w:proofErr w:type="gramEnd"/>
      <w:r w:rsidRPr="00BA5311">
        <w:rPr>
          <w:lang w:val="en-US"/>
        </w:rPr>
        <w:t xml:space="preserve"> </w:t>
      </w:r>
      <w:proofErr w:type="gramStart"/>
      <w:r w:rsidRPr="00BA5311">
        <w:rPr>
          <w:lang w:val="en-US"/>
        </w:rPr>
        <w:t>Theory and method in Social Impact Assessment.</w:t>
      </w:r>
      <w:proofErr w:type="gramEnd"/>
      <w:r w:rsidRPr="00BA5311">
        <w:rPr>
          <w:lang w:val="en-US"/>
        </w:rPr>
        <w:t xml:space="preserve"> </w:t>
      </w:r>
      <w:r>
        <w:rPr>
          <w:i/>
          <w:lang w:val="en-US"/>
        </w:rPr>
        <w:t>Sociological I</w:t>
      </w:r>
      <w:r w:rsidRPr="00BA5311">
        <w:rPr>
          <w:i/>
          <w:lang w:val="en-US"/>
        </w:rPr>
        <w:t>nquiry</w:t>
      </w:r>
      <w:r>
        <w:rPr>
          <w:i/>
          <w:lang w:val="en-US"/>
        </w:rPr>
        <w:t>,</w:t>
      </w:r>
      <w:r w:rsidRPr="00BA5311">
        <w:rPr>
          <w:lang w:val="en-US"/>
        </w:rPr>
        <w:t xml:space="preserve"> 57:</w:t>
      </w:r>
      <w:r>
        <w:rPr>
          <w:lang w:val="en-US"/>
        </w:rPr>
        <w:t xml:space="preserve"> </w:t>
      </w:r>
      <w:r w:rsidRPr="00BA5311">
        <w:rPr>
          <w:lang w:val="en-US"/>
        </w:rPr>
        <w:t>54</w:t>
      </w:r>
      <w:r>
        <w:rPr>
          <w:lang w:val="en-US"/>
        </w:rPr>
        <w:t xml:space="preserve"> </w:t>
      </w:r>
      <w:r w:rsidRPr="00BA5311">
        <w:rPr>
          <w:lang w:val="en-US"/>
        </w:rPr>
        <w:t>-</w:t>
      </w:r>
      <w:r>
        <w:rPr>
          <w:lang w:val="en-US"/>
        </w:rPr>
        <w:t xml:space="preserve"> </w:t>
      </w:r>
      <w:r w:rsidRPr="00BA5311">
        <w:rPr>
          <w:lang w:val="en-US"/>
        </w:rPr>
        <w:t>69.</w:t>
      </w:r>
    </w:p>
    <w:p w:rsidR="000D4FE0" w:rsidRDefault="000D4FE0" w:rsidP="000D4FE0">
      <w:pPr>
        <w:spacing w:after="0"/>
        <w:ind w:left="567" w:hanging="567"/>
        <w:rPr>
          <w:lang w:val="en-US"/>
        </w:rPr>
      </w:pPr>
      <w:proofErr w:type="spellStart"/>
      <w:proofErr w:type="gramStart"/>
      <w:r w:rsidRPr="00157CB5">
        <w:rPr>
          <w:lang w:val="en-US"/>
        </w:rPr>
        <w:t>Dinsdale</w:t>
      </w:r>
      <w:proofErr w:type="spellEnd"/>
      <w:r>
        <w:rPr>
          <w:lang w:val="en-US"/>
        </w:rPr>
        <w:t>,</w:t>
      </w:r>
      <w:r w:rsidRPr="00157CB5">
        <w:rPr>
          <w:lang w:val="en-US"/>
        </w:rPr>
        <w:t xml:space="preserve"> E</w:t>
      </w:r>
      <w:r>
        <w:rPr>
          <w:lang w:val="en-US"/>
        </w:rPr>
        <w:t>.</w:t>
      </w:r>
      <w:r w:rsidRPr="00157CB5">
        <w:rPr>
          <w:lang w:val="en-US"/>
        </w:rPr>
        <w:t xml:space="preserve">, </w:t>
      </w:r>
      <w:proofErr w:type="spellStart"/>
      <w:r w:rsidRPr="00157CB5">
        <w:rPr>
          <w:lang w:val="en-US"/>
        </w:rPr>
        <w:t>Pantos</w:t>
      </w:r>
      <w:proofErr w:type="spellEnd"/>
      <w:r>
        <w:rPr>
          <w:lang w:val="en-US"/>
        </w:rPr>
        <w:t>,</w:t>
      </w:r>
      <w:r w:rsidRPr="00157CB5">
        <w:rPr>
          <w:lang w:val="en-US"/>
        </w:rPr>
        <w:t xml:space="preserve"> O</w:t>
      </w:r>
      <w:r>
        <w:rPr>
          <w:lang w:val="en-US"/>
        </w:rPr>
        <w:t>.</w:t>
      </w:r>
      <w:r w:rsidRPr="00157CB5">
        <w:rPr>
          <w:lang w:val="en-US"/>
        </w:rPr>
        <w:t xml:space="preserve">, </w:t>
      </w:r>
      <w:proofErr w:type="spellStart"/>
      <w:r w:rsidRPr="00157CB5">
        <w:rPr>
          <w:lang w:val="en-US"/>
        </w:rPr>
        <w:t>Smriga</w:t>
      </w:r>
      <w:proofErr w:type="spellEnd"/>
      <w:r>
        <w:rPr>
          <w:lang w:val="en-US"/>
        </w:rPr>
        <w:t>,</w:t>
      </w:r>
      <w:r w:rsidRPr="00157CB5">
        <w:rPr>
          <w:lang w:val="en-US"/>
        </w:rPr>
        <w:t xml:space="preserve"> S</w:t>
      </w:r>
      <w:r>
        <w:rPr>
          <w:lang w:val="en-US"/>
        </w:rPr>
        <w:t>.</w:t>
      </w:r>
      <w:r w:rsidRPr="00157CB5">
        <w:rPr>
          <w:lang w:val="en-US"/>
        </w:rPr>
        <w:t>, Edwards</w:t>
      </w:r>
      <w:r>
        <w:rPr>
          <w:lang w:val="en-US"/>
        </w:rPr>
        <w:t>,</w:t>
      </w:r>
      <w:r w:rsidRPr="00157CB5">
        <w:rPr>
          <w:lang w:val="en-US"/>
        </w:rPr>
        <w:t xml:space="preserve"> R</w:t>
      </w:r>
      <w:r>
        <w:rPr>
          <w:lang w:val="en-US"/>
        </w:rPr>
        <w:t>.</w:t>
      </w:r>
      <w:r w:rsidRPr="00157CB5">
        <w:rPr>
          <w:lang w:val="en-US"/>
        </w:rPr>
        <w:t>A</w:t>
      </w:r>
      <w:r>
        <w:rPr>
          <w:lang w:val="en-US"/>
        </w:rPr>
        <w:t>.</w:t>
      </w:r>
      <w:r w:rsidRPr="00157CB5">
        <w:rPr>
          <w:lang w:val="en-US"/>
        </w:rPr>
        <w:t xml:space="preserve">, </w:t>
      </w:r>
      <w:proofErr w:type="spellStart"/>
      <w:r w:rsidRPr="00157CB5">
        <w:rPr>
          <w:lang w:val="en-US"/>
        </w:rPr>
        <w:t>Angly</w:t>
      </w:r>
      <w:proofErr w:type="spellEnd"/>
      <w:r>
        <w:rPr>
          <w:lang w:val="en-US"/>
        </w:rPr>
        <w:t>,</w:t>
      </w:r>
      <w:r w:rsidRPr="00157CB5">
        <w:rPr>
          <w:lang w:val="en-US"/>
        </w:rPr>
        <w:t xml:space="preserve"> F</w:t>
      </w:r>
      <w:r>
        <w:rPr>
          <w:lang w:val="en-US"/>
        </w:rPr>
        <w:t>.</w:t>
      </w:r>
      <w:r w:rsidRPr="00157CB5">
        <w:rPr>
          <w:lang w:val="en-US"/>
        </w:rPr>
        <w:t xml:space="preserve">, </w:t>
      </w:r>
      <w:proofErr w:type="spellStart"/>
      <w:r w:rsidRPr="00A06D33">
        <w:rPr>
          <w:lang w:val="en-US"/>
        </w:rPr>
        <w:t>Wegley</w:t>
      </w:r>
      <w:proofErr w:type="spellEnd"/>
      <w:r w:rsidRPr="00A06D33">
        <w:rPr>
          <w:lang w:val="en-US"/>
        </w:rPr>
        <w:t>, L</w:t>
      </w:r>
      <w:r>
        <w:rPr>
          <w:lang w:val="en-US"/>
        </w:rPr>
        <w:t>.</w:t>
      </w:r>
      <w:r w:rsidRPr="00A06D33">
        <w:rPr>
          <w:lang w:val="en-US"/>
        </w:rPr>
        <w:t xml:space="preserve">, </w:t>
      </w:r>
      <w:proofErr w:type="spellStart"/>
      <w:r w:rsidRPr="00A06D33">
        <w:rPr>
          <w:lang w:val="en-US"/>
        </w:rPr>
        <w:t>Hatay</w:t>
      </w:r>
      <w:proofErr w:type="spellEnd"/>
      <w:r w:rsidRPr="00A06D33">
        <w:rPr>
          <w:lang w:val="en-US"/>
        </w:rPr>
        <w:t>, M</w:t>
      </w:r>
      <w:r>
        <w:rPr>
          <w:lang w:val="en-US"/>
        </w:rPr>
        <w:t>.</w:t>
      </w:r>
      <w:r w:rsidRPr="00A06D33">
        <w:rPr>
          <w:lang w:val="en-US"/>
        </w:rPr>
        <w:t>, Hall, D</w:t>
      </w:r>
      <w:r>
        <w:rPr>
          <w:lang w:val="en-US"/>
        </w:rPr>
        <w:t>.</w:t>
      </w:r>
      <w:r w:rsidRPr="00A06D33">
        <w:rPr>
          <w:lang w:val="en-US"/>
        </w:rPr>
        <w:t>, Brown, E</w:t>
      </w:r>
      <w:r>
        <w:rPr>
          <w:lang w:val="en-US"/>
        </w:rPr>
        <w:t>.</w:t>
      </w:r>
      <w:r w:rsidRPr="00A06D33">
        <w:rPr>
          <w:lang w:val="en-US"/>
        </w:rPr>
        <w:t>, Haynes, M</w:t>
      </w:r>
      <w:r>
        <w:rPr>
          <w:lang w:val="en-US"/>
        </w:rPr>
        <w:t>.</w:t>
      </w:r>
      <w:r w:rsidRPr="00A06D33">
        <w:rPr>
          <w:lang w:val="en-US"/>
        </w:rPr>
        <w:t>, Krause, L</w:t>
      </w:r>
      <w:r>
        <w:rPr>
          <w:lang w:val="en-US"/>
        </w:rPr>
        <w:t>.</w:t>
      </w:r>
      <w:r w:rsidRPr="00A06D33">
        <w:rPr>
          <w:lang w:val="en-US"/>
        </w:rPr>
        <w:t xml:space="preserve">, </w:t>
      </w:r>
      <w:proofErr w:type="spellStart"/>
      <w:r w:rsidRPr="00A06D33">
        <w:rPr>
          <w:lang w:val="en-US"/>
        </w:rPr>
        <w:t>Sala</w:t>
      </w:r>
      <w:proofErr w:type="spellEnd"/>
      <w:r w:rsidRPr="00A06D33">
        <w:rPr>
          <w:lang w:val="en-US"/>
        </w:rPr>
        <w:t>, E</w:t>
      </w:r>
      <w:r>
        <w:rPr>
          <w:lang w:val="en-US"/>
        </w:rPr>
        <w:t>.</w:t>
      </w:r>
      <w:r w:rsidRPr="00A06D33">
        <w:rPr>
          <w:lang w:val="en-US"/>
        </w:rPr>
        <w:t xml:space="preserve">, </w:t>
      </w:r>
      <w:proofErr w:type="spellStart"/>
      <w:r w:rsidRPr="00A06D33">
        <w:rPr>
          <w:lang w:val="en-US"/>
        </w:rPr>
        <w:t>Sandin</w:t>
      </w:r>
      <w:proofErr w:type="spellEnd"/>
      <w:r w:rsidRPr="00A06D33">
        <w:rPr>
          <w:lang w:val="en-US"/>
        </w:rPr>
        <w:t>, S</w:t>
      </w:r>
      <w:r>
        <w:rPr>
          <w:lang w:val="en-US"/>
        </w:rPr>
        <w:t>.</w:t>
      </w:r>
      <w:r w:rsidRPr="00A06D33">
        <w:rPr>
          <w:lang w:val="en-US"/>
        </w:rPr>
        <w:t>A</w:t>
      </w:r>
      <w:r>
        <w:rPr>
          <w:lang w:val="en-US"/>
        </w:rPr>
        <w:t>.</w:t>
      </w:r>
      <w:r w:rsidRPr="00A06D33">
        <w:rPr>
          <w:lang w:val="en-US"/>
        </w:rPr>
        <w:t>, Thurber, R</w:t>
      </w:r>
      <w:r>
        <w:rPr>
          <w:lang w:val="en-US"/>
        </w:rPr>
        <w:t>.</w:t>
      </w:r>
      <w:r w:rsidRPr="00A06D33">
        <w:rPr>
          <w:lang w:val="en-US"/>
        </w:rPr>
        <w:t>V</w:t>
      </w:r>
      <w:r>
        <w:rPr>
          <w:lang w:val="en-US"/>
        </w:rPr>
        <w:t>.</w:t>
      </w:r>
      <w:r w:rsidRPr="00A06D33">
        <w:rPr>
          <w:lang w:val="en-US"/>
        </w:rPr>
        <w:t>, Willis, B</w:t>
      </w:r>
      <w:r>
        <w:rPr>
          <w:lang w:val="en-US"/>
        </w:rPr>
        <w:t>.</w:t>
      </w:r>
      <w:r w:rsidRPr="00A06D33">
        <w:rPr>
          <w:lang w:val="en-US"/>
        </w:rPr>
        <w:t>L</w:t>
      </w:r>
      <w:r>
        <w:rPr>
          <w:lang w:val="en-US"/>
        </w:rPr>
        <w:t>.</w:t>
      </w:r>
      <w:r w:rsidRPr="00A06D33">
        <w:rPr>
          <w:lang w:val="en-US"/>
        </w:rPr>
        <w:t xml:space="preserve">, </w:t>
      </w:r>
      <w:proofErr w:type="spellStart"/>
      <w:r w:rsidRPr="00A06D33">
        <w:rPr>
          <w:lang w:val="en-US"/>
        </w:rPr>
        <w:t>Azam</w:t>
      </w:r>
      <w:proofErr w:type="spellEnd"/>
      <w:r w:rsidRPr="00A06D33">
        <w:rPr>
          <w:lang w:val="en-US"/>
        </w:rPr>
        <w:t>, F</w:t>
      </w:r>
      <w:r>
        <w:rPr>
          <w:lang w:val="en-US"/>
        </w:rPr>
        <w:t>.</w:t>
      </w:r>
      <w:r w:rsidRPr="00A06D33">
        <w:rPr>
          <w:lang w:val="en-US"/>
        </w:rPr>
        <w:t>, Knowlton, N</w:t>
      </w:r>
      <w:r>
        <w:rPr>
          <w:lang w:val="en-US"/>
        </w:rPr>
        <w:t>.</w:t>
      </w:r>
      <w:r w:rsidRPr="00A06D33">
        <w:rPr>
          <w:lang w:val="en-US"/>
        </w:rPr>
        <w:t xml:space="preserve"> </w:t>
      </w:r>
      <w:r w:rsidRPr="00A06D33">
        <w:rPr>
          <w:lang w:val="en-US"/>
        </w:rPr>
        <w:lastRenderedPageBreak/>
        <w:t xml:space="preserve">and </w:t>
      </w:r>
      <w:proofErr w:type="spellStart"/>
      <w:r w:rsidRPr="00A06D33">
        <w:rPr>
          <w:lang w:val="en-US"/>
        </w:rPr>
        <w:t>Rohwer</w:t>
      </w:r>
      <w:proofErr w:type="spellEnd"/>
      <w:r w:rsidRPr="00A06D33">
        <w:rPr>
          <w:lang w:val="en-US"/>
        </w:rPr>
        <w:t>, F</w:t>
      </w:r>
      <w:r>
        <w:rPr>
          <w:lang w:val="en-US"/>
        </w:rPr>
        <w:t>.</w:t>
      </w:r>
      <w:r w:rsidRPr="00A06D33">
        <w:rPr>
          <w:lang w:val="en-US"/>
        </w:rPr>
        <w:t xml:space="preserve"> </w:t>
      </w:r>
      <w:r w:rsidRPr="00157CB5">
        <w:rPr>
          <w:lang w:val="en-US"/>
        </w:rPr>
        <w:t>(2008)</w:t>
      </w:r>
      <w:r>
        <w:rPr>
          <w:lang w:val="en-US"/>
        </w:rPr>
        <w:t>.</w:t>
      </w:r>
      <w:proofErr w:type="gramEnd"/>
      <w:r w:rsidRPr="00157CB5">
        <w:rPr>
          <w:lang w:val="en-US"/>
        </w:rPr>
        <w:t xml:space="preserve"> </w:t>
      </w:r>
      <w:proofErr w:type="gramStart"/>
      <w:r w:rsidRPr="00157CB5">
        <w:rPr>
          <w:lang w:val="en-US"/>
        </w:rPr>
        <w:t>Microbial ecology of four coral atolls in the Northern Line Islands.</w:t>
      </w:r>
      <w:proofErr w:type="gramEnd"/>
      <w:r w:rsidRPr="00157CB5">
        <w:rPr>
          <w:lang w:val="en-US"/>
        </w:rPr>
        <w:t xml:space="preserve"> </w:t>
      </w:r>
      <w:proofErr w:type="spellStart"/>
      <w:r w:rsidRPr="000F2083">
        <w:rPr>
          <w:i/>
          <w:lang w:val="en-US"/>
        </w:rPr>
        <w:t>PLoS</w:t>
      </w:r>
      <w:proofErr w:type="spellEnd"/>
      <w:r w:rsidRPr="000F2083">
        <w:rPr>
          <w:i/>
          <w:lang w:val="en-US"/>
        </w:rPr>
        <w:t xml:space="preserve"> ONE</w:t>
      </w:r>
      <w:r w:rsidRPr="00157CB5">
        <w:rPr>
          <w:lang w:val="en-US"/>
        </w:rPr>
        <w:t xml:space="preserve"> 3: e1584.</w:t>
      </w:r>
    </w:p>
    <w:p w:rsidR="000D4FE0" w:rsidRDefault="000D4FE0" w:rsidP="000D4FE0">
      <w:pPr>
        <w:spacing w:after="0"/>
        <w:ind w:left="567" w:hanging="567"/>
        <w:rPr>
          <w:lang w:val="en-US"/>
        </w:rPr>
      </w:pPr>
      <w:proofErr w:type="spellStart"/>
      <w:proofErr w:type="gramStart"/>
      <w:r>
        <w:rPr>
          <w:lang w:val="en-US"/>
        </w:rPr>
        <w:t>Durbach</w:t>
      </w:r>
      <w:proofErr w:type="spellEnd"/>
      <w:r>
        <w:rPr>
          <w:lang w:val="en-US"/>
        </w:rPr>
        <w:t xml:space="preserve">, I.N. and </w:t>
      </w:r>
      <w:r w:rsidRPr="006C320C">
        <w:rPr>
          <w:lang w:val="en-US"/>
        </w:rPr>
        <w:t xml:space="preserve">Stewart, T.J. </w:t>
      </w:r>
      <w:r>
        <w:rPr>
          <w:lang w:val="en-US"/>
        </w:rPr>
        <w:t>(</w:t>
      </w:r>
      <w:r w:rsidRPr="006C320C">
        <w:rPr>
          <w:lang w:val="en-US"/>
        </w:rPr>
        <w:t>2009</w:t>
      </w:r>
      <w:r>
        <w:rPr>
          <w:lang w:val="en-US"/>
        </w:rPr>
        <w:t>)</w:t>
      </w:r>
      <w:r w:rsidRPr="006C320C">
        <w:rPr>
          <w:lang w:val="en-US"/>
        </w:rPr>
        <w:t>.</w:t>
      </w:r>
      <w:proofErr w:type="gramEnd"/>
      <w:r w:rsidRPr="006C320C">
        <w:rPr>
          <w:lang w:val="en-US"/>
        </w:rPr>
        <w:t xml:space="preserve"> </w:t>
      </w:r>
      <w:proofErr w:type="gramStart"/>
      <w:r w:rsidRPr="006C320C">
        <w:rPr>
          <w:lang w:val="en-US"/>
        </w:rPr>
        <w:t>Using expected values to simplify decision making under uncertainty.</w:t>
      </w:r>
      <w:proofErr w:type="gramEnd"/>
      <w:r w:rsidRPr="006C320C">
        <w:rPr>
          <w:lang w:val="en-US"/>
        </w:rPr>
        <w:t xml:space="preserve"> </w:t>
      </w:r>
      <w:r w:rsidRPr="000F2083">
        <w:rPr>
          <w:i/>
          <w:lang w:val="en-US"/>
        </w:rPr>
        <w:t>Omega</w:t>
      </w:r>
      <w:r w:rsidRPr="006C320C">
        <w:rPr>
          <w:lang w:val="en-US"/>
        </w:rPr>
        <w:t>, 3</w:t>
      </w:r>
      <w:r>
        <w:rPr>
          <w:lang w:val="en-US"/>
        </w:rPr>
        <w:t xml:space="preserve">7: </w:t>
      </w:r>
      <w:r w:rsidRPr="006C320C">
        <w:rPr>
          <w:lang w:val="en-US"/>
        </w:rPr>
        <w:t>312 – 330.</w:t>
      </w:r>
    </w:p>
    <w:p w:rsidR="000D4FE0" w:rsidRPr="005F47D0" w:rsidRDefault="000D4FE0" w:rsidP="000D4FE0">
      <w:pPr>
        <w:spacing w:after="0"/>
        <w:ind w:left="567" w:hanging="567"/>
      </w:pPr>
      <w:proofErr w:type="gramStart"/>
      <w:r w:rsidRPr="001505E9">
        <w:t>Ecosystem Health Monitoring Program.</w:t>
      </w:r>
      <w:proofErr w:type="gramEnd"/>
      <w:r w:rsidRPr="001505E9">
        <w:t xml:space="preserve"> </w:t>
      </w:r>
      <w:proofErr w:type="gramStart"/>
      <w:r>
        <w:t>(</w:t>
      </w:r>
      <w:r w:rsidRPr="001505E9">
        <w:t>2012</w:t>
      </w:r>
      <w:r>
        <w:t>)</w:t>
      </w:r>
      <w:r w:rsidRPr="001505E9">
        <w:t>. Report card 2012 for the waterways and catchments of south-east Queensland.</w:t>
      </w:r>
      <w:proofErr w:type="gramEnd"/>
      <w:r w:rsidRPr="001505E9">
        <w:t xml:space="preserve"> </w:t>
      </w:r>
      <w:proofErr w:type="gramStart"/>
      <w:r w:rsidRPr="001505E9">
        <w:t>South East Queensland Healthy Waterways Partner</w:t>
      </w:r>
      <w:r>
        <w:t>ship, Brisbane, Queensland.</w:t>
      </w:r>
      <w:proofErr w:type="gramEnd"/>
    </w:p>
    <w:p w:rsidR="000D4FE0" w:rsidRDefault="000D4FE0" w:rsidP="000D4FE0">
      <w:pPr>
        <w:spacing w:after="0"/>
        <w:ind w:left="567" w:hanging="567"/>
        <w:rPr>
          <w:lang w:val="en-US"/>
        </w:rPr>
      </w:pPr>
      <w:r w:rsidRPr="00947F58">
        <w:rPr>
          <w:lang w:val="en-US"/>
        </w:rPr>
        <w:t xml:space="preserve">Eddy, </w:t>
      </w:r>
      <w:r>
        <w:rPr>
          <w:lang w:val="en-US"/>
        </w:rPr>
        <w:t>D.</w:t>
      </w:r>
      <w:r w:rsidRPr="00947F58">
        <w:rPr>
          <w:lang w:val="en-US"/>
        </w:rPr>
        <w:t xml:space="preserve">M. (1982). Probabilistic reasoning in clinical medicine: Problems and opportunities. In D. </w:t>
      </w:r>
      <w:proofErr w:type="spellStart"/>
      <w:r w:rsidRPr="00947F58">
        <w:rPr>
          <w:lang w:val="en-US"/>
        </w:rPr>
        <w:t>Kahneman</w:t>
      </w:r>
      <w:proofErr w:type="spellEnd"/>
      <w:r w:rsidRPr="00947F58">
        <w:rPr>
          <w:lang w:val="en-US"/>
        </w:rPr>
        <w:t xml:space="preserve">, P. </w:t>
      </w:r>
      <w:proofErr w:type="spellStart"/>
      <w:r w:rsidRPr="00947F58">
        <w:rPr>
          <w:lang w:val="en-US"/>
        </w:rPr>
        <w:t>Slovic</w:t>
      </w:r>
      <w:proofErr w:type="spellEnd"/>
      <w:r w:rsidRPr="00947F58">
        <w:rPr>
          <w:lang w:val="en-US"/>
        </w:rPr>
        <w:t xml:space="preserve"> and A. </w:t>
      </w:r>
      <w:proofErr w:type="spellStart"/>
      <w:r w:rsidRPr="00947F58">
        <w:rPr>
          <w:lang w:val="en-US"/>
        </w:rPr>
        <w:t>Tversky</w:t>
      </w:r>
      <w:proofErr w:type="spellEnd"/>
      <w:r w:rsidRPr="00947F58">
        <w:rPr>
          <w:lang w:val="en-US"/>
        </w:rPr>
        <w:t xml:space="preserve"> (Eds.) </w:t>
      </w:r>
      <w:r w:rsidRPr="00947F58">
        <w:rPr>
          <w:i/>
          <w:lang w:val="en-US"/>
        </w:rPr>
        <w:t>Judgment under uncertainty: Heuristics and biases</w:t>
      </w:r>
      <w:r w:rsidRPr="00947F58">
        <w:rPr>
          <w:lang w:val="en-US"/>
        </w:rPr>
        <w:t xml:space="preserve"> (pp. 249–267). New York: Cambridge University Press.</w:t>
      </w:r>
    </w:p>
    <w:p w:rsidR="000D4FE0" w:rsidRPr="00157CB5" w:rsidRDefault="000D4FE0" w:rsidP="000D4FE0">
      <w:pPr>
        <w:spacing w:after="0"/>
        <w:ind w:left="567" w:hanging="567"/>
        <w:rPr>
          <w:lang w:val="en-US"/>
        </w:rPr>
      </w:pPr>
      <w:proofErr w:type="spellStart"/>
      <w:proofErr w:type="gramStart"/>
      <w:r>
        <w:rPr>
          <w:lang w:val="en-US"/>
        </w:rPr>
        <w:t>Engelen</w:t>
      </w:r>
      <w:proofErr w:type="spellEnd"/>
      <w:r>
        <w:rPr>
          <w:lang w:val="en-US"/>
        </w:rPr>
        <w:t xml:space="preserve">, G., </w:t>
      </w:r>
      <w:proofErr w:type="spellStart"/>
      <w:r>
        <w:rPr>
          <w:lang w:val="en-US"/>
        </w:rPr>
        <w:t>Uljee</w:t>
      </w:r>
      <w:proofErr w:type="spellEnd"/>
      <w:r>
        <w:rPr>
          <w:lang w:val="en-US"/>
        </w:rPr>
        <w:t>, I. and White, R. (1997).</w:t>
      </w:r>
      <w:proofErr w:type="gramEnd"/>
      <w:r>
        <w:rPr>
          <w:lang w:val="en-US"/>
        </w:rPr>
        <w:t xml:space="preserve"> Vulnerability assessment of low-lying coastal areas and small islands to climate change and sea level rise; Phase 2: Case study St. Lucia.  </w:t>
      </w:r>
      <w:proofErr w:type="gramStart"/>
      <w:r>
        <w:rPr>
          <w:lang w:val="en-US"/>
        </w:rPr>
        <w:t>Report &amp; SIMLUCIA User Manual.</w:t>
      </w:r>
      <w:proofErr w:type="gramEnd"/>
      <w:r>
        <w:rPr>
          <w:lang w:val="en-US"/>
        </w:rPr>
        <w:t xml:space="preserve">  Report to UNEP CAR/RCU, United Nations Environment </w:t>
      </w:r>
      <w:proofErr w:type="spellStart"/>
      <w:r>
        <w:rPr>
          <w:lang w:val="en-US"/>
        </w:rPr>
        <w:t>Programme</w:t>
      </w:r>
      <w:proofErr w:type="spellEnd"/>
      <w:r>
        <w:rPr>
          <w:lang w:val="en-US"/>
        </w:rPr>
        <w:t xml:space="preserve">, Caribbean Regional Coordinating Unit, Kingston, Jamaica.  Research Institute for Knowledge Systems:  </w:t>
      </w:r>
      <w:proofErr w:type="spellStart"/>
      <w:r>
        <w:rPr>
          <w:lang w:val="en-US"/>
        </w:rPr>
        <w:t>Masstricht</w:t>
      </w:r>
      <w:proofErr w:type="spellEnd"/>
      <w:r>
        <w:rPr>
          <w:lang w:val="en-US"/>
        </w:rPr>
        <w:t>. 90pp.</w:t>
      </w:r>
    </w:p>
    <w:p w:rsidR="000D4FE0" w:rsidRDefault="000D4FE0" w:rsidP="000D4FE0">
      <w:pPr>
        <w:spacing w:after="0"/>
        <w:ind w:left="567" w:hanging="567"/>
      </w:pPr>
      <w:r>
        <w:t xml:space="preserve">Epstein, J.M. (1999). </w:t>
      </w:r>
      <w:proofErr w:type="gramStart"/>
      <w:r>
        <w:t>Agent-based computational models and generative social science.</w:t>
      </w:r>
      <w:proofErr w:type="gramEnd"/>
      <w:r>
        <w:t xml:space="preserve"> </w:t>
      </w:r>
      <w:r>
        <w:rPr>
          <w:i/>
        </w:rPr>
        <w:t xml:space="preserve">Complexity, </w:t>
      </w:r>
      <w:r>
        <w:t>4: 41-57.</w:t>
      </w:r>
    </w:p>
    <w:p w:rsidR="000D4FE0" w:rsidRDefault="000D4FE0" w:rsidP="000D4FE0">
      <w:pPr>
        <w:spacing w:after="0"/>
        <w:ind w:left="567" w:hanging="567"/>
      </w:pPr>
      <w:proofErr w:type="gramStart"/>
      <w:r w:rsidRPr="006E03E6">
        <w:t xml:space="preserve">Estevez, R.A., </w:t>
      </w:r>
      <w:proofErr w:type="spellStart"/>
      <w:r w:rsidRPr="006E03E6">
        <w:t>Walshe</w:t>
      </w:r>
      <w:proofErr w:type="spellEnd"/>
      <w:r w:rsidRPr="006E03E6">
        <w:t xml:space="preserve">, T. and </w:t>
      </w:r>
      <w:proofErr w:type="spellStart"/>
      <w:r w:rsidRPr="006E03E6">
        <w:t>Burgman</w:t>
      </w:r>
      <w:proofErr w:type="spellEnd"/>
      <w:r w:rsidRPr="006E03E6">
        <w:t>, M.A. (2013).</w:t>
      </w:r>
      <w:proofErr w:type="gramEnd"/>
      <w:r w:rsidRPr="006E03E6">
        <w:t xml:space="preserve"> </w:t>
      </w:r>
      <w:proofErr w:type="gramStart"/>
      <w:r w:rsidRPr="006E03E6">
        <w:t xml:space="preserve">Capturing social impacts for decision-making: a </w:t>
      </w:r>
      <w:proofErr w:type="spellStart"/>
      <w:r w:rsidRPr="006E03E6">
        <w:t>Multicriteria</w:t>
      </w:r>
      <w:proofErr w:type="spellEnd"/>
      <w:r w:rsidRPr="006E03E6">
        <w:t xml:space="preserve"> Decision Analysis perspective.</w:t>
      </w:r>
      <w:proofErr w:type="gramEnd"/>
      <w:r w:rsidRPr="006E03E6">
        <w:t xml:space="preserve"> </w:t>
      </w:r>
      <w:r w:rsidRPr="006E03E6">
        <w:rPr>
          <w:i/>
        </w:rPr>
        <w:t>Diversity and Distributions</w:t>
      </w:r>
      <w:r w:rsidRPr="006E03E6">
        <w:t>, 19: 608 – 616.</w:t>
      </w:r>
    </w:p>
    <w:p w:rsidR="000D4FE0" w:rsidRPr="004A4201" w:rsidRDefault="000D4FE0" w:rsidP="000D4FE0">
      <w:pPr>
        <w:spacing w:after="0"/>
        <w:ind w:left="567" w:hanging="567"/>
      </w:pPr>
      <w:proofErr w:type="gramStart"/>
      <w:r w:rsidRPr="004A4201">
        <w:t>Evans, T</w:t>
      </w:r>
      <w:r>
        <w:t>. G. and Hofmann, G. E. (2012).</w:t>
      </w:r>
      <w:proofErr w:type="gramEnd"/>
      <w:r>
        <w:t xml:space="preserve"> </w:t>
      </w:r>
      <w:proofErr w:type="gramStart"/>
      <w:r w:rsidRPr="004A4201">
        <w:t>Defining the limits of physiological plasticity: how gene expression can assess and predict the</w:t>
      </w:r>
      <w:r>
        <w:t xml:space="preserve"> consequences of ocean change.</w:t>
      </w:r>
      <w:proofErr w:type="gramEnd"/>
      <w:r>
        <w:t xml:space="preserve"> </w:t>
      </w:r>
      <w:proofErr w:type="gramStart"/>
      <w:r w:rsidRPr="000F2083">
        <w:rPr>
          <w:i/>
        </w:rPr>
        <w:t>Philosophical Transactions of the Royal Society B-Biological Sciences</w:t>
      </w:r>
      <w:r w:rsidRPr="004A4201">
        <w:t xml:space="preserve"> </w:t>
      </w:r>
      <w:r w:rsidRPr="000F2083">
        <w:t>367:</w:t>
      </w:r>
      <w:r w:rsidRPr="004A4201">
        <w:t xml:space="preserve"> 1733–1745.</w:t>
      </w:r>
      <w:proofErr w:type="gramEnd"/>
    </w:p>
    <w:p w:rsidR="000D4FE0" w:rsidRDefault="000D4FE0" w:rsidP="000D4FE0">
      <w:pPr>
        <w:spacing w:after="0"/>
        <w:ind w:left="567" w:hanging="567"/>
        <w:rPr>
          <w:lang w:val="en-US"/>
        </w:rPr>
      </w:pPr>
      <w:proofErr w:type="spellStart"/>
      <w:proofErr w:type="gramStart"/>
      <w:r>
        <w:t>Fabricius</w:t>
      </w:r>
      <w:proofErr w:type="spellEnd"/>
      <w:r>
        <w:t xml:space="preserve">, K.E., </w:t>
      </w:r>
      <w:proofErr w:type="spellStart"/>
      <w:r>
        <w:t>Okaji</w:t>
      </w:r>
      <w:proofErr w:type="spellEnd"/>
      <w:r>
        <w:t xml:space="preserve">, K. and </w:t>
      </w:r>
      <w:r w:rsidRPr="00BF12E1">
        <w:t xml:space="preserve">G. </w:t>
      </w:r>
      <w:proofErr w:type="spellStart"/>
      <w:r w:rsidRPr="00BF12E1">
        <w:t>De’ath</w:t>
      </w:r>
      <w:proofErr w:type="spellEnd"/>
      <w:r>
        <w:t>, G. (2010).</w:t>
      </w:r>
      <w:proofErr w:type="gramEnd"/>
      <w:r>
        <w:t xml:space="preserve"> Three lines of evidence to link outbreaks of the crown-of-thorns </w:t>
      </w:r>
      <w:proofErr w:type="spellStart"/>
      <w:r>
        <w:t>seastar</w:t>
      </w:r>
      <w:proofErr w:type="spellEnd"/>
      <w:r>
        <w:t xml:space="preserve"> </w:t>
      </w:r>
      <w:proofErr w:type="spellStart"/>
      <w:r w:rsidRPr="00BF12E1">
        <w:rPr>
          <w:i/>
        </w:rPr>
        <w:t>Acanthaster</w:t>
      </w:r>
      <w:proofErr w:type="spellEnd"/>
      <w:r w:rsidRPr="00BF12E1">
        <w:rPr>
          <w:i/>
        </w:rPr>
        <w:t xml:space="preserve"> </w:t>
      </w:r>
      <w:proofErr w:type="spellStart"/>
      <w:r w:rsidRPr="00BF12E1">
        <w:rPr>
          <w:i/>
        </w:rPr>
        <w:t>planci</w:t>
      </w:r>
      <w:proofErr w:type="spellEnd"/>
      <w:r>
        <w:t xml:space="preserve"> to the release of larval food limitation. </w:t>
      </w:r>
      <w:r w:rsidRPr="005173AC">
        <w:rPr>
          <w:i/>
        </w:rPr>
        <w:t>Coral Reefs</w:t>
      </w:r>
      <w:r>
        <w:t>, 29: 593–605.</w:t>
      </w:r>
    </w:p>
    <w:p w:rsidR="000D4FE0" w:rsidRDefault="000D4FE0" w:rsidP="000D4FE0">
      <w:pPr>
        <w:spacing w:after="0"/>
        <w:ind w:left="567" w:hanging="567"/>
        <w:rPr>
          <w:lang w:val="en-US"/>
        </w:rPr>
      </w:pPr>
      <w:proofErr w:type="gramStart"/>
      <w:r>
        <w:rPr>
          <w:lang w:val="en-US"/>
        </w:rPr>
        <w:t>Failing, L., Gregory, R.</w:t>
      </w:r>
      <w:r w:rsidRPr="00BA5311">
        <w:rPr>
          <w:lang w:val="en-US"/>
        </w:rPr>
        <w:t xml:space="preserve"> </w:t>
      </w:r>
      <w:r>
        <w:rPr>
          <w:lang w:val="en-US"/>
        </w:rPr>
        <w:t xml:space="preserve">and </w:t>
      </w:r>
      <w:proofErr w:type="spellStart"/>
      <w:r>
        <w:rPr>
          <w:lang w:val="en-US"/>
        </w:rPr>
        <w:t>Harstone</w:t>
      </w:r>
      <w:proofErr w:type="spellEnd"/>
      <w:r>
        <w:rPr>
          <w:lang w:val="en-US"/>
        </w:rPr>
        <w:t>, M. (</w:t>
      </w:r>
      <w:r w:rsidRPr="00BA5311">
        <w:rPr>
          <w:lang w:val="en-US"/>
        </w:rPr>
        <w:t>2007</w:t>
      </w:r>
      <w:r>
        <w:rPr>
          <w:lang w:val="en-US"/>
        </w:rPr>
        <w:t>)</w:t>
      </w:r>
      <w:r w:rsidRPr="00BA5311">
        <w:rPr>
          <w:lang w:val="en-US"/>
        </w:rPr>
        <w:t>.</w:t>
      </w:r>
      <w:proofErr w:type="gramEnd"/>
      <w:r w:rsidRPr="00BA5311">
        <w:rPr>
          <w:lang w:val="en-US"/>
        </w:rPr>
        <w:t xml:space="preserve"> </w:t>
      </w:r>
      <w:proofErr w:type="gramStart"/>
      <w:r w:rsidRPr="00BA5311">
        <w:rPr>
          <w:lang w:val="en-US"/>
        </w:rPr>
        <w:t>Integrating science and local knowledge in environmental risk management: a decision-focused appr</w:t>
      </w:r>
      <w:r>
        <w:rPr>
          <w:lang w:val="en-US"/>
        </w:rPr>
        <w:t>oach.</w:t>
      </w:r>
      <w:proofErr w:type="gramEnd"/>
      <w:r>
        <w:rPr>
          <w:lang w:val="en-US"/>
        </w:rPr>
        <w:t xml:space="preserve"> </w:t>
      </w:r>
      <w:r w:rsidRPr="00BA5311">
        <w:rPr>
          <w:i/>
          <w:lang w:val="en-US"/>
        </w:rPr>
        <w:t>Ecological Economics</w:t>
      </w:r>
      <w:proofErr w:type="gramStart"/>
      <w:r>
        <w:rPr>
          <w:i/>
          <w:lang w:val="en-US"/>
        </w:rPr>
        <w:t>,</w:t>
      </w:r>
      <w:r>
        <w:rPr>
          <w:lang w:val="en-US"/>
        </w:rPr>
        <w:t xml:space="preserve">  64</w:t>
      </w:r>
      <w:proofErr w:type="gramEnd"/>
      <w:r w:rsidRPr="00BA5311">
        <w:rPr>
          <w:lang w:val="en-US"/>
        </w:rPr>
        <w:t>:</w:t>
      </w:r>
      <w:r>
        <w:rPr>
          <w:lang w:val="en-US"/>
        </w:rPr>
        <w:t xml:space="preserve"> </w:t>
      </w:r>
      <w:r w:rsidRPr="00BA5311">
        <w:rPr>
          <w:lang w:val="en-US"/>
        </w:rPr>
        <w:t>47</w:t>
      </w:r>
      <w:r>
        <w:rPr>
          <w:lang w:val="en-US"/>
        </w:rPr>
        <w:t xml:space="preserve"> </w:t>
      </w:r>
      <w:r w:rsidRPr="00BA5311">
        <w:rPr>
          <w:lang w:val="en-US"/>
        </w:rPr>
        <w:t>-</w:t>
      </w:r>
      <w:r>
        <w:rPr>
          <w:lang w:val="en-US"/>
        </w:rPr>
        <w:t xml:space="preserve"> </w:t>
      </w:r>
      <w:r w:rsidRPr="00BA5311">
        <w:rPr>
          <w:lang w:val="en-US"/>
        </w:rPr>
        <w:t>60.</w:t>
      </w:r>
    </w:p>
    <w:p w:rsidR="000D4FE0" w:rsidRPr="001E5A2B" w:rsidRDefault="000D4FE0" w:rsidP="000D4FE0">
      <w:pPr>
        <w:spacing w:after="0"/>
        <w:ind w:left="567" w:hanging="567"/>
        <w:rPr>
          <w:lang w:val="en-US"/>
        </w:rPr>
      </w:pPr>
      <w:proofErr w:type="spellStart"/>
      <w:r w:rsidRPr="001E5A2B">
        <w:rPr>
          <w:lang w:val="en-US"/>
        </w:rPr>
        <w:t>Fairweather</w:t>
      </w:r>
      <w:proofErr w:type="spellEnd"/>
      <w:r w:rsidRPr="001E5A2B">
        <w:rPr>
          <w:lang w:val="en-US"/>
        </w:rPr>
        <w:t xml:space="preserve">, P.G. (1991). </w:t>
      </w:r>
      <w:proofErr w:type="gramStart"/>
      <w:r w:rsidRPr="001E5A2B">
        <w:rPr>
          <w:lang w:val="en-US"/>
        </w:rPr>
        <w:t>Statistical power and design requirements for environmental monitoring.</w:t>
      </w:r>
      <w:proofErr w:type="gramEnd"/>
      <w:r w:rsidRPr="001E5A2B">
        <w:rPr>
          <w:lang w:val="en-US"/>
        </w:rPr>
        <w:t xml:space="preserve"> </w:t>
      </w:r>
      <w:r w:rsidRPr="001E5A2B">
        <w:rPr>
          <w:i/>
          <w:lang w:val="en-US"/>
        </w:rPr>
        <w:t>Australian Journal of Marine Freshwater Research</w:t>
      </w:r>
      <w:r w:rsidRPr="001E5A2B">
        <w:rPr>
          <w:lang w:val="en-US"/>
        </w:rPr>
        <w:t xml:space="preserve">, </w:t>
      </w:r>
      <w:r w:rsidRPr="005173AC">
        <w:rPr>
          <w:lang w:val="en-US"/>
        </w:rPr>
        <w:t>42:</w:t>
      </w:r>
      <w:r w:rsidRPr="001E5A2B">
        <w:rPr>
          <w:lang w:val="en-US"/>
        </w:rPr>
        <w:t xml:space="preserve"> 555-567.</w:t>
      </w:r>
    </w:p>
    <w:p w:rsidR="000D4FE0" w:rsidRPr="003F73C1" w:rsidRDefault="000D4FE0" w:rsidP="000D4FE0">
      <w:pPr>
        <w:spacing w:after="0"/>
        <w:ind w:left="567" w:hanging="567"/>
      </w:pPr>
      <w:proofErr w:type="gramStart"/>
      <w:r w:rsidRPr="001E5A2B">
        <w:t xml:space="preserve">Field, S.A., Tyre, A.J., </w:t>
      </w:r>
      <w:proofErr w:type="spellStart"/>
      <w:r w:rsidRPr="001E5A2B">
        <w:t>Jonzén</w:t>
      </w:r>
      <w:proofErr w:type="spellEnd"/>
      <w:r w:rsidRPr="001E5A2B">
        <w:t xml:space="preserve">, N., Rhodes, J.R., and </w:t>
      </w:r>
      <w:proofErr w:type="spellStart"/>
      <w:r w:rsidRPr="001E5A2B">
        <w:t>Possingham</w:t>
      </w:r>
      <w:proofErr w:type="spellEnd"/>
      <w:r w:rsidRPr="001E5A2B">
        <w:t>, H.P. (2004).</w:t>
      </w:r>
      <w:proofErr w:type="gramEnd"/>
      <w:r w:rsidRPr="001E5A2B">
        <w:t xml:space="preserve"> </w:t>
      </w:r>
      <w:proofErr w:type="gramStart"/>
      <w:r w:rsidRPr="001E5A2B">
        <w:t>Minimizing the costs of environmental management decisions by optimizing statistical thresholds.</w:t>
      </w:r>
      <w:proofErr w:type="gramEnd"/>
      <w:r w:rsidRPr="001E5A2B">
        <w:t xml:space="preserve"> </w:t>
      </w:r>
      <w:r w:rsidRPr="001E5A2B">
        <w:rPr>
          <w:i/>
        </w:rPr>
        <w:t>Ecology Letters</w:t>
      </w:r>
      <w:r w:rsidRPr="005173AC">
        <w:t>, 7:</w:t>
      </w:r>
      <w:r>
        <w:t xml:space="preserve"> 669-675.</w:t>
      </w:r>
    </w:p>
    <w:p w:rsidR="00194D6C" w:rsidRDefault="000D4FE0" w:rsidP="000D4FE0">
      <w:pPr>
        <w:autoSpaceDE w:val="0"/>
        <w:autoSpaceDN w:val="0"/>
        <w:adjustRightInd w:val="0"/>
        <w:spacing w:after="0" w:line="240" w:lineRule="auto"/>
        <w:ind w:left="567" w:hanging="567"/>
        <w:rPr>
          <w:rFonts w:cs="Arial"/>
          <w:bCs/>
        </w:rPr>
      </w:pPr>
      <w:proofErr w:type="gramStart"/>
      <w:r>
        <w:rPr>
          <w:rFonts w:cs="Arial"/>
        </w:rPr>
        <w:t xml:space="preserve">Field, S.A., Tyre, A.J. and </w:t>
      </w:r>
      <w:proofErr w:type="spellStart"/>
      <w:r w:rsidRPr="004A4201">
        <w:rPr>
          <w:rFonts w:cs="Arial"/>
        </w:rPr>
        <w:t>Possingham</w:t>
      </w:r>
      <w:proofErr w:type="spellEnd"/>
      <w:r w:rsidRPr="004A4201">
        <w:rPr>
          <w:rFonts w:cs="Arial"/>
        </w:rPr>
        <w:t>, H.P. (</w:t>
      </w:r>
      <w:r w:rsidRPr="004A4201">
        <w:rPr>
          <w:rFonts w:cs="Arial"/>
          <w:bCs/>
        </w:rPr>
        <w:t>2005)</w:t>
      </w:r>
      <w:r>
        <w:rPr>
          <w:rFonts w:cs="Arial"/>
          <w:bCs/>
        </w:rPr>
        <w:t>.</w:t>
      </w:r>
      <w:proofErr w:type="gramEnd"/>
      <w:r w:rsidRPr="004A4201">
        <w:rPr>
          <w:rFonts w:cs="Arial"/>
          <w:bCs/>
        </w:rPr>
        <w:t xml:space="preserve"> </w:t>
      </w:r>
      <w:proofErr w:type="gramStart"/>
      <w:r w:rsidRPr="005173AC">
        <w:rPr>
          <w:rFonts w:cs="Arial"/>
          <w:bCs/>
        </w:rPr>
        <w:t>Optimizing allocation of monitoring effort under economic and observational constraints.</w:t>
      </w:r>
      <w:proofErr w:type="gramEnd"/>
      <w:r w:rsidRPr="005173AC">
        <w:rPr>
          <w:rFonts w:cs="Arial"/>
          <w:bCs/>
        </w:rPr>
        <w:t xml:space="preserve"> </w:t>
      </w:r>
      <w:r>
        <w:rPr>
          <w:rFonts w:cs="Arial"/>
          <w:bCs/>
        </w:rPr>
        <w:t xml:space="preserve"> </w:t>
      </w:r>
      <w:r w:rsidRPr="005173AC">
        <w:rPr>
          <w:rFonts w:cs="Arial"/>
          <w:bCs/>
          <w:i/>
        </w:rPr>
        <w:t>Journal of Wildlife Management</w:t>
      </w:r>
      <w:r>
        <w:rPr>
          <w:rFonts w:cs="Arial"/>
          <w:bCs/>
        </w:rPr>
        <w:t>, 69</w:t>
      </w:r>
      <w:r w:rsidRPr="004A4201">
        <w:rPr>
          <w:rFonts w:cs="Arial"/>
          <w:bCs/>
        </w:rPr>
        <w:t>:</w:t>
      </w:r>
      <w:r>
        <w:rPr>
          <w:rFonts w:cs="Arial"/>
          <w:bCs/>
        </w:rPr>
        <w:t xml:space="preserve"> </w:t>
      </w:r>
      <w:r w:rsidRPr="004A4201">
        <w:rPr>
          <w:rFonts w:cs="Arial"/>
          <w:bCs/>
        </w:rPr>
        <w:t>473–482</w:t>
      </w:r>
      <w:r>
        <w:rPr>
          <w:rFonts w:cs="Arial"/>
          <w:bCs/>
        </w:rPr>
        <w:t>.</w:t>
      </w:r>
    </w:p>
    <w:p w:rsidR="000D4FE0" w:rsidRPr="00742CC9" w:rsidRDefault="00194D6C" w:rsidP="000D4FE0">
      <w:pPr>
        <w:autoSpaceDE w:val="0"/>
        <w:autoSpaceDN w:val="0"/>
        <w:adjustRightInd w:val="0"/>
        <w:spacing w:after="0" w:line="240" w:lineRule="auto"/>
        <w:ind w:left="567" w:hanging="567"/>
        <w:rPr>
          <w:rFonts w:cs="Arial"/>
          <w:bCs/>
        </w:rPr>
      </w:pPr>
      <w:r>
        <w:rPr>
          <w:rFonts w:cs="Arial"/>
          <w:bCs/>
        </w:rPr>
        <w:t xml:space="preserve">Fox, D.R. (2013). Statistical issues associated with development of an ecosystem report card. </w:t>
      </w:r>
      <w:r w:rsidR="000D4FE0">
        <w:rPr>
          <w:rFonts w:cs="Arial"/>
          <w:bCs/>
        </w:rPr>
        <w:t xml:space="preserve"> </w:t>
      </w:r>
      <w:proofErr w:type="spellStart"/>
      <w:proofErr w:type="gramStart"/>
      <w:r>
        <w:rPr>
          <w:rFonts w:cs="Arial"/>
          <w:bCs/>
        </w:rPr>
        <w:t>Environmetrics</w:t>
      </w:r>
      <w:proofErr w:type="spellEnd"/>
      <w:r>
        <w:rPr>
          <w:rFonts w:cs="Arial"/>
          <w:bCs/>
        </w:rPr>
        <w:t xml:space="preserve"> Australia.</w:t>
      </w:r>
      <w:proofErr w:type="gramEnd"/>
      <w:r>
        <w:rPr>
          <w:rFonts w:cs="Arial"/>
          <w:bCs/>
        </w:rPr>
        <w:t xml:space="preserve"> Available at </w:t>
      </w:r>
      <w:r w:rsidRPr="00194D6C">
        <w:rPr>
          <w:rFonts w:cs="Arial"/>
          <w:bCs/>
        </w:rPr>
        <w:t>http://www.healthyharbour.org.au.preview.cp-server.com/wp-content/uploads/2014/03/Statistical-Considerations-associated-with-the-development-of-an-ecosystem-report-card.pdf</w:t>
      </w:r>
      <w:r>
        <w:rPr>
          <w:rFonts w:cs="Arial"/>
          <w:bCs/>
        </w:rPr>
        <w:t xml:space="preserve"> </w:t>
      </w:r>
    </w:p>
    <w:p w:rsidR="006D75C7" w:rsidRDefault="006D75C7" w:rsidP="006D75C7">
      <w:pPr>
        <w:spacing w:after="0"/>
        <w:ind w:left="567" w:hanging="567"/>
      </w:pPr>
      <w:proofErr w:type="spellStart"/>
      <w:r>
        <w:t>Gallen</w:t>
      </w:r>
      <w:proofErr w:type="spellEnd"/>
      <w:r>
        <w:t xml:space="preserve">, C., Devlin, M., </w:t>
      </w:r>
      <w:proofErr w:type="spellStart"/>
      <w:r>
        <w:t>Paxman</w:t>
      </w:r>
      <w:proofErr w:type="spellEnd"/>
      <w:r>
        <w:t xml:space="preserve">, C., Banks, A. and Mueller, J. (2013). </w:t>
      </w:r>
      <w:r w:rsidRPr="006D75C7">
        <w:t>Pesticide monitoring in inshore waters of the Great Barrier Reef using both time-integrated and event monitoring techniques (2012-2013</w:t>
      </w:r>
      <w:proofErr w:type="gramStart"/>
      <w:r w:rsidRPr="006D75C7">
        <w:t xml:space="preserve">) </w:t>
      </w:r>
      <w:r>
        <w:t>.</w:t>
      </w:r>
      <w:proofErr w:type="gramEnd"/>
      <w:r>
        <w:t xml:space="preserve"> </w:t>
      </w:r>
      <w:proofErr w:type="gramStart"/>
      <w:r>
        <w:t>University of Queensland.</w:t>
      </w:r>
      <w:proofErr w:type="gramEnd"/>
      <w:r>
        <w:t xml:space="preserve">  Available at </w:t>
      </w:r>
      <w:r w:rsidRPr="006D75C7">
        <w:t>http://elibrary.gbrmpa.gov.au/jspui/handle/11017/2878</w:t>
      </w:r>
    </w:p>
    <w:p w:rsidR="00A013B7" w:rsidRDefault="00A013B7" w:rsidP="000D4FE0">
      <w:pPr>
        <w:spacing w:after="0"/>
        <w:ind w:left="567" w:hanging="567"/>
      </w:pPr>
      <w:proofErr w:type="gramStart"/>
      <w:r>
        <w:t>GBRMPA.</w:t>
      </w:r>
      <w:proofErr w:type="gramEnd"/>
      <w:r w:rsidRPr="00A013B7">
        <w:t xml:space="preserve"> </w:t>
      </w:r>
      <w:proofErr w:type="gramStart"/>
      <w:r w:rsidRPr="00A013B7">
        <w:t>(2010)</w:t>
      </w:r>
      <w:r>
        <w:t>.</w:t>
      </w:r>
      <w:r w:rsidRPr="00A013B7">
        <w:t xml:space="preserve"> Water Quality Guidelines for the Great Barrier Reef Marine Park.</w:t>
      </w:r>
      <w:proofErr w:type="gramEnd"/>
      <w:r w:rsidRPr="00A013B7">
        <w:t xml:space="preserve"> </w:t>
      </w:r>
      <w:proofErr w:type="gramStart"/>
      <w:r w:rsidRPr="00A013B7">
        <w:t>Revised Edition 2010.</w:t>
      </w:r>
      <w:proofErr w:type="gramEnd"/>
      <w:r w:rsidRPr="00A013B7">
        <w:t xml:space="preserve"> Great Barrier Reef Marine Park Authority, Townsville. </w:t>
      </w:r>
      <w:proofErr w:type="gramStart"/>
      <w:r w:rsidRPr="00A013B7">
        <w:t>100 p</w:t>
      </w:r>
      <w:r>
        <w:t>p</w:t>
      </w:r>
      <w:r w:rsidRPr="00A013B7">
        <w:t>.</w:t>
      </w:r>
      <w:proofErr w:type="gramEnd"/>
    </w:p>
    <w:p w:rsidR="000D4FE0" w:rsidRDefault="000D4FE0" w:rsidP="000D4FE0">
      <w:pPr>
        <w:spacing w:after="0"/>
        <w:ind w:left="567" w:hanging="567"/>
        <w:rPr>
          <w:rFonts w:cs="AdvPSFT-BC"/>
        </w:rPr>
      </w:pPr>
      <w:proofErr w:type="gramStart"/>
      <w:r>
        <w:lastRenderedPageBreak/>
        <w:t>GBRMPA.</w:t>
      </w:r>
      <w:proofErr w:type="gramEnd"/>
      <w:r>
        <w:t xml:space="preserve"> </w:t>
      </w:r>
      <w:proofErr w:type="gramStart"/>
      <w:r>
        <w:t>(2011). Extreme weather on the Great Barrier Reef.</w:t>
      </w:r>
      <w:proofErr w:type="gramEnd"/>
      <w:r>
        <w:t xml:space="preserve"> Great Barrier Reef Marine Park Authority, Townsville.</w:t>
      </w:r>
    </w:p>
    <w:p w:rsidR="000D4FE0" w:rsidRPr="005173AC" w:rsidRDefault="000D4FE0" w:rsidP="000D4FE0">
      <w:pPr>
        <w:spacing w:after="0"/>
        <w:ind w:left="567" w:hanging="567"/>
        <w:rPr>
          <w:rFonts w:cs="AdvPSFT-BC"/>
        </w:rPr>
      </w:pPr>
      <w:proofErr w:type="gramStart"/>
      <w:r>
        <w:rPr>
          <w:rFonts w:cs="AdvPSFT-BC"/>
        </w:rPr>
        <w:t>GBRMPA</w:t>
      </w:r>
      <w:r w:rsidR="00A013B7">
        <w:rPr>
          <w:rFonts w:cs="AdvPSFT-BC"/>
        </w:rPr>
        <w:t>.</w:t>
      </w:r>
      <w:proofErr w:type="gramEnd"/>
      <w:r>
        <w:rPr>
          <w:rFonts w:cs="AdvPSFT-BC"/>
        </w:rPr>
        <w:t xml:space="preserve"> (2013). Great Barrier Reef Region Strategic Assessment:  Strategic Assessment Report: Draft for public comment.  </w:t>
      </w:r>
      <w:r w:rsidRPr="005173AC">
        <w:rPr>
          <w:rFonts w:cs="AdvPSFT-BC"/>
        </w:rPr>
        <w:t>ISBN: 978-922126-24-5</w:t>
      </w:r>
      <w:r>
        <w:rPr>
          <w:rFonts w:cs="AdvPSFT-BC"/>
        </w:rPr>
        <w:t>. Great Barrier Reef Marine Park Authority, Townsville.</w:t>
      </w:r>
    </w:p>
    <w:p w:rsidR="000D4FE0" w:rsidRDefault="000D4FE0" w:rsidP="000D4FE0">
      <w:pPr>
        <w:spacing w:after="0"/>
        <w:ind w:left="567" w:hanging="567"/>
      </w:pPr>
      <w:proofErr w:type="gramStart"/>
      <w:r w:rsidRPr="001505E9">
        <w:t>GBRMPA.</w:t>
      </w:r>
      <w:proofErr w:type="gramEnd"/>
      <w:r w:rsidRPr="001505E9">
        <w:t xml:space="preserve"> </w:t>
      </w:r>
      <w:proofErr w:type="gramStart"/>
      <w:r>
        <w:t>(</w:t>
      </w:r>
      <w:r w:rsidRPr="001505E9">
        <w:t>2014</w:t>
      </w:r>
      <w:r>
        <w:t>). Great Barrier Reef Outlook R</w:t>
      </w:r>
      <w:r w:rsidRPr="001505E9">
        <w:t>eport 2014.</w:t>
      </w:r>
      <w:proofErr w:type="gramEnd"/>
      <w:r w:rsidRPr="001505E9">
        <w:t xml:space="preserve"> Great Barrier Reef Marine Park Authority, Townsville.</w:t>
      </w:r>
    </w:p>
    <w:p w:rsidR="000D4FE0" w:rsidRPr="001505E9" w:rsidRDefault="000D4FE0" w:rsidP="000D4FE0">
      <w:pPr>
        <w:spacing w:after="0"/>
        <w:ind w:left="567" w:hanging="567"/>
      </w:pPr>
      <w:proofErr w:type="spellStart"/>
      <w:proofErr w:type="gramStart"/>
      <w:r>
        <w:t>Gelman</w:t>
      </w:r>
      <w:proofErr w:type="spellEnd"/>
      <w:r>
        <w:t>, A., Carlin, J., Stern, H., and Rubin, D. (2004).</w:t>
      </w:r>
      <w:proofErr w:type="gramEnd"/>
      <w:r>
        <w:t xml:space="preserve"> </w:t>
      </w:r>
      <w:proofErr w:type="gramStart"/>
      <w:r w:rsidRPr="004D4A84">
        <w:rPr>
          <w:i/>
        </w:rPr>
        <w:t>Bayesian data analysis.</w:t>
      </w:r>
      <w:proofErr w:type="gramEnd"/>
      <w:r>
        <w:t xml:space="preserve"> Chapman and Hall, New York, 2nd edition.</w:t>
      </w:r>
    </w:p>
    <w:p w:rsidR="000D4FE0" w:rsidRPr="004A4201" w:rsidRDefault="000D4FE0" w:rsidP="000D4FE0">
      <w:pPr>
        <w:spacing w:after="0"/>
        <w:ind w:left="567" w:hanging="567"/>
        <w:rPr>
          <w:rFonts w:cs="AdvPSFT-BC"/>
        </w:rPr>
      </w:pPr>
      <w:r>
        <w:rPr>
          <w:rFonts w:cs="AdvPSFT-BC"/>
        </w:rPr>
        <w:t>Gerber, L.R.</w:t>
      </w:r>
      <w:proofErr w:type="gramStart"/>
      <w:r>
        <w:rPr>
          <w:rFonts w:cs="AdvPSFT-BC"/>
        </w:rPr>
        <w:t xml:space="preserve">,  </w:t>
      </w:r>
      <w:proofErr w:type="spellStart"/>
      <w:r>
        <w:rPr>
          <w:rFonts w:cs="AdvPSFT-BC"/>
        </w:rPr>
        <w:t>Beger</w:t>
      </w:r>
      <w:proofErr w:type="spellEnd"/>
      <w:proofErr w:type="gramEnd"/>
      <w:r>
        <w:rPr>
          <w:rFonts w:cs="AdvPSFT-BC"/>
        </w:rPr>
        <w:t xml:space="preserve">, M., McCarthy M.A. and </w:t>
      </w:r>
      <w:proofErr w:type="spellStart"/>
      <w:r w:rsidRPr="004A4201">
        <w:rPr>
          <w:rFonts w:cs="AdvPSFT-BC"/>
        </w:rPr>
        <w:t>Possingham</w:t>
      </w:r>
      <w:proofErr w:type="spellEnd"/>
      <w:r w:rsidRPr="004A4201">
        <w:rPr>
          <w:rFonts w:cs="AdvPSFT-BC"/>
        </w:rPr>
        <w:t xml:space="preserve">, H.P. </w:t>
      </w:r>
      <w:r w:rsidRPr="004A4201">
        <w:rPr>
          <w:rFonts w:cs="AdvPSFT-R"/>
        </w:rPr>
        <w:t>(2005)</w:t>
      </w:r>
      <w:r>
        <w:rPr>
          <w:rFonts w:cs="AdvPSFT-R"/>
        </w:rPr>
        <w:t>.</w:t>
      </w:r>
      <w:r w:rsidRPr="004A4201">
        <w:rPr>
          <w:rFonts w:cs="AdvPSFT-R"/>
        </w:rPr>
        <w:t xml:space="preserve"> </w:t>
      </w:r>
      <w:proofErr w:type="gramStart"/>
      <w:r w:rsidRPr="004A4201">
        <w:rPr>
          <w:rFonts w:cs="AdvPSFT-BC"/>
        </w:rPr>
        <w:t>A theory for optimal monitoring of marine reserves.</w:t>
      </w:r>
      <w:proofErr w:type="gramEnd"/>
      <w:r w:rsidRPr="004A4201">
        <w:rPr>
          <w:rFonts w:cs="AdvPSFT-BC"/>
        </w:rPr>
        <w:t xml:space="preserve"> </w:t>
      </w:r>
      <w:r w:rsidRPr="005173AC">
        <w:rPr>
          <w:rFonts w:cs="AdvPSFT-I"/>
          <w:i/>
        </w:rPr>
        <w:t>Ecology Letters</w:t>
      </w:r>
      <w:r w:rsidRPr="004A4201">
        <w:rPr>
          <w:rFonts w:cs="AdvPSFT-R"/>
        </w:rPr>
        <w:t xml:space="preserve">, </w:t>
      </w:r>
      <w:r w:rsidRPr="00A06D33">
        <w:rPr>
          <w:rFonts w:cs="AdvPSFT-B"/>
          <w:iCs/>
        </w:rPr>
        <w:t>8</w:t>
      </w:r>
      <w:r w:rsidRPr="00A06D33">
        <w:rPr>
          <w:rFonts w:cs="AdvPSFT-R"/>
        </w:rPr>
        <w:t>:</w:t>
      </w:r>
      <w:r w:rsidRPr="004A4201">
        <w:rPr>
          <w:rFonts w:cs="AdvPSFT-R"/>
        </w:rPr>
        <w:t xml:space="preserve"> 829–837</w:t>
      </w:r>
    </w:p>
    <w:p w:rsidR="000D4FE0" w:rsidRDefault="000D4FE0" w:rsidP="000D4FE0">
      <w:pPr>
        <w:spacing w:after="0"/>
        <w:ind w:left="567" w:hanging="567"/>
      </w:pPr>
      <w:proofErr w:type="spellStart"/>
      <w:proofErr w:type="gramStart"/>
      <w:r>
        <w:t>Gittings</w:t>
      </w:r>
      <w:proofErr w:type="spellEnd"/>
      <w:r>
        <w:t xml:space="preserve">, S. R., </w:t>
      </w:r>
      <w:proofErr w:type="spellStart"/>
      <w:r w:rsidRPr="001505E9">
        <w:t>Tartt</w:t>
      </w:r>
      <w:proofErr w:type="spellEnd"/>
      <w:r w:rsidRPr="001505E9">
        <w:t xml:space="preserve">, </w:t>
      </w:r>
      <w:r>
        <w:t xml:space="preserve">M. and </w:t>
      </w:r>
      <w:r w:rsidRPr="001505E9">
        <w:t>Broughton.</w:t>
      </w:r>
      <w:proofErr w:type="gramEnd"/>
      <w:r w:rsidRPr="001505E9">
        <w:t xml:space="preserve"> </w:t>
      </w:r>
      <w:proofErr w:type="gramStart"/>
      <w:r>
        <w:t>K. (</w:t>
      </w:r>
      <w:r w:rsidRPr="001505E9">
        <w:t>2013</w:t>
      </w:r>
      <w:r>
        <w:t>)</w:t>
      </w:r>
      <w:r w:rsidRPr="001505E9">
        <w:t>.</w:t>
      </w:r>
      <w:proofErr w:type="gramEnd"/>
      <w:r w:rsidRPr="001505E9">
        <w:t xml:space="preserve"> National Marine Sanctuary system condition report 2013. </w:t>
      </w:r>
      <w:proofErr w:type="gramStart"/>
      <w:r w:rsidRPr="001505E9">
        <w:t>U.S. Department of Commerce, National Oceanic and Atmospheric Administration, Office of National Marine Sanctuaries, Silver Spring, MD.</w:t>
      </w:r>
      <w:proofErr w:type="gramEnd"/>
      <w:r>
        <w:t xml:space="preserve"> </w:t>
      </w:r>
    </w:p>
    <w:p w:rsidR="000D4FE0" w:rsidRDefault="000D4FE0" w:rsidP="000D4FE0">
      <w:pPr>
        <w:spacing w:after="0"/>
        <w:ind w:left="360" w:hanging="360"/>
      </w:pPr>
      <w:proofErr w:type="spellStart"/>
      <w:proofErr w:type="gramStart"/>
      <w:r>
        <w:t>Grech</w:t>
      </w:r>
      <w:proofErr w:type="spellEnd"/>
      <w:r>
        <w:t xml:space="preserve">, A., and Marsh, H. </w:t>
      </w:r>
      <w:r w:rsidRPr="001D1331">
        <w:t>(2007) Prioritising areas for dugong conservation in a marine protected area using a spatially explicit population model.</w:t>
      </w:r>
      <w:proofErr w:type="gramEnd"/>
      <w:r w:rsidRPr="001D1331">
        <w:t xml:space="preserve"> </w:t>
      </w:r>
      <w:proofErr w:type="gramStart"/>
      <w:r w:rsidRPr="001D1331">
        <w:rPr>
          <w:i/>
        </w:rPr>
        <w:t>Applied GIS</w:t>
      </w:r>
      <w:r>
        <w:t>, 3:</w:t>
      </w:r>
      <w:r w:rsidRPr="001D1331">
        <w:t xml:space="preserve"> 1-14.</w:t>
      </w:r>
      <w:proofErr w:type="gramEnd"/>
    </w:p>
    <w:p w:rsidR="000D4FE0" w:rsidRDefault="000D4FE0" w:rsidP="000D4FE0">
      <w:pPr>
        <w:spacing w:after="0"/>
        <w:ind w:left="360" w:hanging="360"/>
      </w:pPr>
      <w:r>
        <w:t xml:space="preserve">Gregory, R., Failing, L., </w:t>
      </w:r>
      <w:proofErr w:type="spellStart"/>
      <w:r>
        <w:t>Harstone</w:t>
      </w:r>
      <w:proofErr w:type="spellEnd"/>
      <w:r>
        <w:t xml:space="preserve">, M., Long, G., </w:t>
      </w:r>
      <w:proofErr w:type="spellStart"/>
      <w:r>
        <w:t>McDaniels</w:t>
      </w:r>
      <w:proofErr w:type="spellEnd"/>
      <w:r>
        <w:t xml:space="preserve">, T. and </w:t>
      </w:r>
      <w:proofErr w:type="spellStart"/>
      <w:r>
        <w:t>Ohlson</w:t>
      </w:r>
      <w:proofErr w:type="spellEnd"/>
      <w:r>
        <w:t xml:space="preserve">, D. (2012). </w:t>
      </w:r>
      <w:proofErr w:type="gramStart"/>
      <w:r w:rsidRPr="00E54DA8">
        <w:rPr>
          <w:i/>
        </w:rPr>
        <w:t xml:space="preserve">Structured </w:t>
      </w:r>
      <w:r>
        <w:rPr>
          <w:i/>
        </w:rPr>
        <w:t>d</w:t>
      </w:r>
      <w:r w:rsidRPr="00E54DA8">
        <w:rPr>
          <w:i/>
        </w:rPr>
        <w:t xml:space="preserve">ecision </w:t>
      </w:r>
      <w:r>
        <w:rPr>
          <w:i/>
        </w:rPr>
        <w:t>m</w:t>
      </w:r>
      <w:r w:rsidRPr="00E54DA8">
        <w:rPr>
          <w:i/>
        </w:rPr>
        <w:t>aking.</w:t>
      </w:r>
      <w:proofErr w:type="gramEnd"/>
      <w:r w:rsidRPr="00E54DA8">
        <w:rPr>
          <w:i/>
        </w:rPr>
        <w:t xml:space="preserve"> </w:t>
      </w:r>
      <w:proofErr w:type="gramStart"/>
      <w:r w:rsidRPr="00E54DA8">
        <w:rPr>
          <w:i/>
        </w:rPr>
        <w:t>A practical guide to environmental management choices.</w:t>
      </w:r>
      <w:proofErr w:type="gramEnd"/>
      <w:r>
        <w:t xml:space="preserve"> </w:t>
      </w:r>
      <w:proofErr w:type="gramStart"/>
      <w:r>
        <w:t>Wiley-Blackwell, Chichester.</w:t>
      </w:r>
      <w:proofErr w:type="gramEnd"/>
    </w:p>
    <w:p w:rsidR="000D4FE0" w:rsidRDefault="000D4FE0" w:rsidP="000D4FE0">
      <w:pPr>
        <w:spacing w:after="0"/>
        <w:ind w:left="360" w:hanging="360"/>
      </w:pPr>
      <w:proofErr w:type="gramStart"/>
      <w:r>
        <w:t>Gregory, R. and Keeney, R.L. (</w:t>
      </w:r>
      <w:r w:rsidRPr="00BA5311">
        <w:t>1994</w:t>
      </w:r>
      <w:r>
        <w:t>)</w:t>
      </w:r>
      <w:r w:rsidRPr="00BA5311">
        <w:t>.</w:t>
      </w:r>
      <w:proofErr w:type="gramEnd"/>
      <w:r w:rsidRPr="00BA5311">
        <w:t xml:space="preserve"> </w:t>
      </w:r>
      <w:proofErr w:type="gramStart"/>
      <w:r w:rsidRPr="00BA5311">
        <w:t>Creating policy alternatives using stakeholder values.</w:t>
      </w:r>
      <w:proofErr w:type="gramEnd"/>
      <w:r w:rsidRPr="00BA5311">
        <w:t xml:space="preserve"> </w:t>
      </w:r>
      <w:r w:rsidRPr="00BA5311">
        <w:rPr>
          <w:i/>
        </w:rPr>
        <w:t>Management Science</w:t>
      </w:r>
      <w:r>
        <w:t>, 40</w:t>
      </w:r>
      <w:r w:rsidRPr="00BA5311">
        <w:t>:</w:t>
      </w:r>
      <w:r>
        <w:t xml:space="preserve"> </w:t>
      </w:r>
      <w:r w:rsidRPr="00BA5311">
        <w:t>1035-1048.</w:t>
      </w:r>
    </w:p>
    <w:p w:rsidR="000D4FE0" w:rsidRDefault="000D4FE0" w:rsidP="000D4FE0">
      <w:pPr>
        <w:spacing w:after="0"/>
        <w:ind w:left="360" w:hanging="360"/>
      </w:pPr>
      <w:proofErr w:type="gramStart"/>
      <w:r w:rsidRPr="00C450CC">
        <w:t xml:space="preserve">Hammond, J. </w:t>
      </w:r>
      <w:proofErr w:type="spellStart"/>
      <w:r w:rsidRPr="00C450CC">
        <w:t>S.Keeney</w:t>
      </w:r>
      <w:proofErr w:type="spellEnd"/>
      <w:r w:rsidRPr="00C450CC">
        <w:t xml:space="preserve">, R.L. and </w:t>
      </w:r>
      <w:proofErr w:type="spellStart"/>
      <w:r w:rsidRPr="00C450CC">
        <w:t>Raiffa</w:t>
      </w:r>
      <w:proofErr w:type="spellEnd"/>
      <w:r w:rsidRPr="00C450CC">
        <w:t>, H. (2006).</w:t>
      </w:r>
      <w:proofErr w:type="gramEnd"/>
      <w:r w:rsidRPr="00C450CC">
        <w:t xml:space="preserve"> </w:t>
      </w:r>
      <w:proofErr w:type="gramStart"/>
      <w:r w:rsidRPr="00C450CC">
        <w:t>The hidden traps in decision-making.</w:t>
      </w:r>
      <w:proofErr w:type="gramEnd"/>
      <w:r w:rsidRPr="00C450CC">
        <w:t xml:space="preserve"> </w:t>
      </w:r>
      <w:r w:rsidRPr="005173AC">
        <w:rPr>
          <w:i/>
        </w:rPr>
        <w:t>Harvard Business Review,</w:t>
      </w:r>
      <w:r w:rsidRPr="00C450CC">
        <w:t xml:space="preserve"> 118: 120-126.</w:t>
      </w:r>
    </w:p>
    <w:p w:rsidR="000D4FE0" w:rsidRDefault="000D4FE0" w:rsidP="000D4FE0">
      <w:pPr>
        <w:spacing w:after="0"/>
        <w:ind w:left="567" w:hanging="567"/>
      </w:pPr>
      <w:proofErr w:type="gramStart"/>
      <w:r w:rsidRPr="004A4201">
        <w:t>Harrington, L., K</w:t>
      </w:r>
      <w:r>
        <w:t xml:space="preserve">. E. </w:t>
      </w:r>
      <w:proofErr w:type="spellStart"/>
      <w:r>
        <w:t>Fabricius</w:t>
      </w:r>
      <w:proofErr w:type="spellEnd"/>
      <w:r>
        <w:t xml:space="preserve">, </w:t>
      </w:r>
      <w:proofErr w:type="spellStart"/>
      <w:r w:rsidRPr="00A06D33">
        <w:t>De'ath</w:t>
      </w:r>
      <w:proofErr w:type="spellEnd"/>
      <w:r w:rsidRPr="00A06D33">
        <w:t xml:space="preserve">, </w:t>
      </w:r>
      <w:r>
        <w:t xml:space="preserve">G. </w:t>
      </w:r>
      <w:r w:rsidRPr="00A06D33">
        <w:t xml:space="preserve">and </w:t>
      </w:r>
      <w:proofErr w:type="spellStart"/>
      <w:r w:rsidRPr="00A06D33">
        <w:t>Negr</w:t>
      </w:r>
      <w:proofErr w:type="spellEnd"/>
      <w:r>
        <w:t>, A. (2004).</w:t>
      </w:r>
      <w:proofErr w:type="gramEnd"/>
      <w:r>
        <w:t xml:space="preserve"> </w:t>
      </w:r>
      <w:r w:rsidRPr="004A4201">
        <w:t>Recognition and selection of settlement substrata determine post</w:t>
      </w:r>
      <w:r>
        <w:t>-settlement survival in corals.</w:t>
      </w:r>
      <w:r w:rsidRPr="004A4201">
        <w:t xml:space="preserve"> </w:t>
      </w:r>
      <w:r w:rsidRPr="005173AC">
        <w:rPr>
          <w:i/>
        </w:rPr>
        <w:t>Ecology,</w:t>
      </w:r>
      <w:r w:rsidRPr="005173AC">
        <w:t xml:space="preserve"> 85:</w:t>
      </w:r>
      <w:r w:rsidRPr="004A4201">
        <w:t xml:space="preserve"> 3428–3437.</w:t>
      </w:r>
    </w:p>
    <w:p w:rsidR="000D4FE0" w:rsidRDefault="000D4FE0" w:rsidP="000D4FE0">
      <w:pPr>
        <w:spacing w:after="0"/>
        <w:ind w:left="567" w:hanging="567"/>
      </w:pPr>
      <w:proofErr w:type="gramStart"/>
      <w:r w:rsidRPr="001505E9">
        <w:t>Healthy Reefs Initiative.</w:t>
      </w:r>
      <w:proofErr w:type="gramEnd"/>
      <w:r w:rsidRPr="001505E9">
        <w:t xml:space="preserve"> </w:t>
      </w:r>
      <w:proofErr w:type="gramStart"/>
      <w:r>
        <w:t>(</w:t>
      </w:r>
      <w:r w:rsidRPr="001505E9">
        <w:t>2012</w:t>
      </w:r>
      <w:r>
        <w:t>)</w:t>
      </w:r>
      <w:r w:rsidRPr="001505E9">
        <w:t>. Report card for the Mesoamerican reef.</w:t>
      </w:r>
      <w:proofErr w:type="gramEnd"/>
      <w:r w:rsidRPr="001505E9">
        <w:t xml:space="preserve">  </w:t>
      </w:r>
      <w:proofErr w:type="gramStart"/>
      <w:r w:rsidRPr="001505E9">
        <w:t>An evaluation of ecosystem health 2012.</w:t>
      </w:r>
      <w:proofErr w:type="gramEnd"/>
      <w:r w:rsidRPr="001505E9">
        <w:t xml:space="preserve"> </w:t>
      </w:r>
      <w:proofErr w:type="gramStart"/>
      <w:r w:rsidRPr="001505E9">
        <w:t>He</w:t>
      </w:r>
      <w:r>
        <w:t>althy Reefs for Healthy People.</w:t>
      </w:r>
      <w:proofErr w:type="gramEnd"/>
    </w:p>
    <w:p w:rsidR="000D4FE0" w:rsidRPr="004A4201" w:rsidRDefault="000D4FE0" w:rsidP="000D4FE0">
      <w:pPr>
        <w:spacing w:after="0"/>
        <w:ind w:left="567" w:hanging="567"/>
      </w:pPr>
      <w:r>
        <w:t xml:space="preserve">Hedge, P., Molloy, F., </w:t>
      </w:r>
      <w:proofErr w:type="spellStart"/>
      <w:r>
        <w:t>Sweatman</w:t>
      </w:r>
      <w:proofErr w:type="spellEnd"/>
      <w:r>
        <w:t xml:space="preserve">, H., Hayes, K., </w:t>
      </w:r>
      <w:proofErr w:type="spellStart"/>
      <w:r>
        <w:t>Dambacher</w:t>
      </w:r>
      <w:proofErr w:type="spellEnd"/>
      <w:r>
        <w:t xml:space="preserve">, J. Chandler, J., Gooch, M., Chinn, A., </w:t>
      </w:r>
      <w:proofErr w:type="spellStart"/>
      <w:r>
        <w:t>Bax</w:t>
      </w:r>
      <w:proofErr w:type="spellEnd"/>
      <w:r>
        <w:t xml:space="preserve">, N. and </w:t>
      </w:r>
      <w:proofErr w:type="spellStart"/>
      <w:r>
        <w:t>Walshe</w:t>
      </w:r>
      <w:proofErr w:type="spellEnd"/>
      <w:r>
        <w:t xml:space="preserve">, </w:t>
      </w:r>
      <w:proofErr w:type="gramStart"/>
      <w:r>
        <w:t>T..</w:t>
      </w:r>
      <w:proofErr w:type="gramEnd"/>
      <w:r>
        <w:t xml:space="preserve"> (2013) </w:t>
      </w:r>
      <w:proofErr w:type="gramStart"/>
      <w:r>
        <w:t>An</w:t>
      </w:r>
      <w:proofErr w:type="gramEnd"/>
      <w:r>
        <w:t xml:space="preserve"> integrated monitoring framework for the Great Barrier Reef World Heritage Area.  Report prepared for the Department of the Environment, Commonwealth Government of Australia.  </w:t>
      </w:r>
    </w:p>
    <w:p w:rsidR="000D4FE0" w:rsidRDefault="000D4FE0" w:rsidP="000D4FE0">
      <w:pPr>
        <w:spacing w:after="0"/>
        <w:ind w:left="567" w:hanging="567"/>
      </w:pPr>
      <w:proofErr w:type="gramStart"/>
      <w:r>
        <w:t xml:space="preserve">Hori, M., </w:t>
      </w:r>
      <w:r w:rsidRPr="001D1331">
        <w:t xml:space="preserve">Suzuki, </w:t>
      </w:r>
      <w:r>
        <w:t xml:space="preserve">T., </w:t>
      </w:r>
      <w:proofErr w:type="spellStart"/>
      <w:r w:rsidRPr="001D1331">
        <w:t>Monthum</w:t>
      </w:r>
      <w:proofErr w:type="spellEnd"/>
      <w:r w:rsidRPr="001D1331">
        <w:t xml:space="preserve">, </w:t>
      </w:r>
      <w:r>
        <w:t xml:space="preserve">Y., </w:t>
      </w:r>
      <w:proofErr w:type="spellStart"/>
      <w:r w:rsidRPr="001D1331">
        <w:t>Srisombat</w:t>
      </w:r>
      <w:proofErr w:type="spellEnd"/>
      <w:r w:rsidRPr="001D1331">
        <w:t xml:space="preserve">, </w:t>
      </w:r>
      <w:r>
        <w:t xml:space="preserve">T., </w:t>
      </w:r>
      <w:r w:rsidRPr="001D1331">
        <w:t xml:space="preserve">Tanaka, </w:t>
      </w:r>
      <w:r>
        <w:t xml:space="preserve">Y., </w:t>
      </w:r>
      <w:proofErr w:type="spellStart"/>
      <w:r w:rsidRPr="001D1331">
        <w:t>Nakaoka</w:t>
      </w:r>
      <w:proofErr w:type="spellEnd"/>
      <w:r w:rsidRPr="001D1331">
        <w:t xml:space="preserve">, </w:t>
      </w:r>
      <w:r>
        <w:t xml:space="preserve">M. and </w:t>
      </w:r>
      <w:proofErr w:type="spellStart"/>
      <w:r>
        <w:t>Mukai</w:t>
      </w:r>
      <w:proofErr w:type="spellEnd"/>
      <w:r>
        <w:t>, H.</w:t>
      </w:r>
      <w:r w:rsidRPr="001D1331">
        <w:t xml:space="preserve"> </w:t>
      </w:r>
      <w:r>
        <w:t>(</w:t>
      </w:r>
      <w:r w:rsidRPr="001D1331">
        <w:t>2009</w:t>
      </w:r>
      <w:r>
        <w:t>)</w:t>
      </w:r>
      <w:r w:rsidRPr="001D1331">
        <w:t>.</w:t>
      </w:r>
      <w:proofErr w:type="gramEnd"/>
      <w:r w:rsidRPr="001D1331">
        <w:t xml:space="preserve"> High seagrass diversity and canopy-height increase associated fish diversity and abundance. </w:t>
      </w:r>
      <w:r w:rsidRPr="005173AC">
        <w:rPr>
          <w:i/>
        </w:rPr>
        <w:t>Marine Biology</w:t>
      </w:r>
      <w:r>
        <w:t xml:space="preserve">, </w:t>
      </w:r>
      <w:r w:rsidRPr="001D1331">
        <w:t>156:</w:t>
      </w:r>
      <w:r>
        <w:t xml:space="preserve"> </w:t>
      </w:r>
      <w:r w:rsidRPr="001D1331">
        <w:t>1447-1458.</w:t>
      </w:r>
    </w:p>
    <w:p w:rsidR="000D4FE0" w:rsidRPr="004A4201" w:rsidRDefault="000D4FE0" w:rsidP="000D4FE0">
      <w:pPr>
        <w:spacing w:after="0"/>
        <w:ind w:left="567" w:hanging="567"/>
      </w:pPr>
      <w:r w:rsidRPr="004A4201">
        <w:t>Hughes, T. P. (1984). Population-dynamics based on individual size rather than age - a general-mo</w:t>
      </w:r>
      <w:r>
        <w:t xml:space="preserve">del with a reef coral example. </w:t>
      </w:r>
      <w:r w:rsidRPr="005173AC">
        <w:rPr>
          <w:i/>
        </w:rPr>
        <w:t>American Naturalist</w:t>
      </w:r>
      <w:r>
        <w:rPr>
          <w:i/>
        </w:rPr>
        <w:t>,</w:t>
      </w:r>
      <w:r w:rsidRPr="004A4201">
        <w:t xml:space="preserve"> </w:t>
      </w:r>
      <w:r w:rsidRPr="005173AC">
        <w:t>123:</w:t>
      </w:r>
      <w:r w:rsidRPr="004A4201">
        <w:t xml:space="preserve"> 778-795.</w:t>
      </w:r>
    </w:p>
    <w:p w:rsidR="000D4FE0" w:rsidRPr="00A06D33" w:rsidRDefault="000D4FE0" w:rsidP="000D4FE0">
      <w:pPr>
        <w:spacing w:after="0"/>
        <w:ind w:left="567" w:hanging="567"/>
      </w:pPr>
      <w:proofErr w:type="gramStart"/>
      <w:r w:rsidRPr="00A06D33">
        <w:t xml:space="preserve">Hughes, T. P., </w:t>
      </w:r>
      <w:proofErr w:type="spellStart"/>
      <w:r w:rsidRPr="00A06D33">
        <w:t>Rodrigues</w:t>
      </w:r>
      <w:proofErr w:type="spellEnd"/>
      <w:r w:rsidRPr="00A06D33">
        <w:t>, M.J., Bellwood, D</w:t>
      </w:r>
      <w:r>
        <w:t>.</w:t>
      </w:r>
      <w:r w:rsidRPr="00A06D33">
        <w:t>R</w:t>
      </w:r>
      <w:r>
        <w:t>.</w:t>
      </w:r>
      <w:r w:rsidRPr="00A06D33">
        <w:t xml:space="preserve">, </w:t>
      </w:r>
      <w:proofErr w:type="spellStart"/>
      <w:r w:rsidRPr="00A06D33">
        <w:t>Ceccarelli</w:t>
      </w:r>
      <w:proofErr w:type="spellEnd"/>
      <w:r w:rsidRPr="00A06D33">
        <w:t>, D</w:t>
      </w:r>
      <w:r>
        <w:t>.</w:t>
      </w:r>
      <w:r w:rsidRPr="00A06D33">
        <w:t xml:space="preserve">, </w:t>
      </w:r>
      <w:proofErr w:type="spellStart"/>
      <w:r w:rsidRPr="00A06D33">
        <w:t>Hoegh-Guldberg</w:t>
      </w:r>
      <w:proofErr w:type="spellEnd"/>
      <w:r w:rsidRPr="00A06D33">
        <w:t>, O</w:t>
      </w:r>
      <w:r>
        <w:t>.</w:t>
      </w:r>
      <w:r w:rsidRPr="00A06D33">
        <w:t>, McCook, L</w:t>
      </w:r>
      <w:r>
        <w:t>.</w:t>
      </w:r>
      <w:r w:rsidRPr="00A06D33">
        <w:t xml:space="preserve">, </w:t>
      </w:r>
      <w:proofErr w:type="spellStart"/>
      <w:r w:rsidRPr="00A06D33">
        <w:t>Moltschaniwskyj</w:t>
      </w:r>
      <w:proofErr w:type="spellEnd"/>
      <w:r w:rsidRPr="00A06D33">
        <w:t>, N</w:t>
      </w:r>
      <w:r>
        <w:t>.</w:t>
      </w:r>
      <w:r w:rsidRPr="00A06D33">
        <w:t xml:space="preserve">, </w:t>
      </w:r>
      <w:proofErr w:type="spellStart"/>
      <w:r w:rsidRPr="00A06D33">
        <w:t>Pratchett</w:t>
      </w:r>
      <w:proofErr w:type="spellEnd"/>
      <w:r w:rsidRPr="00A06D33">
        <w:t>, M</w:t>
      </w:r>
      <w:r>
        <w:t>.</w:t>
      </w:r>
      <w:r w:rsidRPr="00A06D33">
        <w:t>S</w:t>
      </w:r>
      <w:r>
        <w:t>.</w:t>
      </w:r>
      <w:r w:rsidRPr="00A06D33">
        <w:t xml:space="preserve">, </w:t>
      </w:r>
      <w:proofErr w:type="spellStart"/>
      <w:r w:rsidRPr="00A06D33">
        <w:t>Steneck</w:t>
      </w:r>
      <w:proofErr w:type="spellEnd"/>
      <w:r w:rsidRPr="00A06D33">
        <w:t>, R</w:t>
      </w:r>
      <w:r>
        <w:t>.</w:t>
      </w:r>
      <w:r w:rsidRPr="00A06D33">
        <w:t>S</w:t>
      </w:r>
      <w:r>
        <w:t>.</w:t>
      </w:r>
      <w:r w:rsidRPr="00A06D33">
        <w:t xml:space="preserve"> and Willis, B</w:t>
      </w:r>
      <w:r>
        <w:t>.</w:t>
      </w:r>
      <w:r w:rsidRPr="00A06D33">
        <w:t xml:space="preserve"> (2007).</w:t>
      </w:r>
      <w:proofErr w:type="gramEnd"/>
      <w:r w:rsidRPr="00A06D33">
        <w:t xml:space="preserve"> Phase shifts, </w:t>
      </w:r>
      <w:proofErr w:type="spellStart"/>
      <w:r w:rsidRPr="00A06D33">
        <w:t>herbivory</w:t>
      </w:r>
      <w:proofErr w:type="spellEnd"/>
      <w:r w:rsidRPr="00A06D33">
        <w:t xml:space="preserve">, and the resilience of coral reefs to climate change.  </w:t>
      </w:r>
      <w:r w:rsidRPr="00A06D33">
        <w:rPr>
          <w:i/>
        </w:rPr>
        <w:t>Current Biology,</w:t>
      </w:r>
      <w:r w:rsidRPr="00A06D33">
        <w:t xml:space="preserve"> </w:t>
      </w:r>
      <w:r w:rsidRPr="00A06D33">
        <w:rPr>
          <w:b/>
        </w:rPr>
        <w:t>17</w:t>
      </w:r>
      <w:r w:rsidRPr="00A06D33">
        <w:t>: 360-365.</w:t>
      </w:r>
    </w:p>
    <w:p w:rsidR="000D4FE0" w:rsidRPr="00A8627F" w:rsidRDefault="000D4FE0" w:rsidP="000D4FE0">
      <w:pPr>
        <w:spacing w:after="0"/>
        <w:ind w:left="567" w:hanging="567"/>
        <w:rPr>
          <w:lang w:val="en-US"/>
        </w:rPr>
      </w:pPr>
      <w:proofErr w:type="spellStart"/>
      <w:proofErr w:type="gramStart"/>
      <w:r w:rsidRPr="00161236">
        <w:t>Jago</w:t>
      </w:r>
      <w:proofErr w:type="spellEnd"/>
      <w:r w:rsidRPr="00161236">
        <w:t xml:space="preserve">-on, K.A.B., Kaneko, S., Fujikura, R., Fujiwara, A., Imai, T., Matsumoto, T., Zhang, J., </w:t>
      </w:r>
      <w:proofErr w:type="spellStart"/>
      <w:r w:rsidRPr="00161236">
        <w:t>Tanikawa</w:t>
      </w:r>
      <w:proofErr w:type="spellEnd"/>
      <w:r w:rsidRPr="00161236">
        <w:t>, H., Tanaka, K., Lee, B. and Taniguchi, M.</w:t>
      </w:r>
      <w:r w:rsidRPr="00161236">
        <w:rPr>
          <w:b/>
          <w:lang w:val="en-US"/>
        </w:rPr>
        <w:t xml:space="preserve"> </w:t>
      </w:r>
      <w:r w:rsidRPr="00161236">
        <w:rPr>
          <w:lang w:val="en-US"/>
        </w:rPr>
        <w:t>(2009).</w:t>
      </w:r>
      <w:proofErr w:type="gramEnd"/>
      <w:r w:rsidRPr="00161236">
        <w:rPr>
          <w:lang w:val="en-US"/>
        </w:rPr>
        <w:t xml:space="preserve"> Urbanization and subsurface environmental issues: An attempt at DPSIR model application in Asian cities. </w:t>
      </w:r>
      <w:r w:rsidRPr="00161236">
        <w:rPr>
          <w:i/>
          <w:lang w:val="en-US"/>
        </w:rPr>
        <w:t>Science of the Total Environment</w:t>
      </w:r>
      <w:r w:rsidRPr="00161236">
        <w:rPr>
          <w:rFonts w:cs="AdvTT80548492"/>
          <w:color w:val="231F20"/>
        </w:rPr>
        <w:t>, 407: 3089-3104.</w:t>
      </w:r>
    </w:p>
    <w:p w:rsidR="000D4FE0" w:rsidRDefault="000D4FE0" w:rsidP="000D4FE0">
      <w:pPr>
        <w:spacing w:after="0"/>
        <w:ind w:left="567" w:hanging="567"/>
        <w:rPr>
          <w:lang w:val="en-US"/>
        </w:rPr>
      </w:pPr>
      <w:proofErr w:type="gramStart"/>
      <w:r w:rsidRPr="001D1331">
        <w:rPr>
          <w:lang w:val="en-US"/>
        </w:rPr>
        <w:t xml:space="preserve">Jones, G. P., McCormick, M. I., </w:t>
      </w:r>
      <w:proofErr w:type="spellStart"/>
      <w:r w:rsidRPr="001D1331">
        <w:rPr>
          <w:lang w:val="en-US"/>
        </w:rPr>
        <w:t>Srinivasan</w:t>
      </w:r>
      <w:proofErr w:type="spellEnd"/>
      <w:r w:rsidRPr="001D1331">
        <w:rPr>
          <w:lang w:val="en-US"/>
        </w:rPr>
        <w:t>, M. and Eagle, J. V. (2004).</w:t>
      </w:r>
      <w:proofErr w:type="gramEnd"/>
      <w:r w:rsidRPr="001D1331">
        <w:rPr>
          <w:lang w:val="en-US"/>
        </w:rPr>
        <w:t xml:space="preserve"> Coral decline threatens fish biodiversity in marine reserves. </w:t>
      </w:r>
      <w:r w:rsidRPr="005173AC">
        <w:rPr>
          <w:i/>
          <w:lang w:val="en-US"/>
        </w:rPr>
        <w:t>PNAS,</w:t>
      </w:r>
      <w:r w:rsidRPr="001D1331">
        <w:rPr>
          <w:lang w:val="en-US"/>
        </w:rPr>
        <w:t xml:space="preserve"> 101: 8251-8253.</w:t>
      </w:r>
    </w:p>
    <w:p w:rsidR="000D4FE0" w:rsidRDefault="000D4FE0" w:rsidP="000D4FE0">
      <w:pPr>
        <w:spacing w:after="0"/>
        <w:ind w:left="567" w:hanging="567"/>
        <w:rPr>
          <w:lang w:val="en-US"/>
        </w:rPr>
      </w:pPr>
      <w:proofErr w:type="gramStart"/>
      <w:r w:rsidRPr="006C320C">
        <w:rPr>
          <w:lang w:val="en-US"/>
        </w:rPr>
        <w:lastRenderedPageBreak/>
        <w:t xml:space="preserve">Keeney, R. L. and </w:t>
      </w:r>
      <w:proofErr w:type="spellStart"/>
      <w:r w:rsidRPr="006C320C">
        <w:rPr>
          <w:lang w:val="en-US"/>
        </w:rPr>
        <w:t>Raiffa</w:t>
      </w:r>
      <w:proofErr w:type="spellEnd"/>
      <w:r w:rsidRPr="006C320C">
        <w:rPr>
          <w:lang w:val="en-US"/>
        </w:rPr>
        <w:t>, H. (1976).</w:t>
      </w:r>
      <w:proofErr w:type="gramEnd"/>
      <w:r w:rsidRPr="006C320C">
        <w:rPr>
          <w:lang w:val="en-US"/>
        </w:rPr>
        <w:t xml:space="preserve"> </w:t>
      </w:r>
      <w:r w:rsidRPr="005173AC">
        <w:rPr>
          <w:i/>
          <w:lang w:val="en-US"/>
        </w:rPr>
        <w:t>Decisions with multiple objectives: Preferences and value tradeoffs.</w:t>
      </w:r>
      <w:r w:rsidRPr="006C320C">
        <w:rPr>
          <w:lang w:val="en-US"/>
        </w:rPr>
        <w:t xml:space="preserve"> New York: Wiley.</w:t>
      </w:r>
    </w:p>
    <w:p w:rsidR="000D4FE0" w:rsidRPr="000B41EB" w:rsidRDefault="000D4FE0" w:rsidP="000D4FE0">
      <w:pPr>
        <w:spacing w:after="0"/>
        <w:ind w:left="567" w:hanging="567"/>
        <w:rPr>
          <w:lang w:val="en-US"/>
        </w:rPr>
      </w:pPr>
      <w:proofErr w:type="gramStart"/>
      <w:r w:rsidRPr="000B41EB">
        <w:rPr>
          <w:lang w:val="en-US"/>
        </w:rPr>
        <w:t>Keith, D.A., Martin T.G., McDonald-Madden, E., Walters, C.</w:t>
      </w:r>
      <w:proofErr w:type="gramEnd"/>
      <w:r w:rsidRPr="000B41EB">
        <w:rPr>
          <w:lang w:val="en-US"/>
        </w:rPr>
        <w:t xml:space="preserve">  </w:t>
      </w:r>
      <w:proofErr w:type="gramStart"/>
      <w:r w:rsidRPr="000B41EB">
        <w:rPr>
          <w:lang w:val="en-US"/>
        </w:rPr>
        <w:t>(2011). Uncertainty and adaptive management for biodiversity conservation</w:t>
      </w:r>
      <w:r>
        <w:rPr>
          <w:lang w:val="en-US"/>
        </w:rPr>
        <w:t>.</w:t>
      </w:r>
      <w:proofErr w:type="gramEnd"/>
      <w:r>
        <w:rPr>
          <w:lang w:val="en-US"/>
        </w:rPr>
        <w:t xml:space="preserve"> </w:t>
      </w:r>
      <w:r w:rsidRPr="005173AC">
        <w:rPr>
          <w:i/>
          <w:lang w:val="en-US"/>
        </w:rPr>
        <w:t>Biological Conservation,</w:t>
      </w:r>
      <w:r>
        <w:rPr>
          <w:lang w:val="en-US"/>
        </w:rPr>
        <w:t xml:space="preserve"> </w:t>
      </w:r>
      <w:r w:rsidRPr="000B41EB">
        <w:rPr>
          <w:lang w:val="en-US"/>
        </w:rPr>
        <w:t>144</w:t>
      </w:r>
      <w:r>
        <w:rPr>
          <w:lang w:val="en-US"/>
        </w:rPr>
        <w:t xml:space="preserve">: </w:t>
      </w:r>
      <w:r w:rsidRPr="000B41EB">
        <w:rPr>
          <w:lang w:val="en-US"/>
        </w:rPr>
        <w:t>1175–1178</w:t>
      </w:r>
      <w:r>
        <w:rPr>
          <w:lang w:val="en-US"/>
        </w:rPr>
        <w:t>.</w:t>
      </w:r>
    </w:p>
    <w:p w:rsidR="000D4FE0" w:rsidRDefault="000D4FE0" w:rsidP="000D4FE0">
      <w:pPr>
        <w:spacing w:after="0"/>
        <w:ind w:left="567" w:hanging="567"/>
      </w:pPr>
      <w:proofErr w:type="gramStart"/>
      <w:r>
        <w:t xml:space="preserve">Lawler, I. R., Parra, G. and </w:t>
      </w:r>
      <w:proofErr w:type="spellStart"/>
      <w:r>
        <w:t>Noad</w:t>
      </w:r>
      <w:proofErr w:type="spellEnd"/>
      <w:r>
        <w:t>, M. (2007).</w:t>
      </w:r>
      <w:proofErr w:type="gramEnd"/>
      <w:r>
        <w:t xml:space="preserve"> Vulnerability of marine mammals in the Great Barrier Reef to climate change (Chapter 16, Part II: Species and species groups). In J. Johnson and P. Marshall, (</w:t>
      </w:r>
      <w:proofErr w:type="spellStart"/>
      <w:proofErr w:type="gramStart"/>
      <w:r>
        <w:t>eds</w:t>
      </w:r>
      <w:proofErr w:type="spellEnd"/>
      <w:proofErr w:type="gramEnd"/>
      <w:r>
        <w:t xml:space="preserve">). </w:t>
      </w:r>
      <w:r w:rsidRPr="005173AC">
        <w:rPr>
          <w:i/>
        </w:rPr>
        <w:t xml:space="preserve">Climate Change and the Great Barrier Reef: A Vulnerability Assessment. </w:t>
      </w:r>
      <w:r>
        <w:t>GBRMPA, Townsville.</w:t>
      </w:r>
    </w:p>
    <w:p w:rsidR="000D4FE0" w:rsidRPr="004D4A84" w:rsidRDefault="000D4FE0" w:rsidP="000D4FE0">
      <w:pPr>
        <w:spacing w:after="0"/>
        <w:ind w:left="567" w:hanging="567"/>
      </w:pPr>
      <w:proofErr w:type="gramStart"/>
      <w:r>
        <w:t>Li, J. and Australia, G. (2008).</w:t>
      </w:r>
      <w:proofErr w:type="gramEnd"/>
      <w:r>
        <w:t xml:space="preserve"> </w:t>
      </w:r>
      <w:proofErr w:type="gramStart"/>
      <w:r>
        <w:t>A review of spatial interpolation methods for environmental scientists, Volume 137.</w:t>
      </w:r>
      <w:proofErr w:type="gramEnd"/>
      <w:r>
        <w:t xml:space="preserve"> </w:t>
      </w:r>
      <w:proofErr w:type="spellStart"/>
      <w:proofErr w:type="gramStart"/>
      <w:r>
        <w:t>Geoscience</w:t>
      </w:r>
      <w:proofErr w:type="spellEnd"/>
      <w:r>
        <w:t xml:space="preserve"> Australia Canberra.</w:t>
      </w:r>
      <w:proofErr w:type="gramEnd"/>
    </w:p>
    <w:p w:rsidR="000D4FE0" w:rsidRPr="001505E9" w:rsidRDefault="000D4FE0" w:rsidP="000D4FE0">
      <w:pPr>
        <w:spacing w:after="0"/>
        <w:ind w:left="567" w:hanging="567"/>
      </w:pPr>
      <w:proofErr w:type="spellStart"/>
      <w:r w:rsidRPr="001505E9">
        <w:rPr>
          <w:rFonts w:cs="Segoe UI"/>
        </w:rPr>
        <w:t>Lindenmayer</w:t>
      </w:r>
      <w:proofErr w:type="spellEnd"/>
      <w:r w:rsidRPr="001505E9">
        <w:rPr>
          <w:rFonts w:cs="Segoe UI"/>
        </w:rPr>
        <w:t xml:space="preserve">, D. B., and </w:t>
      </w:r>
      <w:r>
        <w:rPr>
          <w:rFonts w:cs="Segoe UI"/>
        </w:rPr>
        <w:t>Likens, G.E.</w:t>
      </w:r>
      <w:r w:rsidRPr="001505E9">
        <w:rPr>
          <w:rFonts w:cs="Segoe UI"/>
        </w:rPr>
        <w:t xml:space="preserve"> </w:t>
      </w:r>
      <w:r>
        <w:rPr>
          <w:rFonts w:cs="Segoe UI"/>
        </w:rPr>
        <w:t>(</w:t>
      </w:r>
      <w:r w:rsidRPr="001505E9">
        <w:rPr>
          <w:rFonts w:cs="Segoe UI"/>
        </w:rPr>
        <w:t>2009</w:t>
      </w:r>
      <w:r>
        <w:rPr>
          <w:rFonts w:cs="Segoe UI"/>
        </w:rPr>
        <w:t>)</w:t>
      </w:r>
      <w:r w:rsidRPr="001505E9">
        <w:rPr>
          <w:rFonts w:cs="Segoe UI"/>
        </w:rPr>
        <w:t xml:space="preserve">. Adaptive monitoring: A new paradigm for long-term research and monitoring. </w:t>
      </w:r>
      <w:r>
        <w:rPr>
          <w:rFonts w:cs="Segoe UI"/>
          <w:i/>
        </w:rPr>
        <w:t>Trends in Ecology and Evolution,</w:t>
      </w:r>
      <w:r w:rsidRPr="001505E9">
        <w:rPr>
          <w:rFonts w:cs="Segoe UI"/>
        </w:rPr>
        <w:t xml:space="preserve"> </w:t>
      </w:r>
      <w:r w:rsidRPr="005832D0">
        <w:rPr>
          <w:rFonts w:cs="Segoe UI"/>
          <w:bCs/>
        </w:rPr>
        <w:t>24</w:t>
      </w:r>
      <w:r w:rsidRPr="005832D0">
        <w:rPr>
          <w:rFonts w:cs="Segoe UI"/>
        </w:rPr>
        <w:t>:</w:t>
      </w:r>
      <w:r>
        <w:rPr>
          <w:rFonts w:cs="Segoe UI"/>
        </w:rPr>
        <w:t xml:space="preserve"> </w:t>
      </w:r>
      <w:r w:rsidRPr="001505E9">
        <w:rPr>
          <w:rFonts w:cs="Segoe UI"/>
        </w:rPr>
        <w:t>482–486.</w:t>
      </w:r>
    </w:p>
    <w:p w:rsidR="000D4FE0" w:rsidRDefault="000D4FE0" w:rsidP="000D4FE0">
      <w:pPr>
        <w:spacing w:after="0"/>
        <w:ind w:left="567" w:hanging="567"/>
      </w:pPr>
      <w:proofErr w:type="spellStart"/>
      <w:proofErr w:type="gramStart"/>
      <w:r w:rsidRPr="001505E9">
        <w:t>Lookingbill</w:t>
      </w:r>
      <w:proofErr w:type="spellEnd"/>
      <w:r w:rsidRPr="001505E9">
        <w:t xml:space="preserve">, T. R., </w:t>
      </w:r>
      <w:proofErr w:type="spellStart"/>
      <w:r w:rsidRPr="001505E9">
        <w:t>Schmit</w:t>
      </w:r>
      <w:proofErr w:type="spellEnd"/>
      <w:r w:rsidRPr="001505E9">
        <w:t xml:space="preserve">, </w:t>
      </w:r>
      <w:r>
        <w:t xml:space="preserve">J.P. </w:t>
      </w:r>
      <w:proofErr w:type="spellStart"/>
      <w:r w:rsidRPr="001505E9">
        <w:t>Tessel</w:t>
      </w:r>
      <w:proofErr w:type="spellEnd"/>
      <w:r w:rsidRPr="001505E9">
        <w:t xml:space="preserve">, </w:t>
      </w:r>
      <w:r>
        <w:t xml:space="preserve">S. M., </w:t>
      </w:r>
      <w:r w:rsidRPr="001505E9">
        <w:t xml:space="preserve">Suarez-Rubio, </w:t>
      </w:r>
      <w:r>
        <w:t xml:space="preserve">M. and </w:t>
      </w:r>
      <w:proofErr w:type="spellStart"/>
      <w:r w:rsidRPr="001505E9">
        <w:t>Hilderbrand</w:t>
      </w:r>
      <w:proofErr w:type="spellEnd"/>
      <w:r>
        <w:t>, R.H</w:t>
      </w:r>
      <w:r w:rsidRPr="001505E9">
        <w:t xml:space="preserve">. </w:t>
      </w:r>
      <w:r>
        <w:t>(</w:t>
      </w:r>
      <w:r w:rsidRPr="001505E9">
        <w:t>2014</w:t>
      </w:r>
      <w:r>
        <w:t>)</w:t>
      </w:r>
      <w:r w:rsidRPr="001505E9">
        <w:t>.</w:t>
      </w:r>
      <w:proofErr w:type="gramEnd"/>
      <w:r w:rsidRPr="001505E9">
        <w:t xml:space="preserve"> </w:t>
      </w:r>
      <w:proofErr w:type="gramStart"/>
      <w:r w:rsidRPr="001505E9">
        <w:t>Assessing national park resource condition along an urban–rural gradient in and around Washington, DC, USA.</w:t>
      </w:r>
      <w:proofErr w:type="gramEnd"/>
      <w:r w:rsidRPr="001505E9">
        <w:t xml:space="preserve"> </w:t>
      </w:r>
      <w:r w:rsidRPr="005832D0">
        <w:rPr>
          <w:i/>
        </w:rPr>
        <w:t>Ecological Indicators,</w:t>
      </w:r>
      <w:r w:rsidRPr="001505E9">
        <w:t xml:space="preserve"> 42:</w:t>
      </w:r>
      <w:r>
        <w:t xml:space="preserve"> </w:t>
      </w:r>
      <w:r w:rsidRPr="001505E9">
        <w:t>147-159.</w:t>
      </w:r>
    </w:p>
    <w:p w:rsidR="000D4FE0" w:rsidRPr="001E5A2B" w:rsidRDefault="000D4FE0" w:rsidP="000D4FE0">
      <w:pPr>
        <w:spacing w:after="0"/>
        <w:ind w:left="567" w:hanging="567"/>
      </w:pPr>
      <w:proofErr w:type="gramStart"/>
      <w:r w:rsidRPr="001E5A2B">
        <w:t xml:space="preserve">Ludwig, D., </w:t>
      </w:r>
      <w:proofErr w:type="spellStart"/>
      <w:r w:rsidRPr="001E5A2B">
        <w:t>Hilborn</w:t>
      </w:r>
      <w:proofErr w:type="spellEnd"/>
      <w:r w:rsidRPr="001E5A2B">
        <w:t>, R., and Walters, C. (1993).</w:t>
      </w:r>
      <w:proofErr w:type="gramEnd"/>
      <w:r w:rsidRPr="001E5A2B">
        <w:t xml:space="preserve"> Uncertainty, resource exploitation, and conservation: Lessons from history. </w:t>
      </w:r>
      <w:r w:rsidRPr="001E5A2B">
        <w:rPr>
          <w:i/>
        </w:rPr>
        <w:t>Science</w:t>
      </w:r>
      <w:r w:rsidRPr="001E5A2B">
        <w:t xml:space="preserve">, </w:t>
      </w:r>
      <w:r w:rsidRPr="005173AC">
        <w:t>260:</w:t>
      </w:r>
      <w:r w:rsidRPr="001E5A2B">
        <w:rPr>
          <w:b/>
        </w:rPr>
        <w:t xml:space="preserve"> </w:t>
      </w:r>
      <w:r w:rsidRPr="001E5A2B">
        <w:t>17-36.</w:t>
      </w:r>
    </w:p>
    <w:p w:rsidR="000D4FE0" w:rsidRPr="005F47D0" w:rsidRDefault="000D4FE0" w:rsidP="000D4FE0">
      <w:pPr>
        <w:spacing w:after="0"/>
        <w:ind w:left="567" w:hanging="567"/>
        <w:rPr>
          <w:rFonts w:cs="Segoe UI"/>
        </w:rPr>
      </w:pPr>
      <w:proofErr w:type="spellStart"/>
      <w:r w:rsidRPr="001505E9">
        <w:rPr>
          <w:rFonts w:cs="Segoe UI"/>
        </w:rPr>
        <w:t>Magurran</w:t>
      </w:r>
      <w:proofErr w:type="spellEnd"/>
      <w:r w:rsidRPr="001505E9">
        <w:rPr>
          <w:rFonts w:cs="Segoe UI"/>
        </w:rPr>
        <w:t xml:space="preserve">, A. E., Baillie, </w:t>
      </w:r>
      <w:r>
        <w:rPr>
          <w:rFonts w:cs="Segoe UI"/>
        </w:rPr>
        <w:t xml:space="preserve">S. R., </w:t>
      </w:r>
      <w:r w:rsidRPr="001505E9">
        <w:rPr>
          <w:rFonts w:cs="Segoe UI"/>
        </w:rPr>
        <w:t xml:space="preserve">Buckland, </w:t>
      </w:r>
      <w:r>
        <w:rPr>
          <w:rFonts w:cs="Segoe UI"/>
        </w:rPr>
        <w:t xml:space="preserve">S. T., </w:t>
      </w:r>
      <w:r w:rsidRPr="001505E9">
        <w:rPr>
          <w:rFonts w:cs="Segoe UI"/>
        </w:rPr>
        <w:t xml:space="preserve">Dick, J. M. </w:t>
      </w:r>
      <w:r>
        <w:rPr>
          <w:rFonts w:cs="Segoe UI"/>
        </w:rPr>
        <w:t>,</w:t>
      </w:r>
      <w:r w:rsidRPr="001505E9">
        <w:rPr>
          <w:rFonts w:cs="Segoe UI"/>
        </w:rPr>
        <w:t xml:space="preserve"> </w:t>
      </w:r>
      <w:proofErr w:type="spellStart"/>
      <w:r w:rsidRPr="001505E9">
        <w:rPr>
          <w:rFonts w:cs="Segoe UI"/>
        </w:rPr>
        <w:t>Elston</w:t>
      </w:r>
      <w:proofErr w:type="spellEnd"/>
      <w:r w:rsidRPr="001505E9">
        <w:rPr>
          <w:rFonts w:cs="Segoe UI"/>
        </w:rPr>
        <w:t xml:space="preserve">, </w:t>
      </w:r>
      <w:r>
        <w:rPr>
          <w:rFonts w:cs="Segoe UI"/>
        </w:rPr>
        <w:t xml:space="preserve">D. A., </w:t>
      </w:r>
      <w:r w:rsidRPr="001505E9">
        <w:rPr>
          <w:rFonts w:cs="Segoe UI"/>
        </w:rPr>
        <w:t xml:space="preserve">Scott, </w:t>
      </w:r>
      <w:r>
        <w:rPr>
          <w:rFonts w:cs="Segoe UI"/>
        </w:rPr>
        <w:t xml:space="preserve">E. M., </w:t>
      </w:r>
      <w:r w:rsidRPr="001505E9">
        <w:rPr>
          <w:rFonts w:cs="Segoe UI"/>
        </w:rPr>
        <w:t xml:space="preserve">Smith, </w:t>
      </w:r>
      <w:r>
        <w:rPr>
          <w:rFonts w:cs="Segoe UI"/>
        </w:rPr>
        <w:t xml:space="preserve">R. I., </w:t>
      </w:r>
      <w:r w:rsidRPr="001505E9">
        <w:rPr>
          <w:rFonts w:cs="Segoe UI"/>
        </w:rPr>
        <w:t xml:space="preserve">Somerfield, P. J. and </w:t>
      </w:r>
      <w:r>
        <w:rPr>
          <w:rFonts w:cs="Segoe UI"/>
        </w:rPr>
        <w:t>Watt, A. D.</w:t>
      </w:r>
      <w:r w:rsidRPr="001505E9">
        <w:rPr>
          <w:rFonts w:cs="Segoe UI"/>
        </w:rPr>
        <w:t xml:space="preserve"> </w:t>
      </w:r>
      <w:r>
        <w:rPr>
          <w:rFonts w:cs="Segoe UI"/>
        </w:rPr>
        <w:t>(</w:t>
      </w:r>
      <w:r w:rsidRPr="001505E9">
        <w:rPr>
          <w:rFonts w:cs="Segoe UI"/>
        </w:rPr>
        <w:t>2010</w:t>
      </w:r>
      <w:r>
        <w:rPr>
          <w:rFonts w:cs="Segoe UI"/>
        </w:rPr>
        <w:t>)</w:t>
      </w:r>
      <w:r w:rsidRPr="001505E9">
        <w:rPr>
          <w:rFonts w:cs="Segoe UI"/>
        </w:rPr>
        <w:t xml:space="preserve">. Long-term datasets in biodiversity research and monitoring: Assessing change in ecological communities through time. </w:t>
      </w:r>
      <w:r>
        <w:rPr>
          <w:rFonts w:cs="Segoe UI"/>
          <w:i/>
        </w:rPr>
        <w:t xml:space="preserve">Trends in Ecology and Evolution, </w:t>
      </w:r>
      <w:r w:rsidRPr="005832D0">
        <w:rPr>
          <w:rFonts w:cs="Segoe UI"/>
          <w:bCs/>
        </w:rPr>
        <w:t>25</w:t>
      </w:r>
      <w:r w:rsidRPr="005832D0">
        <w:rPr>
          <w:rFonts w:cs="Segoe UI"/>
        </w:rPr>
        <w:t>:</w:t>
      </w:r>
      <w:r>
        <w:rPr>
          <w:rFonts w:cs="Segoe UI"/>
        </w:rPr>
        <w:t xml:space="preserve"> 574–582.</w:t>
      </w:r>
    </w:p>
    <w:p w:rsidR="000D4FE0" w:rsidRPr="001E5A2B" w:rsidRDefault="000D4FE0" w:rsidP="000D4FE0">
      <w:pPr>
        <w:spacing w:after="0"/>
        <w:ind w:left="567" w:hanging="567"/>
        <w:rPr>
          <w:lang w:val="en-US"/>
        </w:rPr>
      </w:pPr>
      <w:proofErr w:type="gramStart"/>
      <w:r w:rsidRPr="001E5A2B">
        <w:t>Manly, B.F.J. (1997).</w:t>
      </w:r>
      <w:proofErr w:type="gramEnd"/>
      <w:r w:rsidRPr="001E5A2B">
        <w:t xml:space="preserve"> </w:t>
      </w:r>
      <w:proofErr w:type="gramStart"/>
      <w:r w:rsidRPr="001E5A2B">
        <w:rPr>
          <w:i/>
        </w:rPr>
        <w:t>Randomization, Bootstrap and Monte Carlo Methods in Biology</w:t>
      </w:r>
      <w:r w:rsidRPr="001E5A2B">
        <w:t>.</w:t>
      </w:r>
      <w:proofErr w:type="gramEnd"/>
      <w:r w:rsidRPr="001E5A2B">
        <w:t xml:space="preserve"> </w:t>
      </w:r>
      <w:proofErr w:type="gramStart"/>
      <w:r w:rsidRPr="001E5A2B">
        <w:t>2</w:t>
      </w:r>
      <w:r w:rsidRPr="001E5A2B">
        <w:rPr>
          <w:vertAlign w:val="superscript"/>
        </w:rPr>
        <w:t>nd</w:t>
      </w:r>
      <w:r w:rsidRPr="001E5A2B">
        <w:t xml:space="preserve"> Ed. Chapman and Hall, London.</w:t>
      </w:r>
      <w:proofErr w:type="gramEnd"/>
    </w:p>
    <w:p w:rsidR="000D4FE0" w:rsidRDefault="000D4FE0" w:rsidP="000D4FE0">
      <w:pPr>
        <w:spacing w:after="0"/>
        <w:ind w:left="567" w:hanging="567"/>
        <w:rPr>
          <w:lang w:val="en-US"/>
        </w:rPr>
      </w:pPr>
      <w:proofErr w:type="spellStart"/>
      <w:r w:rsidRPr="001E5A2B">
        <w:rPr>
          <w:lang w:val="en-US"/>
        </w:rPr>
        <w:t>Mapstone</w:t>
      </w:r>
      <w:proofErr w:type="spellEnd"/>
      <w:r w:rsidRPr="001E5A2B">
        <w:rPr>
          <w:lang w:val="en-US"/>
        </w:rPr>
        <w:t xml:space="preserve">, B.D. (1995). </w:t>
      </w:r>
      <w:proofErr w:type="spellStart"/>
      <w:r w:rsidRPr="001E5A2B">
        <w:rPr>
          <w:lang w:val="en-US"/>
        </w:rPr>
        <w:t>Scaleable</w:t>
      </w:r>
      <w:proofErr w:type="spellEnd"/>
      <w:r w:rsidRPr="001E5A2B">
        <w:rPr>
          <w:lang w:val="en-US"/>
        </w:rPr>
        <w:t xml:space="preserve"> decision rules for environmental impact studies: Effect size, Type I and Type II errors. </w:t>
      </w:r>
      <w:r w:rsidRPr="001E5A2B">
        <w:rPr>
          <w:i/>
          <w:lang w:val="en-US"/>
        </w:rPr>
        <w:t>Ecological Applications</w:t>
      </w:r>
      <w:r w:rsidRPr="005173AC">
        <w:rPr>
          <w:lang w:val="en-US"/>
        </w:rPr>
        <w:t>, 5:</w:t>
      </w:r>
      <w:r w:rsidRPr="001E5A2B">
        <w:rPr>
          <w:lang w:val="en-US"/>
        </w:rPr>
        <w:t xml:space="preserve"> 401-410.</w:t>
      </w:r>
    </w:p>
    <w:p w:rsidR="000D4FE0" w:rsidRPr="003F73C1" w:rsidRDefault="000D4FE0" w:rsidP="000D4FE0">
      <w:pPr>
        <w:spacing w:after="0"/>
        <w:ind w:left="567" w:hanging="567"/>
        <w:rPr>
          <w:lang w:val="en-US"/>
        </w:rPr>
      </w:pPr>
      <w:proofErr w:type="gramStart"/>
      <w:r w:rsidRPr="001D1331">
        <w:rPr>
          <w:lang w:val="en-US"/>
        </w:rPr>
        <w:t xml:space="preserve">Marsh, H., </w:t>
      </w:r>
      <w:proofErr w:type="spellStart"/>
      <w:r w:rsidRPr="001D1331">
        <w:rPr>
          <w:lang w:val="en-US"/>
        </w:rPr>
        <w:t>De’Ath</w:t>
      </w:r>
      <w:proofErr w:type="spellEnd"/>
      <w:r w:rsidRPr="001D1331">
        <w:rPr>
          <w:lang w:val="en-US"/>
        </w:rPr>
        <w:t>, G., Gribble, N. and Lane, B. (2005).</w:t>
      </w:r>
      <w:proofErr w:type="gramEnd"/>
      <w:r w:rsidRPr="001D1331">
        <w:rPr>
          <w:lang w:val="en-US"/>
        </w:rPr>
        <w:t xml:space="preserve"> Historical marine population estimates: triggers or targets for conservation? </w:t>
      </w:r>
      <w:proofErr w:type="gramStart"/>
      <w:r w:rsidRPr="001D1331">
        <w:rPr>
          <w:lang w:val="en-US"/>
        </w:rPr>
        <w:t>The dugong case study.</w:t>
      </w:r>
      <w:proofErr w:type="gramEnd"/>
      <w:r w:rsidRPr="001D1331">
        <w:rPr>
          <w:lang w:val="en-US"/>
        </w:rPr>
        <w:t xml:space="preserve">  </w:t>
      </w:r>
      <w:r w:rsidRPr="005173AC">
        <w:rPr>
          <w:i/>
          <w:lang w:val="en-US"/>
        </w:rPr>
        <w:t>Ecological Applications</w:t>
      </w:r>
      <w:r w:rsidRPr="001D1331">
        <w:rPr>
          <w:lang w:val="en-US"/>
        </w:rPr>
        <w:t>, 15: 481 – 492.</w:t>
      </w:r>
    </w:p>
    <w:p w:rsidR="000D4FE0" w:rsidRPr="004A4201" w:rsidRDefault="000D4FE0" w:rsidP="000D4FE0">
      <w:pPr>
        <w:spacing w:after="0"/>
        <w:ind w:left="567" w:hanging="567"/>
      </w:pPr>
      <w:proofErr w:type="gramStart"/>
      <w:r w:rsidRPr="004A4201">
        <w:t xml:space="preserve">Marshall, P. and </w:t>
      </w:r>
      <w:proofErr w:type="spellStart"/>
      <w:r w:rsidRPr="004A4201">
        <w:t>Schuttenberg</w:t>
      </w:r>
      <w:proofErr w:type="spellEnd"/>
      <w:r>
        <w:t>, H.</w:t>
      </w:r>
      <w:r w:rsidRPr="004A4201">
        <w:t xml:space="preserve"> (2006).</w:t>
      </w:r>
      <w:proofErr w:type="gramEnd"/>
      <w:r w:rsidRPr="004A4201">
        <w:t xml:space="preserve"> </w:t>
      </w:r>
      <w:proofErr w:type="gramStart"/>
      <w:r w:rsidRPr="005173AC">
        <w:t>A reef manager's guide to coral bleaching</w:t>
      </w:r>
      <w:r w:rsidRPr="004A4201">
        <w:t>.</w:t>
      </w:r>
      <w:proofErr w:type="gramEnd"/>
      <w:r w:rsidRPr="004A4201">
        <w:t xml:space="preserve"> Townsville, Great Barrier Reef Marine Park Authority.</w:t>
      </w:r>
    </w:p>
    <w:p w:rsidR="000D4FE0" w:rsidRDefault="000D4FE0" w:rsidP="000D4FE0">
      <w:pPr>
        <w:spacing w:after="0"/>
        <w:ind w:left="567" w:hanging="567"/>
      </w:pPr>
      <w:proofErr w:type="gramStart"/>
      <w:r w:rsidRPr="00017C68">
        <w:t xml:space="preserve">Maxwell, S.L., Rhodes, J.R., </w:t>
      </w:r>
      <w:proofErr w:type="spellStart"/>
      <w:r w:rsidRPr="00017C68">
        <w:t>Runge</w:t>
      </w:r>
      <w:proofErr w:type="spellEnd"/>
      <w:r w:rsidRPr="00017C68">
        <w:t xml:space="preserve">, M.C., </w:t>
      </w:r>
      <w:proofErr w:type="spellStart"/>
      <w:r w:rsidRPr="00017C68">
        <w:t>Possingham</w:t>
      </w:r>
      <w:proofErr w:type="spellEnd"/>
      <w:r w:rsidRPr="00017C68">
        <w:t xml:space="preserve">, H.P., </w:t>
      </w:r>
      <w:proofErr w:type="spellStart"/>
      <w:r w:rsidRPr="00017C68">
        <w:t>Fei</w:t>
      </w:r>
      <w:proofErr w:type="spellEnd"/>
      <w:r w:rsidRPr="00017C68">
        <w:t xml:space="preserve"> Ng, C. and McDonald-Madde</w:t>
      </w:r>
      <w:r>
        <w:t>n</w:t>
      </w:r>
      <w:r w:rsidRPr="00017C68">
        <w:t>, E. (2014).</w:t>
      </w:r>
      <w:proofErr w:type="gramEnd"/>
      <w:r w:rsidRPr="00017C68">
        <w:t xml:space="preserve"> How much is new information worth? </w:t>
      </w:r>
      <w:proofErr w:type="gramStart"/>
      <w:r w:rsidRPr="00017C68">
        <w:t>Evaluating the financial benefit of resolving management uncertainty.</w:t>
      </w:r>
      <w:proofErr w:type="gramEnd"/>
      <w:r w:rsidRPr="00017C68">
        <w:t xml:space="preserve"> </w:t>
      </w:r>
      <w:r w:rsidRPr="004C6597">
        <w:rPr>
          <w:i/>
        </w:rPr>
        <w:t>Journal of Applied Ecology</w:t>
      </w:r>
      <w:r w:rsidRPr="00017C68">
        <w:t>, DOI: 10.1111/1365-2664.12373.</w:t>
      </w:r>
    </w:p>
    <w:p w:rsidR="000D4FE0" w:rsidRDefault="000D4FE0" w:rsidP="000D4FE0">
      <w:pPr>
        <w:spacing w:after="0"/>
        <w:ind w:left="567" w:hanging="567"/>
      </w:pPr>
      <w:r w:rsidRPr="00A13D87">
        <w:t xml:space="preserve">Maynard, J. A., Anthony, K. R. N., </w:t>
      </w:r>
      <w:proofErr w:type="spellStart"/>
      <w:r w:rsidRPr="00A13D87">
        <w:t>Afatta</w:t>
      </w:r>
      <w:proofErr w:type="spellEnd"/>
      <w:r w:rsidRPr="00A13D87">
        <w:t xml:space="preserve">, S. and </w:t>
      </w:r>
      <w:proofErr w:type="spellStart"/>
      <w:r w:rsidRPr="00A13D87">
        <w:t>Hoegh-Guldberg</w:t>
      </w:r>
      <w:proofErr w:type="spellEnd"/>
      <w:r w:rsidRPr="00A13D87">
        <w:t xml:space="preserve">, O. (2010). </w:t>
      </w:r>
      <w:proofErr w:type="gramStart"/>
      <w:r w:rsidRPr="00A13D87">
        <w:t>Making a model meaningful to coral reef managers in a developing nation: a case study of overfishing and rock anchoring in Indonesia.</w:t>
      </w:r>
      <w:proofErr w:type="gramEnd"/>
      <w:r w:rsidRPr="00A13D87">
        <w:t xml:space="preserve"> </w:t>
      </w:r>
      <w:r w:rsidRPr="00A13D87">
        <w:rPr>
          <w:i/>
        </w:rPr>
        <w:t>Conservation Biology,</w:t>
      </w:r>
      <w:r w:rsidRPr="00A13D87">
        <w:t xml:space="preserve"> 24: 1316-1326.</w:t>
      </w:r>
    </w:p>
    <w:p w:rsidR="000D4FE0" w:rsidRDefault="000D4FE0" w:rsidP="000D4FE0">
      <w:pPr>
        <w:spacing w:after="0"/>
        <w:ind w:left="567" w:hanging="567"/>
      </w:pPr>
      <w:r w:rsidRPr="00BB3070">
        <w:rPr>
          <w:noProof/>
          <w:szCs w:val="20"/>
        </w:rPr>
        <w:t>McClanahan, T</w:t>
      </w:r>
      <w:r>
        <w:rPr>
          <w:noProof/>
          <w:szCs w:val="20"/>
        </w:rPr>
        <w:t>.</w:t>
      </w:r>
      <w:r w:rsidRPr="00BB3070">
        <w:rPr>
          <w:noProof/>
          <w:szCs w:val="20"/>
        </w:rPr>
        <w:t>R</w:t>
      </w:r>
      <w:r>
        <w:rPr>
          <w:noProof/>
          <w:szCs w:val="20"/>
        </w:rPr>
        <w:t>.,</w:t>
      </w:r>
      <w:r w:rsidRPr="00BB3070">
        <w:rPr>
          <w:noProof/>
          <w:szCs w:val="20"/>
        </w:rPr>
        <w:t xml:space="preserve"> Donner, S</w:t>
      </w:r>
      <w:r>
        <w:rPr>
          <w:noProof/>
          <w:szCs w:val="20"/>
        </w:rPr>
        <w:t>.</w:t>
      </w:r>
      <w:r w:rsidRPr="00BB3070">
        <w:rPr>
          <w:noProof/>
          <w:szCs w:val="20"/>
        </w:rPr>
        <w:t>D</w:t>
      </w:r>
      <w:r>
        <w:rPr>
          <w:noProof/>
          <w:szCs w:val="20"/>
        </w:rPr>
        <w:t xml:space="preserve">., </w:t>
      </w:r>
      <w:r w:rsidRPr="00BB3070">
        <w:rPr>
          <w:noProof/>
          <w:szCs w:val="20"/>
        </w:rPr>
        <w:t>Maynard, J</w:t>
      </w:r>
      <w:r>
        <w:rPr>
          <w:noProof/>
          <w:szCs w:val="20"/>
        </w:rPr>
        <w:t>.</w:t>
      </w:r>
      <w:r w:rsidRPr="00BB3070">
        <w:rPr>
          <w:noProof/>
          <w:szCs w:val="20"/>
        </w:rPr>
        <w:t>A</w:t>
      </w:r>
      <w:r>
        <w:rPr>
          <w:noProof/>
          <w:szCs w:val="20"/>
        </w:rPr>
        <w:t xml:space="preserve">., </w:t>
      </w:r>
      <w:r w:rsidRPr="00BB3070">
        <w:rPr>
          <w:noProof/>
          <w:szCs w:val="20"/>
        </w:rPr>
        <w:t>Macneil, M</w:t>
      </w:r>
      <w:r>
        <w:rPr>
          <w:noProof/>
          <w:szCs w:val="20"/>
        </w:rPr>
        <w:t>.</w:t>
      </w:r>
      <w:r w:rsidRPr="00BB3070">
        <w:rPr>
          <w:noProof/>
          <w:szCs w:val="20"/>
        </w:rPr>
        <w:t>A</w:t>
      </w:r>
      <w:r>
        <w:rPr>
          <w:noProof/>
          <w:szCs w:val="20"/>
        </w:rPr>
        <w:t>.,</w:t>
      </w:r>
      <w:r w:rsidRPr="00BB3070">
        <w:rPr>
          <w:noProof/>
          <w:szCs w:val="20"/>
        </w:rPr>
        <w:t xml:space="preserve"> Graham, N</w:t>
      </w:r>
      <w:r>
        <w:rPr>
          <w:noProof/>
          <w:szCs w:val="20"/>
        </w:rPr>
        <w:t>.</w:t>
      </w:r>
      <w:r w:rsidRPr="00BB3070">
        <w:rPr>
          <w:noProof/>
          <w:szCs w:val="20"/>
        </w:rPr>
        <w:t>A</w:t>
      </w:r>
      <w:r>
        <w:rPr>
          <w:noProof/>
          <w:szCs w:val="20"/>
        </w:rPr>
        <w:t xml:space="preserve">., Maina, J., </w:t>
      </w:r>
      <w:r w:rsidRPr="00BB3070">
        <w:rPr>
          <w:noProof/>
          <w:szCs w:val="20"/>
        </w:rPr>
        <w:t>Baker, A</w:t>
      </w:r>
      <w:r>
        <w:rPr>
          <w:noProof/>
          <w:szCs w:val="20"/>
        </w:rPr>
        <w:t>.</w:t>
      </w:r>
      <w:r w:rsidRPr="00BB3070">
        <w:rPr>
          <w:noProof/>
          <w:szCs w:val="20"/>
        </w:rPr>
        <w:t>C</w:t>
      </w:r>
      <w:r>
        <w:rPr>
          <w:noProof/>
          <w:szCs w:val="20"/>
        </w:rPr>
        <w:t>.,</w:t>
      </w:r>
      <w:r w:rsidRPr="00BB3070">
        <w:rPr>
          <w:noProof/>
          <w:szCs w:val="20"/>
        </w:rPr>
        <w:t xml:space="preserve"> Alemu, J</w:t>
      </w:r>
      <w:r>
        <w:rPr>
          <w:noProof/>
          <w:szCs w:val="20"/>
        </w:rPr>
        <w:t>.</w:t>
      </w:r>
      <w:r w:rsidRPr="00BB3070">
        <w:rPr>
          <w:noProof/>
          <w:szCs w:val="20"/>
        </w:rPr>
        <w:t>B</w:t>
      </w:r>
      <w:r>
        <w:rPr>
          <w:noProof/>
          <w:szCs w:val="20"/>
        </w:rPr>
        <w:t>.</w:t>
      </w:r>
      <w:r w:rsidRPr="00BB3070">
        <w:rPr>
          <w:noProof/>
          <w:szCs w:val="20"/>
        </w:rPr>
        <w:t>I</w:t>
      </w:r>
      <w:r>
        <w:rPr>
          <w:noProof/>
          <w:szCs w:val="20"/>
        </w:rPr>
        <w:t>., Beger, M.,</w:t>
      </w:r>
      <w:r w:rsidRPr="00BB3070">
        <w:rPr>
          <w:noProof/>
          <w:szCs w:val="20"/>
        </w:rPr>
        <w:t xml:space="preserve"> Campbell, S</w:t>
      </w:r>
      <w:r>
        <w:rPr>
          <w:noProof/>
          <w:szCs w:val="20"/>
        </w:rPr>
        <w:t>.</w:t>
      </w:r>
      <w:r w:rsidRPr="00BB3070">
        <w:rPr>
          <w:noProof/>
          <w:szCs w:val="20"/>
        </w:rPr>
        <w:t>J</w:t>
      </w:r>
      <w:r>
        <w:rPr>
          <w:noProof/>
          <w:szCs w:val="20"/>
        </w:rPr>
        <w:t>.,</w:t>
      </w:r>
      <w:r w:rsidRPr="00BB3070">
        <w:rPr>
          <w:noProof/>
          <w:szCs w:val="20"/>
        </w:rPr>
        <w:t xml:space="preserve"> Darling, E</w:t>
      </w:r>
      <w:r>
        <w:rPr>
          <w:noProof/>
          <w:szCs w:val="20"/>
        </w:rPr>
        <w:t>.</w:t>
      </w:r>
      <w:r w:rsidRPr="00BB3070">
        <w:rPr>
          <w:noProof/>
          <w:szCs w:val="20"/>
        </w:rPr>
        <w:t>S</w:t>
      </w:r>
      <w:r>
        <w:rPr>
          <w:noProof/>
          <w:szCs w:val="20"/>
        </w:rPr>
        <w:t>.,</w:t>
      </w:r>
      <w:r w:rsidRPr="00BB3070">
        <w:rPr>
          <w:noProof/>
          <w:szCs w:val="20"/>
        </w:rPr>
        <w:t xml:space="preserve"> Eakin, C</w:t>
      </w:r>
      <w:r>
        <w:rPr>
          <w:noProof/>
          <w:szCs w:val="20"/>
        </w:rPr>
        <w:t xml:space="preserve">.M., Heron, </w:t>
      </w:r>
      <w:r w:rsidRPr="00BB3070">
        <w:rPr>
          <w:noProof/>
          <w:szCs w:val="20"/>
        </w:rPr>
        <w:t>S</w:t>
      </w:r>
      <w:r>
        <w:rPr>
          <w:noProof/>
          <w:szCs w:val="20"/>
        </w:rPr>
        <w:t>.F.,</w:t>
      </w:r>
      <w:r w:rsidRPr="00BB3070">
        <w:rPr>
          <w:noProof/>
          <w:szCs w:val="20"/>
        </w:rPr>
        <w:t xml:space="preserve"> Jupiter, S</w:t>
      </w:r>
      <w:r>
        <w:rPr>
          <w:noProof/>
          <w:szCs w:val="20"/>
        </w:rPr>
        <w:t>.</w:t>
      </w:r>
      <w:r w:rsidRPr="00BB3070">
        <w:rPr>
          <w:noProof/>
          <w:szCs w:val="20"/>
        </w:rPr>
        <w:t>D</w:t>
      </w:r>
      <w:r>
        <w:rPr>
          <w:noProof/>
          <w:szCs w:val="20"/>
        </w:rPr>
        <w:t>.,</w:t>
      </w:r>
      <w:r w:rsidRPr="00BB3070">
        <w:rPr>
          <w:noProof/>
          <w:szCs w:val="20"/>
        </w:rPr>
        <w:t xml:space="preserve"> Lundquist, C</w:t>
      </w:r>
      <w:r>
        <w:rPr>
          <w:noProof/>
          <w:szCs w:val="20"/>
        </w:rPr>
        <w:t>.</w:t>
      </w:r>
      <w:r w:rsidRPr="00BB3070">
        <w:rPr>
          <w:noProof/>
          <w:szCs w:val="20"/>
        </w:rPr>
        <w:t>J</w:t>
      </w:r>
      <w:r>
        <w:rPr>
          <w:noProof/>
          <w:szCs w:val="20"/>
        </w:rPr>
        <w:t xml:space="preserve">., McLeod, E., </w:t>
      </w:r>
      <w:r w:rsidRPr="00BB3070">
        <w:rPr>
          <w:noProof/>
          <w:szCs w:val="20"/>
        </w:rPr>
        <w:t>Mumby, P</w:t>
      </w:r>
      <w:r>
        <w:rPr>
          <w:noProof/>
          <w:szCs w:val="20"/>
        </w:rPr>
        <w:t xml:space="preserve">.J., </w:t>
      </w:r>
      <w:r w:rsidRPr="00BB3070">
        <w:rPr>
          <w:noProof/>
          <w:szCs w:val="20"/>
        </w:rPr>
        <w:t xml:space="preserve"> Paddack, M</w:t>
      </w:r>
      <w:r>
        <w:rPr>
          <w:noProof/>
          <w:szCs w:val="20"/>
        </w:rPr>
        <w:t>.J.,</w:t>
      </w:r>
      <w:r w:rsidRPr="00BB3070">
        <w:rPr>
          <w:noProof/>
          <w:szCs w:val="20"/>
        </w:rPr>
        <w:t xml:space="preserve"> Selig, E</w:t>
      </w:r>
      <w:r>
        <w:rPr>
          <w:noProof/>
          <w:szCs w:val="20"/>
        </w:rPr>
        <w:t>.</w:t>
      </w:r>
      <w:r w:rsidRPr="00BB3070">
        <w:rPr>
          <w:noProof/>
          <w:szCs w:val="20"/>
        </w:rPr>
        <w:t>R</w:t>
      </w:r>
      <w:r>
        <w:rPr>
          <w:noProof/>
          <w:szCs w:val="20"/>
        </w:rPr>
        <w:t>.</w:t>
      </w:r>
      <w:r w:rsidRPr="00BB3070">
        <w:rPr>
          <w:noProof/>
          <w:szCs w:val="20"/>
        </w:rPr>
        <w:t xml:space="preserve"> and </w:t>
      </w:r>
      <w:r>
        <w:rPr>
          <w:noProof/>
          <w:szCs w:val="20"/>
        </w:rPr>
        <w:t>v</w:t>
      </w:r>
      <w:r w:rsidRPr="00BB3070">
        <w:rPr>
          <w:noProof/>
          <w:szCs w:val="20"/>
        </w:rPr>
        <w:t>an Woesik, R</w:t>
      </w:r>
      <w:r>
        <w:rPr>
          <w:noProof/>
          <w:szCs w:val="20"/>
        </w:rPr>
        <w:t>.</w:t>
      </w:r>
      <w:r w:rsidRPr="00BB3070">
        <w:rPr>
          <w:noProof/>
          <w:szCs w:val="20"/>
        </w:rPr>
        <w:t xml:space="preserve"> (2012)</w:t>
      </w:r>
      <w:r>
        <w:rPr>
          <w:noProof/>
          <w:szCs w:val="20"/>
        </w:rPr>
        <w:t>.</w:t>
      </w:r>
      <w:r w:rsidRPr="00BB3070">
        <w:rPr>
          <w:noProof/>
          <w:szCs w:val="20"/>
        </w:rPr>
        <w:t xml:space="preserve"> Prioritizing key resilience indicators to support coral reef management in a changing climate. </w:t>
      </w:r>
      <w:r>
        <w:rPr>
          <w:i/>
          <w:noProof/>
          <w:szCs w:val="20"/>
        </w:rPr>
        <w:t xml:space="preserve">PLoS ONE, </w:t>
      </w:r>
      <w:r>
        <w:rPr>
          <w:noProof/>
          <w:szCs w:val="20"/>
        </w:rPr>
        <w:t>7</w:t>
      </w:r>
      <w:r w:rsidRPr="00BB3070">
        <w:rPr>
          <w:noProof/>
          <w:szCs w:val="20"/>
        </w:rPr>
        <w:t>: doi:10.1371/journal.pone.0042884.</w:t>
      </w:r>
    </w:p>
    <w:p w:rsidR="000D4FE0" w:rsidRPr="00445FBC" w:rsidRDefault="000D4FE0" w:rsidP="000D4FE0">
      <w:pPr>
        <w:spacing w:after="0"/>
        <w:ind w:left="567" w:hanging="567"/>
      </w:pPr>
      <w:r w:rsidRPr="00445FBC">
        <w:rPr>
          <w:noProof/>
          <w:szCs w:val="20"/>
        </w:rPr>
        <w:t>McDole T</w:t>
      </w:r>
      <w:r>
        <w:rPr>
          <w:noProof/>
          <w:szCs w:val="20"/>
        </w:rPr>
        <w:t>.</w:t>
      </w:r>
      <w:r w:rsidRPr="00445FBC">
        <w:rPr>
          <w:noProof/>
          <w:szCs w:val="20"/>
        </w:rPr>
        <w:t>, Nulton J</w:t>
      </w:r>
      <w:r>
        <w:rPr>
          <w:noProof/>
          <w:szCs w:val="20"/>
        </w:rPr>
        <w:t>.</w:t>
      </w:r>
      <w:r w:rsidRPr="00445FBC">
        <w:rPr>
          <w:noProof/>
          <w:szCs w:val="20"/>
        </w:rPr>
        <w:t>, Barott K</w:t>
      </w:r>
      <w:r>
        <w:rPr>
          <w:noProof/>
          <w:szCs w:val="20"/>
        </w:rPr>
        <w:t>.</w:t>
      </w:r>
      <w:r w:rsidRPr="00445FBC">
        <w:rPr>
          <w:noProof/>
          <w:szCs w:val="20"/>
        </w:rPr>
        <w:t>L</w:t>
      </w:r>
      <w:r>
        <w:rPr>
          <w:noProof/>
          <w:szCs w:val="20"/>
        </w:rPr>
        <w:t>.</w:t>
      </w:r>
      <w:r w:rsidRPr="00445FBC">
        <w:rPr>
          <w:noProof/>
          <w:szCs w:val="20"/>
        </w:rPr>
        <w:t>, Felts B</w:t>
      </w:r>
      <w:r>
        <w:rPr>
          <w:noProof/>
          <w:szCs w:val="20"/>
        </w:rPr>
        <w:t>.</w:t>
      </w:r>
      <w:r w:rsidRPr="00445FBC">
        <w:rPr>
          <w:noProof/>
          <w:szCs w:val="20"/>
        </w:rPr>
        <w:t>, Hand C</w:t>
      </w:r>
      <w:r>
        <w:rPr>
          <w:noProof/>
          <w:szCs w:val="20"/>
        </w:rPr>
        <w:t>.</w:t>
      </w:r>
      <w:r w:rsidRPr="00445FBC">
        <w:rPr>
          <w:noProof/>
          <w:szCs w:val="20"/>
        </w:rPr>
        <w:t xml:space="preserve">, </w:t>
      </w:r>
      <w:r>
        <w:rPr>
          <w:noProof/>
          <w:szCs w:val="20"/>
        </w:rPr>
        <w:t xml:space="preserve">Hatay, </w:t>
      </w:r>
      <w:r w:rsidRPr="00445FBC">
        <w:rPr>
          <w:noProof/>
          <w:szCs w:val="20"/>
        </w:rPr>
        <w:t>M</w:t>
      </w:r>
      <w:r>
        <w:rPr>
          <w:noProof/>
          <w:szCs w:val="20"/>
        </w:rPr>
        <w:t>.</w:t>
      </w:r>
      <w:r w:rsidRPr="00445FBC">
        <w:rPr>
          <w:noProof/>
          <w:szCs w:val="20"/>
        </w:rPr>
        <w:t>, Lee</w:t>
      </w:r>
      <w:r>
        <w:rPr>
          <w:noProof/>
          <w:szCs w:val="20"/>
        </w:rPr>
        <w:t>,</w:t>
      </w:r>
      <w:r w:rsidRPr="00445FBC">
        <w:rPr>
          <w:noProof/>
          <w:szCs w:val="20"/>
        </w:rPr>
        <w:t xml:space="preserve"> H</w:t>
      </w:r>
      <w:r>
        <w:rPr>
          <w:noProof/>
          <w:szCs w:val="20"/>
        </w:rPr>
        <w:t xml:space="preserve">., Nadon, </w:t>
      </w:r>
      <w:r w:rsidRPr="00445FBC">
        <w:rPr>
          <w:noProof/>
          <w:szCs w:val="20"/>
        </w:rPr>
        <w:t>M</w:t>
      </w:r>
      <w:r>
        <w:rPr>
          <w:noProof/>
          <w:szCs w:val="20"/>
        </w:rPr>
        <w:t>.</w:t>
      </w:r>
      <w:r w:rsidRPr="00445FBC">
        <w:rPr>
          <w:noProof/>
          <w:szCs w:val="20"/>
        </w:rPr>
        <w:t>O</w:t>
      </w:r>
      <w:r>
        <w:rPr>
          <w:noProof/>
          <w:szCs w:val="20"/>
        </w:rPr>
        <w:t xml:space="preserve">., Nosrat, </w:t>
      </w:r>
      <w:r w:rsidRPr="00445FBC">
        <w:rPr>
          <w:noProof/>
          <w:szCs w:val="20"/>
        </w:rPr>
        <w:t>B</w:t>
      </w:r>
      <w:r>
        <w:rPr>
          <w:noProof/>
          <w:szCs w:val="20"/>
        </w:rPr>
        <w:t>.</w:t>
      </w:r>
      <w:r w:rsidRPr="00445FBC">
        <w:rPr>
          <w:noProof/>
          <w:szCs w:val="20"/>
        </w:rPr>
        <w:t>, Salamon</w:t>
      </w:r>
      <w:r>
        <w:rPr>
          <w:noProof/>
          <w:szCs w:val="20"/>
        </w:rPr>
        <w:t>,</w:t>
      </w:r>
      <w:r w:rsidRPr="00445FBC">
        <w:rPr>
          <w:noProof/>
          <w:szCs w:val="20"/>
        </w:rPr>
        <w:t xml:space="preserve"> P</w:t>
      </w:r>
      <w:r>
        <w:rPr>
          <w:noProof/>
          <w:szCs w:val="20"/>
        </w:rPr>
        <w:t xml:space="preserve">., Bailey, </w:t>
      </w:r>
      <w:r w:rsidRPr="00445FBC">
        <w:rPr>
          <w:noProof/>
          <w:szCs w:val="20"/>
        </w:rPr>
        <w:t>B</w:t>
      </w:r>
      <w:r>
        <w:rPr>
          <w:noProof/>
          <w:szCs w:val="20"/>
        </w:rPr>
        <w:t>.</w:t>
      </w:r>
      <w:r w:rsidRPr="00445FBC">
        <w:rPr>
          <w:noProof/>
          <w:szCs w:val="20"/>
        </w:rPr>
        <w:t>, Sandin</w:t>
      </w:r>
      <w:r>
        <w:rPr>
          <w:noProof/>
          <w:szCs w:val="20"/>
        </w:rPr>
        <w:t>,</w:t>
      </w:r>
      <w:r w:rsidRPr="00445FBC">
        <w:rPr>
          <w:noProof/>
          <w:szCs w:val="20"/>
        </w:rPr>
        <w:t xml:space="preserve"> S</w:t>
      </w:r>
      <w:r>
        <w:rPr>
          <w:noProof/>
          <w:szCs w:val="20"/>
        </w:rPr>
        <w:t>.</w:t>
      </w:r>
      <w:r w:rsidRPr="00445FBC">
        <w:rPr>
          <w:noProof/>
          <w:szCs w:val="20"/>
        </w:rPr>
        <w:t>A</w:t>
      </w:r>
      <w:r>
        <w:rPr>
          <w:noProof/>
          <w:szCs w:val="20"/>
        </w:rPr>
        <w:t xml:space="preserve">., Vargas-Angel, </w:t>
      </w:r>
      <w:r w:rsidRPr="00445FBC">
        <w:rPr>
          <w:noProof/>
          <w:szCs w:val="20"/>
        </w:rPr>
        <w:t>B</w:t>
      </w:r>
      <w:r>
        <w:rPr>
          <w:noProof/>
          <w:szCs w:val="20"/>
        </w:rPr>
        <w:t xml:space="preserve">., Youle, </w:t>
      </w:r>
      <w:r w:rsidRPr="00445FBC">
        <w:rPr>
          <w:noProof/>
          <w:szCs w:val="20"/>
        </w:rPr>
        <w:t>M</w:t>
      </w:r>
      <w:r>
        <w:rPr>
          <w:noProof/>
          <w:szCs w:val="20"/>
        </w:rPr>
        <w:t xml:space="preserve">., Zgliczynski, </w:t>
      </w:r>
      <w:r w:rsidRPr="00445FBC">
        <w:rPr>
          <w:noProof/>
          <w:szCs w:val="20"/>
        </w:rPr>
        <w:t>B</w:t>
      </w:r>
      <w:r>
        <w:rPr>
          <w:noProof/>
          <w:szCs w:val="20"/>
        </w:rPr>
        <w:t>.</w:t>
      </w:r>
      <w:r w:rsidRPr="00445FBC">
        <w:rPr>
          <w:noProof/>
          <w:szCs w:val="20"/>
        </w:rPr>
        <w:t>J</w:t>
      </w:r>
      <w:r>
        <w:rPr>
          <w:noProof/>
          <w:szCs w:val="20"/>
        </w:rPr>
        <w:t>.</w:t>
      </w:r>
      <w:r w:rsidRPr="00445FBC">
        <w:rPr>
          <w:noProof/>
          <w:szCs w:val="20"/>
        </w:rPr>
        <w:t>, Brainar</w:t>
      </w:r>
      <w:r>
        <w:rPr>
          <w:noProof/>
          <w:szCs w:val="20"/>
        </w:rPr>
        <w:t xml:space="preserve">d, </w:t>
      </w:r>
      <w:r w:rsidRPr="00445FBC">
        <w:rPr>
          <w:noProof/>
          <w:szCs w:val="20"/>
        </w:rPr>
        <w:t>R</w:t>
      </w:r>
      <w:r>
        <w:rPr>
          <w:noProof/>
          <w:szCs w:val="20"/>
        </w:rPr>
        <w:t>.</w:t>
      </w:r>
      <w:r w:rsidRPr="00445FBC">
        <w:rPr>
          <w:noProof/>
          <w:szCs w:val="20"/>
        </w:rPr>
        <w:t>E</w:t>
      </w:r>
      <w:r>
        <w:rPr>
          <w:noProof/>
          <w:szCs w:val="20"/>
        </w:rPr>
        <w:t xml:space="preserve">. and Rohwer, </w:t>
      </w:r>
      <w:r w:rsidRPr="00445FBC">
        <w:rPr>
          <w:noProof/>
          <w:szCs w:val="20"/>
        </w:rPr>
        <w:t>F</w:t>
      </w:r>
      <w:r>
        <w:rPr>
          <w:noProof/>
          <w:szCs w:val="20"/>
        </w:rPr>
        <w:t>.</w:t>
      </w:r>
      <w:r w:rsidRPr="00445FBC">
        <w:rPr>
          <w:noProof/>
          <w:szCs w:val="20"/>
        </w:rPr>
        <w:t xml:space="preserve"> (2012)</w:t>
      </w:r>
      <w:r>
        <w:rPr>
          <w:noProof/>
          <w:szCs w:val="20"/>
        </w:rPr>
        <w:t>.</w:t>
      </w:r>
      <w:r w:rsidRPr="00445FBC">
        <w:rPr>
          <w:noProof/>
          <w:szCs w:val="20"/>
        </w:rPr>
        <w:t xml:space="preserve"> Assessing </w:t>
      </w:r>
      <w:r>
        <w:rPr>
          <w:noProof/>
          <w:szCs w:val="20"/>
        </w:rPr>
        <w:t>c</w:t>
      </w:r>
      <w:r w:rsidRPr="00445FBC">
        <w:rPr>
          <w:noProof/>
          <w:szCs w:val="20"/>
        </w:rPr>
        <w:t xml:space="preserve">oral </w:t>
      </w:r>
      <w:r>
        <w:rPr>
          <w:noProof/>
          <w:szCs w:val="20"/>
        </w:rPr>
        <w:t>r</w:t>
      </w:r>
      <w:r w:rsidRPr="00445FBC">
        <w:rPr>
          <w:noProof/>
          <w:szCs w:val="20"/>
        </w:rPr>
        <w:t xml:space="preserve">eefs on a </w:t>
      </w:r>
      <w:r>
        <w:rPr>
          <w:noProof/>
          <w:szCs w:val="20"/>
        </w:rPr>
        <w:t>p</w:t>
      </w:r>
      <w:r w:rsidRPr="00445FBC">
        <w:rPr>
          <w:noProof/>
          <w:szCs w:val="20"/>
        </w:rPr>
        <w:t>acific-</w:t>
      </w:r>
      <w:r>
        <w:rPr>
          <w:noProof/>
          <w:szCs w:val="20"/>
        </w:rPr>
        <w:t>w</w:t>
      </w:r>
      <w:r w:rsidRPr="00445FBC">
        <w:rPr>
          <w:noProof/>
          <w:szCs w:val="20"/>
        </w:rPr>
        <w:t xml:space="preserve">ide </w:t>
      </w:r>
      <w:r>
        <w:rPr>
          <w:noProof/>
          <w:szCs w:val="20"/>
        </w:rPr>
        <w:t>s</w:t>
      </w:r>
      <w:r w:rsidRPr="00445FBC">
        <w:rPr>
          <w:noProof/>
          <w:szCs w:val="20"/>
        </w:rPr>
        <w:t xml:space="preserve">cale </w:t>
      </w:r>
      <w:r>
        <w:rPr>
          <w:noProof/>
          <w:szCs w:val="20"/>
        </w:rPr>
        <w:t>u</w:t>
      </w:r>
      <w:r w:rsidRPr="00445FBC">
        <w:rPr>
          <w:noProof/>
          <w:szCs w:val="20"/>
        </w:rPr>
        <w:t xml:space="preserve">sing the </w:t>
      </w:r>
      <w:r>
        <w:rPr>
          <w:noProof/>
          <w:szCs w:val="20"/>
        </w:rPr>
        <w:t>m</w:t>
      </w:r>
      <w:r w:rsidRPr="00445FBC">
        <w:rPr>
          <w:noProof/>
          <w:szCs w:val="20"/>
        </w:rPr>
        <w:t xml:space="preserve">icrobialization </w:t>
      </w:r>
      <w:r>
        <w:rPr>
          <w:noProof/>
          <w:szCs w:val="20"/>
        </w:rPr>
        <w:t>s</w:t>
      </w:r>
      <w:r w:rsidRPr="00445FBC">
        <w:rPr>
          <w:noProof/>
          <w:szCs w:val="20"/>
        </w:rPr>
        <w:t xml:space="preserve">core. </w:t>
      </w:r>
      <w:r w:rsidRPr="00445FBC">
        <w:rPr>
          <w:i/>
          <w:noProof/>
          <w:szCs w:val="20"/>
        </w:rPr>
        <w:t>PLoS ONE</w:t>
      </w:r>
      <w:r>
        <w:rPr>
          <w:noProof/>
          <w:szCs w:val="20"/>
        </w:rPr>
        <w:t xml:space="preserve"> 7(9): e43233. </w:t>
      </w:r>
      <w:r w:rsidRPr="00445FBC">
        <w:rPr>
          <w:noProof/>
          <w:szCs w:val="20"/>
        </w:rPr>
        <w:t>doi:10.1371/journal.pone.0043233</w:t>
      </w:r>
    </w:p>
    <w:p w:rsidR="00681AF6" w:rsidRDefault="00681AF6" w:rsidP="00A013B7">
      <w:pPr>
        <w:spacing w:after="0"/>
        <w:ind w:left="567" w:hanging="567"/>
        <w:jc w:val="both"/>
        <w:rPr>
          <w:noProof/>
          <w:szCs w:val="20"/>
        </w:rPr>
      </w:pPr>
      <w:r w:rsidRPr="00681AF6">
        <w:rPr>
          <w:noProof/>
          <w:szCs w:val="20"/>
        </w:rPr>
        <w:lastRenderedPageBreak/>
        <w:t>McKenzie, L.J., Collier, C. and Waycott, M. (2014)</w:t>
      </w:r>
      <w:r w:rsidR="00A013B7">
        <w:rPr>
          <w:noProof/>
          <w:szCs w:val="20"/>
        </w:rPr>
        <w:t>.</w:t>
      </w:r>
      <w:r w:rsidRPr="00681AF6">
        <w:rPr>
          <w:noProof/>
          <w:szCs w:val="20"/>
        </w:rPr>
        <w:t xml:space="preserve"> Reef Rescue Marine Monitoring Program - Inshore Seagrass, Annual Report</w:t>
      </w:r>
      <w:r w:rsidR="00A013B7">
        <w:rPr>
          <w:noProof/>
          <w:szCs w:val="20"/>
        </w:rPr>
        <w:t xml:space="preserve"> </w:t>
      </w:r>
      <w:r w:rsidRPr="00681AF6">
        <w:rPr>
          <w:noProof/>
          <w:szCs w:val="20"/>
        </w:rPr>
        <w:t>for the sampling period 1st July 2011 – 31st May 2012. TropWATER, James Cook University, Cairns. 176pp.</w:t>
      </w:r>
    </w:p>
    <w:p w:rsidR="000D4FE0" w:rsidRPr="00DE0598" w:rsidRDefault="000D4FE0" w:rsidP="000D4FE0">
      <w:pPr>
        <w:spacing w:after="0"/>
        <w:ind w:left="567" w:hanging="567"/>
        <w:jc w:val="both"/>
        <w:rPr>
          <w:noProof/>
          <w:szCs w:val="20"/>
        </w:rPr>
      </w:pPr>
      <w:r w:rsidRPr="00161236">
        <w:rPr>
          <w:noProof/>
          <w:szCs w:val="20"/>
        </w:rPr>
        <w:t xml:space="preserve">Meynecke, J., Lee, S., Duke, N. and Warnken, J.. (2007). Relationships between estuarine habitats and coastal fisheries in Queensland, Australia. </w:t>
      </w:r>
      <w:r w:rsidRPr="00161236">
        <w:rPr>
          <w:i/>
          <w:noProof/>
          <w:szCs w:val="20"/>
        </w:rPr>
        <w:t>Bulletin of Marine Science</w:t>
      </w:r>
      <w:r w:rsidRPr="00161236">
        <w:rPr>
          <w:noProof/>
          <w:szCs w:val="20"/>
        </w:rPr>
        <w:t>, 80: 773-793.</w:t>
      </w:r>
    </w:p>
    <w:p w:rsidR="000D4FE0" w:rsidRPr="005F47D0" w:rsidRDefault="000D4FE0" w:rsidP="000D4FE0">
      <w:pPr>
        <w:spacing w:after="0"/>
        <w:ind w:left="567" w:hanging="567"/>
        <w:rPr>
          <w:rFonts w:cs="Segoe UI"/>
        </w:rPr>
      </w:pPr>
      <w:proofErr w:type="gramStart"/>
      <w:r w:rsidRPr="001505E9">
        <w:rPr>
          <w:rFonts w:cs="Segoe UI"/>
        </w:rPr>
        <w:t xml:space="preserve">Montgomery, D. C. </w:t>
      </w:r>
      <w:r>
        <w:rPr>
          <w:rFonts w:cs="Segoe UI"/>
        </w:rPr>
        <w:t>(</w:t>
      </w:r>
      <w:r w:rsidRPr="001505E9">
        <w:rPr>
          <w:rFonts w:cs="Segoe UI"/>
        </w:rPr>
        <w:t>2009</w:t>
      </w:r>
      <w:r>
        <w:rPr>
          <w:rFonts w:cs="Segoe UI"/>
        </w:rPr>
        <w:t>)</w:t>
      </w:r>
      <w:r w:rsidRPr="001505E9">
        <w:rPr>
          <w:rFonts w:cs="Segoe UI"/>
        </w:rPr>
        <w:t>.</w:t>
      </w:r>
      <w:proofErr w:type="gramEnd"/>
      <w:r w:rsidRPr="001505E9">
        <w:rPr>
          <w:rFonts w:cs="Segoe UI"/>
        </w:rPr>
        <w:t xml:space="preserve"> </w:t>
      </w:r>
      <w:proofErr w:type="gramStart"/>
      <w:r w:rsidRPr="005832D0">
        <w:rPr>
          <w:rFonts w:cs="Segoe UI"/>
          <w:i/>
        </w:rPr>
        <w:t>Introduction to statistical quality control.</w:t>
      </w:r>
      <w:proofErr w:type="gramEnd"/>
      <w:r>
        <w:rPr>
          <w:rFonts w:cs="Segoe UI"/>
        </w:rPr>
        <w:t xml:space="preserve"> John Wiley &amp; Sons, New York.</w:t>
      </w:r>
    </w:p>
    <w:p w:rsidR="000D4FE0" w:rsidRDefault="000D4FE0" w:rsidP="000D4FE0">
      <w:pPr>
        <w:spacing w:after="0"/>
        <w:ind w:left="567" w:hanging="567"/>
        <w:rPr>
          <w:lang w:val="en-US"/>
        </w:rPr>
      </w:pPr>
      <w:r w:rsidRPr="001E5A2B">
        <w:rPr>
          <w:lang w:val="en-US"/>
        </w:rPr>
        <w:t>Morgan</w:t>
      </w:r>
      <w:proofErr w:type="gramStart"/>
      <w:r w:rsidRPr="001E5A2B">
        <w:rPr>
          <w:lang w:val="en-US"/>
        </w:rPr>
        <w:t>,  M.G</w:t>
      </w:r>
      <w:proofErr w:type="gramEnd"/>
      <w:r w:rsidRPr="001E5A2B">
        <w:rPr>
          <w:lang w:val="en-US"/>
        </w:rPr>
        <w:t xml:space="preserve">. and </w:t>
      </w:r>
      <w:proofErr w:type="spellStart"/>
      <w:r w:rsidRPr="001E5A2B">
        <w:rPr>
          <w:lang w:val="en-US"/>
        </w:rPr>
        <w:t>Henrion</w:t>
      </w:r>
      <w:proofErr w:type="spellEnd"/>
      <w:r w:rsidRPr="001E5A2B">
        <w:rPr>
          <w:lang w:val="en-US"/>
        </w:rPr>
        <w:t xml:space="preserve">, M. (1990). </w:t>
      </w:r>
      <w:proofErr w:type="gramStart"/>
      <w:r w:rsidRPr="001E5A2B">
        <w:rPr>
          <w:i/>
          <w:lang w:val="en-US"/>
        </w:rPr>
        <w:t>Uncertainty.</w:t>
      </w:r>
      <w:proofErr w:type="gramEnd"/>
      <w:r w:rsidRPr="001E5A2B">
        <w:rPr>
          <w:i/>
          <w:lang w:val="en-US"/>
        </w:rPr>
        <w:t xml:space="preserve"> </w:t>
      </w:r>
      <w:proofErr w:type="gramStart"/>
      <w:r w:rsidRPr="001E5A2B">
        <w:rPr>
          <w:i/>
          <w:lang w:val="en-US"/>
        </w:rPr>
        <w:t>A Guide to Dealing with Uncertainty in Quantitative Risk and Policy Analysis.</w:t>
      </w:r>
      <w:proofErr w:type="gramEnd"/>
      <w:r w:rsidRPr="001E5A2B">
        <w:rPr>
          <w:lang w:val="en-US"/>
        </w:rPr>
        <w:t xml:space="preserve"> Cambridge University Press, Cambridge.</w:t>
      </w:r>
    </w:p>
    <w:p w:rsidR="000D4FE0" w:rsidRPr="005F47D0" w:rsidRDefault="000D4FE0" w:rsidP="000D4FE0">
      <w:pPr>
        <w:spacing w:after="0"/>
        <w:ind w:left="567" w:hanging="567"/>
        <w:rPr>
          <w:rFonts w:cs="Segoe UI"/>
        </w:rPr>
      </w:pPr>
      <w:r w:rsidRPr="001505E9">
        <w:rPr>
          <w:rFonts w:cs="Segoe UI"/>
        </w:rPr>
        <w:t xml:space="preserve">Morrison, L. </w:t>
      </w:r>
      <w:r>
        <w:rPr>
          <w:rFonts w:cs="Segoe UI"/>
        </w:rPr>
        <w:t>(</w:t>
      </w:r>
      <w:r w:rsidRPr="001505E9">
        <w:rPr>
          <w:rFonts w:cs="Segoe UI"/>
        </w:rPr>
        <w:t>2008</w:t>
      </w:r>
      <w:r>
        <w:rPr>
          <w:rFonts w:cs="Segoe UI"/>
        </w:rPr>
        <w:t>)</w:t>
      </w:r>
      <w:r w:rsidRPr="001505E9">
        <w:rPr>
          <w:rFonts w:cs="Segoe UI"/>
        </w:rPr>
        <w:t xml:space="preserve">. The use of control charts to interpret environmental monitoring data. </w:t>
      </w:r>
      <w:r w:rsidRPr="005832D0">
        <w:rPr>
          <w:rFonts w:cs="Segoe UI"/>
          <w:i/>
        </w:rPr>
        <w:t>Natural Areas Journal</w:t>
      </w:r>
      <w:proofErr w:type="gramStart"/>
      <w:r w:rsidRPr="005832D0">
        <w:rPr>
          <w:rFonts w:cs="Segoe UI"/>
          <w:bCs/>
        </w:rPr>
        <w:t>,  28</w:t>
      </w:r>
      <w:proofErr w:type="gramEnd"/>
      <w:r w:rsidRPr="005832D0">
        <w:rPr>
          <w:rFonts w:cs="Segoe UI"/>
        </w:rPr>
        <w:t>:</w:t>
      </w:r>
      <w:r>
        <w:rPr>
          <w:rFonts w:cs="Segoe UI"/>
        </w:rPr>
        <w:t xml:space="preserve"> 66–73.</w:t>
      </w:r>
    </w:p>
    <w:p w:rsidR="000D4FE0" w:rsidRDefault="000D4FE0" w:rsidP="000D4FE0">
      <w:pPr>
        <w:spacing w:after="0"/>
        <w:ind w:left="567" w:hanging="567"/>
        <w:rPr>
          <w:lang w:val="en-US"/>
        </w:rPr>
      </w:pPr>
      <w:proofErr w:type="spellStart"/>
      <w:proofErr w:type="gramStart"/>
      <w:r w:rsidRPr="00BF12E1">
        <w:t>Mumby</w:t>
      </w:r>
      <w:proofErr w:type="spellEnd"/>
      <w:r>
        <w:t>,</w:t>
      </w:r>
      <w:r w:rsidRPr="00BF12E1">
        <w:t xml:space="preserve"> P</w:t>
      </w:r>
      <w:r>
        <w:t>.</w:t>
      </w:r>
      <w:r w:rsidRPr="00BF12E1">
        <w:t>J</w:t>
      </w:r>
      <w:r>
        <w:t>.</w:t>
      </w:r>
      <w:r w:rsidRPr="00BF12E1">
        <w:t>, Hastings</w:t>
      </w:r>
      <w:r>
        <w:t>,</w:t>
      </w:r>
      <w:r w:rsidRPr="00BF12E1">
        <w:t xml:space="preserve"> A</w:t>
      </w:r>
      <w:r>
        <w:t xml:space="preserve">. and </w:t>
      </w:r>
      <w:r w:rsidRPr="00BF12E1">
        <w:t>Edwards</w:t>
      </w:r>
      <w:r>
        <w:t>,</w:t>
      </w:r>
      <w:r w:rsidRPr="00BF12E1">
        <w:t xml:space="preserve"> H</w:t>
      </w:r>
      <w:r>
        <w:t>.</w:t>
      </w:r>
      <w:r w:rsidRPr="00BF12E1">
        <w:t>J</w:t>
      </w:r>
      <w:r>
        <w:t>.</w:t>
      </w:r>
      <w:r w:rsidRPr="00BF12E1">
        <w:t xml:space="preserve"> (2007) Thresholds and the resi</w:t>
      </w:r>
      <w:r>
        <w:t>lience of Caribbean coral reefs.</w:t>
      </w:r>
      <w:proofErr w:type="gramEnd"/>
      <w:r w:rsidRPr="00BF12E1">
        <w:t xml:space="preserve"> </w:t>
      </w:r>
      <w:r w:rsidRPr="001D1331">
        <w:rPr>
          <w:i/>
        </w:rPr>
        <w:t>Nature</w:t>
      </w:r>
      <w:r w:rsidRPr="00BF12E1">
        <w:t>, 450: 98-101</w:t>
      </w:r>
      <w:r>
        <w:t>.</w:t>
      </w:r>
    </w:p>
    <w:p w:rsidR="000D4FE0" w:rsidRPr="00157CB5" w:rsidRDefault="000D4FE0" w:rsidP="000D4FE0">
      <w:pPr>
        <w:spacing w:after="0"/>
        <w:ind w:left="567" w:hanging="567"/>
        <w:rPr>
          <w:lang w:val="en-US"/>
        </w:rPr>
      </w:pPr>
      <w:proofErr w:type="gramStart"/>
      <w:r w:rsidRPr="00A13D87">
        <w:rPr>
          <w:lang w:val="en-US"/>
        </w:rPr>
        <w:t>Nichols, J.D. and Williams B.K. (2006).</w:t>
      </w:r>
      <w:proofErr w:type="gramEnd"/>
      <w:r w:rsidRPr="00A13D87">
        <w:rPr>
          <w:lang w:val="en-US"/>
        </w:rPr>
        <w:t xml:space="preserve"> </w:t>
      </w:r>
      <w:proofErr w:type="gramStart"/>
      <w:r w:rsidRPr="00A13D87">
        <w:rPr>
          <w:lang w:val="en-US"/>
        </w:rPr>
        <w:t>Monitoring for conservation.</w:t>
      </w:r>
      <w:proofErr w:type="gramEnd"/>
      <w:r w:rsidRPr="00A13D87">
        <w:rPr>
          <w:lang w:val="en-US"/>
        </w:rPr>
        <w:t xml:space="preserve"> </w:t>
      </w:r>
      <w:r w:rsidRPr="00A13D87">
        <w:rPr>
          <w:rFonts w:cs="Segoe UI"/>
          <w:i/>
        </w:rPr>
        <w:t>Trends in Ecology and Evolution</w:t>
      </w:r>
      <w:r w:rsidRPr="00A13D87">
        <w:rPr>
          <w:rFonts w:cs="AdvPAC3E"/>
          <w:i/>
        </w:rPr>
        <w:t>,</w:t>
      </w:r>
      <w:r w:rsidRPr="00A13D87">
        <w:rPr>
          <w:rFonts w:cs="AdvPAC3E"/>
        </w:rPr>
        <w:t xml:space="preserve"> </w:t>
      </w:r>
      <w:r w:rsidRPr="00A13D87">
        <w:rPr>
          <w:rFonts w:cs="AdvPAC3D"/>
        </w:rPr>
        <w:t>21:</w:t>
      </w:r>
      <w:r>
        <w:rPr>
          <w:rFonts w:cs="AdvPAC3D"/>
        </w:rPr>
        <w:t xml:space="preserve"> </w:t>
      </w:r>
      <w:r w:rsidRPr="00A13D87">
        <w:rPr>
          <w:rFonts w:cs="AdvPAC3D"/>
        </w:rPr>
        <w:t>668-673</w:t>
      </w:r>
      <w:r>
        <w:rPr>
          <w:rFonts w:cs="AdvPAC3D"/>
        </w:rPr>
        <w:t>.</w:t>
      </w:r>
    </w:p>
    <w:p w:rsidR="000D4FE0" w:rsidRDefault="000D4FE0" w:rsidP="000D4FE0">
      <w:pPr>
        <w:spacing w:after="0"/>
        <w:ind w:left="567" w:hanging="567"/>
        <w:rPr>
          <w:bCs/>
        </w:rPr>
      </w:pPr>
      <w:proofErr w:type="gramStart"/>
      <w:r>
        <w:rPr>
          <w:bCs/>
        </w:rPr>
        <w:t>NQBP (2013).</w:t>
      </w:r>
      <w:proofErr w:type="gramEnd"/>
      <w:r>
        <w:rPr>
          <w:bCs/>
        </w:rPr>
        <w:t xml:space="preserve"> </w:t>
      </w:r>
      <w:proofErr w:type="gramStart"/>
      <w:r>
        <w:rPr>
          <w:bCs/>
        </w:rPr>
        <w:t>Port of Hay Point fact Sheet.</w:t>
      </w:r>
      <w:proofErr w:type="gramEnd"/>
      <w:r>
        <w:rPr>
          <w:bCs/>
        </w:rPr>
        <w:t xml:space="preserve"> </w:t>
      </w:r>
      <w:hyperlink r:id="rId93" w:history="1">
        <w:r w:rsidRPr="00B6044F">
          <w:rPr>
            <w:rStyle w:val="Hyperlink"/>
            <w:bCs/>
          </w:rPr>
          <w:t>http://www.nqbp.com.au/port-of-hay-point-fact-sheet/</w:t>
        </w:r>
      </w:hyperlink>
      <w:r>
        <w:rPr>
          <w:bCs/>
        </w:rPr>
        <w:t xml:space="preserve"> North Queensland Bulk Ports Corporation.</w:t>
      </w:r>
    </w:p>
    <w:p w:rsidR="000D4FE0" w:rsidRPr="00161236" w:rsidRDefault="000D4FE0" w:rsidP="000D4FE0">
      <w:pPr>
        <w:spacing w:after="0"/>
        <w:ind w:left="567" w:hanging="567"/>
        <w:rPr>
          <w:bCs/>
          <w:i/>
        </w:rPr>
      </w:pPr>
      <w:proofErr w:type="gramStart"/>
      <w:r>
        <w:rPr>
          <w:bCs/>
        </w:rPr>
        <w:t xml:space="preserve">Parent, E. and </w:t>
      </w:r>
      <w:proofErr w:type="spellStart"/>
      <w:r>
        <w:rPr>
          <w:bCs/>
        </w:rPr>
        <w:t>Rivot</w:t>
      </w:r>
      <w:proofErr w:type="spellEnd"/>
      <w:r>
        <w:rPr>
          <w:bCs/>
        </w:rPr>
        <w:t>, E. (2013).</w:t>
      </w:r>
      <w:proofErr w:type="gramEnd"/>
      <w:r>
        <w:rPr>
          <w:bCs/>
        </w:rPr>
        <w:t xml:space="preserve"> </w:t>
      </w:r>
      <w:proofErr w:type="gramStart"/>
      <w:r>
        <w:rPr>
          <w:rStyle w:val="Emphasis"/>
        </w:rPr>
        <w:t xml:space="preserve">Introduction to Hierarchical Bayesian </w:t>
      </w:r>
      <w:proofErr w:type="spellStart"/>
      <w:r>
        <w:rPr>
          <w:rStyle w:val="Emphasis"/>
        </w:rPr>
        <w:t>Modeling</w:t>
      </w:r>
      <w:proofErr w:type="spellEnd"/>
      <w:r>
        <w:rPr>
          <w:rStyle w:val="Emphasis"/>
        </w:rPr>
        <w:t xml:space="preserve"> for Ecological Data.</w:t>
      </w:r>
      <w:proofErr w:type="gramEnd"/>
      <w:r>
        <w:rPr>
          <w:rStyle w:val="Emphasis"/>
        </w:rPr>
        <w:t xml:space="preserve"> </w:t>
      </w:r>
      <w:r w:rsidRPr="00161236">
        <w:rPr>
          <w:rStyle w:val="Emphasis"/>
        </w:rPr>
        <w:t>CRC Press, Boca Raton.</w:t>
      </w:r>
    </w:p>
    <w:p w:rsidR="000D4FE0" w:rsidRPr="004D4A84" w:rsidRDefault="000D4FE0" w:rsidP="000D4FE0">
      <w:pPr>
        <w:spacing w:after="0"/>
        <w:ind w:left="567" w:hanging="567"/>
      </w:pPr>
      <w:proofErr w:type="spellStart"/>
      <w:proofErr w:type="gramStart"/>
      <w:r>
        <w:t>Patil</w:t>
      </w:r>
      <w:proofErr w:type="spellEnd"/>
      <w:r>
        <w:t xml:space="preserve">, A. P., </w:t>
      </w:r>
      <w:proofErr w:type="spellStart"/>
      <w:r>
        <w:t>Gething</w:t>
      </w:r>
      <w:proofErr w:type="spellEnd"/>
      <w:r>
        <w:t xml:space="preserve">, P. W., </w:t>
      </w:r>
      <w:proofErr w:type="spellStart"/>
      <w:r>
        <w:t>Piel</w:t>
      </w:r>
      <w:proofErr w:type="spellEnd"/>
      <w:r>
        <w:t>, F. B., and Hay, S. I. (2011).</w:t>
      </w:r>
      <w:proofErr w:type="gramEnd"/>
      <w:r>
        <w:t xml:space="preserve"> Bayesian </w:t>
      </w:r>
      <w:proofErr w:type="spellStart"/>
      <w:r>
        <w:t>geostatistics</w:t>
      </w:r>
      <w:proofErr w:type="spellEnd"/>
      <w:r>
        <w:t xml:space="preserve"> in health cartography: the perspective of malaria. </w:t>
      </w:r>
      <w:r w:rsidRPr="004D4A84">
        <w:rPr>
          <w:i/>
        </w:rPr>
        <w:t xml:space="preserve">Trends in </w:t>
      </w:r>
      <w:proofErr w:type="spellStart"/>
      <w:r w:rsidRPr="004D4A84">
        <w:rPr>
          <w:i/>
        </w:rPr>
        <w:t>Parasitology</w:t>
      </w:r>
      <w:proofErr w:type="spellEnd"/>
      <w:r>
        <w:t>, 27: 246–253.</w:t>
      </w:r>
    </w:p>
    <w:p w:rsidR="000D4FE0" w:rsidRPr="003F73C1" w:rsidRDefault="000D4FE0" w:rsidP="000D4FE0">
      <w:pPr>
        <w:spacing w:after="0"/>
        <w:ind w:left="567" w:hanging="567"/>
        <w:rPr>
          <w:bCs/>
        </w:rPr>
      </w:pPr>
      <w:r w:rsidRPr="001E5A2B">
        <w:rPr>
          <w:bCs/>
        </w:rPr>
        <w:t xml:space="preserve">Philip, M.S. (1994). </w:t>
      </w:r>
      <w:proofErr w:type="gramStart"/>
      <w:r w:rsidRPr="001E5A2B">
        <w:rPr>
          <w:bCs/>
          <w:i/>
        </w:rPr>
        <w:t>Measuring Trees and Forests</w:t>
      </w:r>
      <w:r w:rsidRPr="001E5A2B">
        <w:rPr>
          <w:bCs/>
        </w:rPr>
        <w:t>.</w:t>
      </w:r>
      <w:proofErr w:type="gramEnd"/>
      <w:r w:rsidRPr="001E5A2B">
        <w:rPr>
          <w:bCs/>
        </w:rPr>
        <w:t xml:space="preserve"> 2</w:t>
      </w:r>
      <w:r w:rsidRPr="001E5A2B">
        <w:rPr>
          <w:bCs/>
          <w:vertAlign w:val="superscript"/>
        </w:rPr>
        <w:t>nd</w:t>
      </w:r>
      <w:r w:rsidRPr="001E5A2B">
        <w:rPr>
          <w:bCs/>
        </w:rPr>
        <w:t xml:space="preserve"> Ed</w:t>
      </w:r>
      <w:r>
        <w:rPr>
          <w:bCs/>
        </w:rPr>
        <w:t>. CABI Publishing, Wallingford.</w:t>
      </w:r>
    </w:p>
    <w:p w:rsidR="000D4FE0" w:rsidRDefault="000D4FE0" w:rsidP="000D4FE0">
      <w:pPr>
        <w:spacing w:after="0"/>
        <w:ind w:left="567" w:hanging="567"/>
        <w:rPr>
          <w:lang w:val="en-US"/>
        </w:rPr>
      </w:pPr>
      <w:proofErr w:type="spellStart"/>
      <w:proofErr w:type="gramStart"/>
      <w:r>
        <w:t>Pratchett</w:t>
      </w:r>
      <w:proofErr w:type="spellEnd"/>
      <w:r>
        <w:t xml:space="preserve">, M. S., Wilson, S. K., </w:t>
      </w:r>
      <w:proofErr w:type="spellStart"/>
      <w:r>
        <w:t>Berumen</w:t>
      </w:r>
      <w:proofErr w:type="spellEnd"/>
      <w:r>
        <w:t>, M. L. and McCormick, M. I. (2004).</w:t>
      </w:r>
      <w:proofErr w:type="gramEnd"/>
      <w:r>
        <w:t xml:space="preserve"> </w:t>
      </w:r>
      <w:proofErr w:type="spellStart"/>
      <w:proofErr w:type="gramStart"/>
      <w:r>
        <w:t>Sublethal</w:t>
      </w:r>
      <w:proofErr w:type="spellEnd"/>
      <w:r>
        <w:t xml:space="preserve"> effects of coral bleaching on an obligate coral feeding </w:t>
      </w:r>
      <w:proofErr w:type="spellStart"/>
      <w:r>
        <w:t>butterflyfish</w:t>
      </w:r>
      <w:proofErr w:type="spellEnd"/>
      <w:r>
        <w:t>.</w:t>
      </w:r>
      <w:proofErr w:type="gramEnd"/>
      <w:r>
        <w:t xml:space="preserve"> </w:t>
      </w:r>
      <w:r w:rsidRPr="005173AC">
        <w:rPr>
          <w:i/>
        </w:rPr>
        <w:t>Coral Reefs</w:t>
      </w:r>
      <w:r>
        <w:t>, 23: 352-356.</w:t>
      </w:r>
    </w:p>
    <w:p w:rsidR="000D4FE0" w:rsidRDefault="000D4FE0" w:rsidP="000D4FE0">
      <w:pPr>
        <w:spacing w:after="0"/>
        <w:ind w:left="567" w:hanging="567"/>
        <w:rPr>
          <w:lang w:val="en-US"/>
        </w:rPr>
      </w:pPr>
      <w:r>
        <w:t xml:space="preserve">Preen, A. R. and Marsh, H. (1995). </w:t>
      </w:r>
      <w:proofErr w:type="gramStart"/>
      <w:r>
        <w:t>Response of dugongs to large-scale loss of seagrass from Hervey Bay, Queensland, Australia.</w:t>
      </w:r>
      <w:proofErr w:type="gramEnd"/>
      <w:r>
        <w:t xml:space="preserve"> </w:t>
      </w:r>
      <w:r w:rsidRPr="005173AC">
        <w:rPr>
          <w:i/>
        </w:rPr>
        <w:t>Wildlife Research</w:t>
      </w:r>
      <w:r>
        <w:t>, 22: 507-519.</w:t>
      </w:r>
    </w:p>
    <w:p w:rsidR="000D4FE0" w:rsidRDefault="000D4FE0" w:rsidP="000D4FE0">
      <w:pPr>
        <w:spacing w:after="0"/>
        <w:ind w:left="567" w:hanging="567"/>
        <w:rPr>
          <w:lang w:val="en-US"/>
        </w:rPr>
      </w:pPr>
      <w:proofErr w:type="gramStart"/>
      <w:r>
        <w:rPr>
          <w:lang w:val="en-US"/>
        </w:rPr>
        <w:t>Rasmussen, C.E. and Williams, C.</w:t>
      </w:r>
      <w:r w:rsidRPr="00B71B19">
        <w:rPr>
          <w:lang w:val="en-US"/>
        </w:rPr>
        <w:t>K.I. (2005).</w:t>
      </w:r>
      <w:proofErr w:type="gramEnd"/>
      <w:r w:rsidRPr="00B71B19">
        <w:rPr>
          <w:lang w:val="en-US"/>
        </w:rPr>
        <w:t xml:space="preserve"> </w:t>
      </w:r>
      <w:proofErr w:type="gramStart"/>
      <w:r w:rsidRPr="005173AC">
        <w:rPr>
          <w:i/>
          <w:lang w:val="en-US"/>
        </w:rPr>
        <w:t>Gaussian Processes for Machine Learning.</w:t>
      </w:r>
      <w:proofErr w:type="gramEnd"/>
      <w:r>
        <w:rPr>
          <w:lang w:val="en-US"/>
        </w:rPr>
        <w:t xml:space="preserve"> </w:t>
      </w:r>
      <w:proofErr w:type="gramStart"/>
      <w:r w:rsidRPr="00B71B19">
        <w:rPr>
          <w:lang w:val="en-US"/>
        </w:rPr>
        <w:t>Adaptive Computat</w:t>
      </w:r>
      <w:r>
        <w:rPr>
          <w:lang w:val="en-US"/>
        </w:rPr>
        <w:t>ion and Machine Learning series</w:t>
      </w:r>
      <w:r w:rsidRPr="00B71B19">
        <w:rPr>
          <w:lang w:val="en-US"/>
        </w:rPr>
        <w:t>.</w:t>
      </w:r>
      <w:proofErr w:type="gramEnd"/>
      <w:r w:rsidRPr="00B71B19">
        <w:rPr>
          <w:lang w:val="en-US"/>
        </w:rPr>
        <w:t xml:space="preserve"> </w:t>
      </w:r>
      <w:proofErr w:type="gramStart"/>
      <w:r w:rsidRPr="00B71B19">
        <w:rPr>
          <w:lang w:val="en-US"/>
        </w:rPr>
        <w:t>The MIT Press.</w:t>
      </w:r>
      <w:proofErr w:type="gramEnd"/>
    </w:p>
    <w:p w:rsidR="000D4FE0" w:rsidRPr="005F47D0" w:rsidRDefault="000D4FE0" w:rsidP="000D4FE0">
      <w:pPr>
        <w:spacing w:after="0"/>
        <w:ind w:left="567" w:hanging="567"/>
        <w:rPr>
          <w:rFonts w:cs="Segoe UI"/>
        </w:rPr>
      </w:pPr>
      <w:proofErr w:type="spellStart"/>
      <w:proofErr w:type="gramStart"/>
      <w:r w:rsidRPr="001505E9">
        <w:rPr>
          <w:rFonts w:cs="Segoe UI"/>
        </w:rPr>
        <w:t>Sanchirico</w:t>
      </w:r>
      <w:proofErr w:type="spellEnd"/>
      <w:r w:rsidRPr="001505E9">
        <w:rPr>
          <w:rFonts w:cs="Segoe UI"/>
        </w:rPr>
        <w:t xml:space="preserve">, J. N., </w:t>
      </w:r>
      <w:proofErr w:type="spellStart"/>
      <w:r w:rsidRPr="001505E9">
        <w:rPr>
          <w:rFonts w:cs="Segoe UI"/>
        </w:rPr>
        <w:t>Springborn</w:t>
      </w:r>
      <w:proofErr w:type="spellEnd"/>
      <w:r w:rsidRPr="001505E9">
        <w:rPr>
          <w:rFonts w:cs="Segoe UI"/>
        </w:rPr>
        <w:t xml:space="preserve">, </w:t>
      </w:r>
      <w:r>
        <w:rPr>
          <w:rFonts w:cs="Segoe UI"/>
        </w:rPr>
        <w:t xml:space="preserve">M. R., </w:t>
      </w:r>
      <w:r w:rsidRPr="001505E9">
        <w:rPr>
          <w:rFonts w:cs="Segoe UI"/>
        </w:rPr>
        <w:t xml:space="preserve">Schwartz, M. W. and </w:t>
      </w:r>
      <w:proofErr w:type="spellStart"/>
      <w:r w:rsidRPr="001505E9">
        <w:rPr>
          <w:rFonts w:cs="Segoe UI"/>
        </w:rPr>
        <w:t>Doerr</w:t>
      </w:r>
      <w:proofErr w:type="spellEnd"/>
      <w:r>
        <w:rPr>
          <w:rFonts w:cs="Segoe UI"/>
        </w:rPr>
        <w:t>, A. N</w:t>
      </w:r>
      <w:r w:rsidRPr="001505E9">
        <w:rPr>
          <w:rFonts w:cs="Segoe UI"/>
        </w:rPr>
        <w:t>.</w:t>
      </w:r>
      <w:r>
        <w:rPr>
          <w:rFonts w:cs="Segoe UI"/>
        </w:rPr>
        <w:t xml:space="preserve"> (</w:t>
      </w:r>
      <w:r w:rsidRPr="001505E9">
        <w:rPr>
          <w:rFonts w:cs="Segoe UI"/>
        </w:rPr>
        <w:t>2013</w:t>
      </w:r>
      <w:r>
        <w:rPr>
          <w:rFonts w:cs="Segoe UI"/>
        </w:rPr>
        <w:t>)</w:t>
      </w:r>
      <w:r w:rsidRPr="001505E9">
        <w:rPr>
          <w:rFonts w:cs="Segoe UI"/>
        </w:rPr>
        <w:t>.</w:t>
      </w:r>
      <w:proofErr w:type="gramEnd"/>
      <w:r w:rsidRPr="001505E9">
        <w:rPr>
          <w:rFonts w:cs="Segoe UI"/>
        </w:rPr>
        <w:t xml:space="preserve"> Investment and the policy process in conservation monitoring. </w:t>
      </w:r>
      <w:r w:rsidRPr="005832D0">
        <w:rPr>
          <w:rFonts w:cs="Segoe UI"/>
          <w:i/>
        </w:rPr>
        <w:t>Conservation Biology</w:t>
      </w:r>
      <w:r>
        <w:rPr>
          <w:rFonts w:cs="Segoe UI"/>
          <w:b/>
          <w:bCs/>
        </w:rPr>
        <w:t>,</w:t>
      </w:r>
      <w:r w:rsidRPr="005832D0">
        <w:rPr>
          <w:rFonts w:cs="Segoe UI"/>
          <w:b/>
          <w:bCs/>
        </w:rPr>
        <w:t xml:space="preserve"> </w:t>
      </w:r>
      <w:r w:rsidRPr="00A13D87">
        <w:rPr>
          <w:rFonts w:cs="Segoe UI"/>
          <w:bCs/>
        </w:rPr>
        <w:t>28</w:t>
      </w:r>
      <w:r>
        <w:rPr>
          <w:rFonts w:cs="Segoe UI"/>
        </w:rPr>
        <w:t>:361–371.</w:t>
      </w:r>
    </w:p>
    <w:p w:rsidR="000D4FE0" w:rsidRPr="00157CB5" w:rsidRDefault="000D4FE0" w:rsidP="000D4FE0">
      <w:pPr>
        <w:spacing w:after="0"/>
        <w:ind w:left="567" w:hanging="567"/>
        <w:rPr>
          <w:lang w:val="en-US"/>
        </w:rPr>
      </w:pPr>
      <w:proofErr w:type="spellStart"/>
      <w:r w:rsidRPr="00E062BF">
        <w:rPr>
          <w:lang w:val="en-US"/>
        </w:rPr>
        <w:t>Sandin</w:t>
      </w:r>
      <w:proofErr w:type="spellEnd"/>
      <w:r w:rsidRPr="00E062BF">
        <w:rPr>
          <w:lang w:val="en-US"/>
        </w:rPr>
        <w:t xml:space="preserve">, S.A., Smith, J.E., </w:t>
      </w:r>
      <w:proofErr w:type="spellStart"/>
      <w:r w:rsidRPr="00E062BF">
        <w:rPr>
          <w:lang w:val="en-US"/>
        </w:rPr>
        <w:t>DeMartini</w:t>
      </w:r>
      <w:proofErr w:type="spellEnd"/>
      <w:r w:rsidRPr="00E062BF">
        <w:rPr>
          <w:lang w:val="en-US"/>
        </w:rPr>
        <w:t xml:space="preserve">, E.E., </w:t>
      </w:r>
      <w:proofErr w:type="spellStart"/>
      <w:r w:rsidRPr="00E062BF">
        <w:rPr>
          <w:lang w:val="en-US"/>
        </w:rPr>
        <w:t>Dinsdale</w:t>
      </w:r>
      <w:proofErr w:type="spellEnd"/>
      <w:r w:rsidRPr="00E062BF">
        <w:rPr>
          <w:lang w:val="en-US"/>
        </w:rPr>
        <w:t xml:space="preserve">, E.A., Donner, S.D., Friedlander, A.M., </w:t>
      </w:r>
      <w:proofErr w:type="spellStart"/>
      <w:r w:rsidRPr="00E062BF">
        <w:rPr>
          <w:lang w:val="en-US"/>
        </w:rPr>
        <w:t>Konotchick</w:t>
      </w:r>
      <w:proofErr w:type="spellEnd"/>
      <w:r w:rsidRPr="00E062BF">
        <w:rPr>
          <w:lang w:val="en-US"/>
        </w:rPr>
        <w:t xml:space="preserve">, T., Malay, M., Maragos, J.E., </w:t>
      </w:r>
      <w:proofErr w:type="spellStart"/>
      <w:r w:rsidRPr="00E062BF">
        <w:rPr>
          <w:lang w:val="en-US"/>
        </w:rPr>
        <w:t>Obura</w:t>
      </w:r>
      <w:proofErr w:type="spellEnd"/>
      <w:r w:rsidRPr="00E062BF">
        <w:rPr>
          <w:lang w:val="en-US"/>
        </w:rPr>
        <w:t xml:space="preserve">, D., </w:t>
      </w:r>
      <w:proofErr w:type="spellStart"/>
      <w:r w:rsidRPr="00E062BF">
        <w:rPr>
          <w:lang w:val="en-US"/>
        </w:rPr>
        <w:t>Pantos</w:t>
      </w:r>
      <w:proofErr w:type="spellEnd"/>
      <w:r w:rsidRPr="00E062BF">
        <w:rPr>
          <w:lang w:val="en-US"/>
        </w:rPr>
        <w:t xml:space="preserve">, O., </w:t>
      </w:r>
      <w:proofErr w:type="spellStart"/>
      <w:r w:rsidRPr="00E062BF">
        <w:rPr>
          <w:lang w:val="en-US"/>
        </w:rPr>
        <w:t>Paulay</w:t>
      </w:r>
      <w:proofErr w:type="spellEnd"/>
      <w:r w:rsidRPr="00E062BF">
        <w:rPr>
          <w:lang w:val="en-US"/>
        </w:rPr>
        <w:t xml:space="preserve">, G., Richie, M., </w:t>
      </w:r>
      <w:proofErr w:type="spellStart"/>
      <w:r w:rsidRPr="00E062BF">
        <w:rPr>
          <w:lang w:val="en-US"/>
        </w:rPr>
        <w:t>Rohwer</w:t>
      </w:r>
      <w:proofErr w:type="spellEnd"/>
      <w:r w:rsidRPr="00E062BF">
        <w:rPr>
          <w:lang w:val="en-US"/>
        </w:rPr>
        <w:t xml:space="preserve">, F., Schroeder, R.E., Walsh, S., Jackson, J.B.C., Knowlton, N. and </w:t>
      </w:r>
      <w:proofErr w:type="spellStart"/>
      <w:r w:rsidRPr="00E062BF">
        <w:rPr>
          <w:lang w:val="en-US"/>
        </w:rPr>
        <w:t>Sala</w:t>
      </w:r>
      <w:proofErr w:type="spellEnd"/>
      <w:r w:rsidRPr="00E062BF">
        <w:rPr>
          <w:lang w:val="en-US"/>
        </w:rPr>
        <w:t xml:space="preserve">, E. (2008). </w:t>
      </w:r>
      <w:proofErr w:type="gramStart"/>
      <w:r w:rsidRPr="00E062BF">
        <w:rPr>
          <w:lang w:val="en-US"/>
        </w:rPr>
        <w:t>Baselines and degradation of coral reefs in the Northern Line Islands.</w:t>
      </w:r>
      <w:proofErr w:type="gramEnd"/>
      <w:r w:rsidRPr="00E062BF">
        <w:rPr>
          <w:lang w:val="en-US"/>
        </w:rPr>
        <w:t xml:space="preserve"> </w:t>
      </w:r>
      <w:proofErr w:type="spellStart"/>
      <w:r w:rsidRPr="00E062BF">
        <w:rPr>
          <w:i/>
          <w:lang w:val="en-US"/>
        </w:rPr>
        <w:t>PLoS</w:t>
      </w:r>
      <w:proofErr w:type="spellEnd"/>
      <w:r w:rsidRPr="00E062BF">
        <w:rPr>
          <w:i/>
          <w:lang w:val="en-US"/>
        </w:rPr>
        <w:t xml:space="preserve"> ONE</w:t>
      </w:r>
      <w:r w:rsidRPr="00E062BF">
        <w:rPr>
          <w:lang w:val="en-US"/>
        </w:rPr>
        <w:t xml:space="preserve"> 3: e1548.</w:t>
      </w:r>
    </w:p>
    <w:p w:rsidR="000D4FE0" w:rsidRPr="005F47D0" w:rsidRDefault="000D4FE0" w:rsidP="000D4FE0">
      <w:pPr>
        <w:spacing w:after="0"/>
        <w:ind w:left="567" w:hanging="567"/>
        <w:rPr>
          <w:rFonts w:cs="Segoe UI"/>
        </w:rPr>
      </w:pPr>
      <w:proofErr w:type="gramStart"/>
      <w:r w:rsidRPr="001505E9">
        <w:rPr>
          <w:rFonts w:cs="Segoe UI"/>
        </w:rPr>
        <w:t xml:space="preserve">Sergeant, C. J., </w:t>
      </w:r>
      <w:proofErr w:type="spellStart"/>
      <w:r w:rsidRPr="001505E9">
        <w:rPr>
          <w:rFonts w:cs="Segoe UI"/>
        </w:rPr>
        <w:t>Moynahan</w:t>
      </w:r>
      <w:proofErr w:type="spellEnd"/>
      <w:r w:rsidRPr="001505E9">
        <w:rPr>
          <w:rFonts w:cs="Segoe UI"/>
        </w:rPr>
        <w:t>, B. J. and Johnson</w:t>
      </w:r>
      <w:r>
        <w:rPr>
          <w:rFonts w:cs="Segoe UI"/>
        </w:rPr>
        <w:t>, W. F</w:t>
      </w:r>
      <w:r w:rsidRPr="001505E9">
        <w:rPr>
          <w:rFonts w:cs="Segoe UI"/>
        </w:rPr>
        <w:t xml:space="preserve">. </w:t>
      </w:r>
      <w:r>
        <w:rPr>
          <w:rFonts w:cs="Segoe UI"/>
        </w:rPr>
        <w:t>(</w:t>
      </w:r>
      <w:r w:rsidRPr="001505E9">
        <w:rPr>
          <w:rFonts w:cs="Segoe UI"/>
        </w:rPr>
        <w:t>2012</w:t>
      </w:r>
      <w:r>
        <w:rPr>
          <w:rFonts w:cs="Segoe UI"/>
        </w:rPr>
        <w:t>)</w:t>
      </w:r>
      <w:r w:rsidRPr="001505E9">
        <w:rPr>
          <w:rFonts w:cs="Segoe UI"/>
        </w:rPr>
        <w:t>.</w:t>
      </w:r>
      <w:proofErr w:type="gramEnd"/>
      <w:r w:rsidRPr="001505E9">
        <w:rPr>
          <w:rFonts w:cs="Segoe UI"/>
        </w:rPr>
        <w:t xml:space="preserve"> </w:t>
      </w:r>
      <w:proofErr w:type="gramStart"/>
      <w:r w:rsidRPr="001505E9">
        <w:rPr>
          <w:rFonts w:cs="Segoe UI"/>
        </w:rPr>
        <w:t>Practical advice for implementing long-term ecosystem monitoring.</w:t>
      </w:r>
      <w:proofErr w:type="gramEnd"/>
      <w:r w:rsidRPr="001505E9">
        <w:rPr>
          <w:rFonts w:cs="Segoe UI"/>
        </w:rPr>
        <w:t xml:space="preserve"> </w:t>
      </w:r>
      <w:r w:rsidRPr="005832D0">
        <w:rPr>
          <w:rFonts w:cs="Segoe UI"/>
          <w:i/>
        </w:rPr>
        <w:t>Journal of Applied Ecology</w:t>
      </w:r>
      <w:r>
        <w:rPr>
          <w:rFonts w:cs="Segoe UI"/>
        </w:rPr>
        <w:t xml:space="preserve">, </w:t>
      </w:r>
      <w:r w:rsidRPr="00A13D87">
        <w:rPr>
          <w:rFonts w:cs="Segoe UI"/>
          <w:bCs/>
        </w:rPr>
        <w:t>49</w:t>
      </w:r>
      <w:r w:rsidRPr="00A13D87">
        <w:rPr>
          <w:rFonts w:cs="Segoe UI"/>
        </w:rPr>
        <w:t xml:space="preserve">: </w:t>
      </w:r>
      <w:r>
        <w:rPr>
          <w:rFonts w:cs="Segoe UI"/>
        </w:rPr>
        <w:t>969–973.</w:t>
      </w:r>
    </w:p>
    <w:p w:rsidR="000D4FE0" w:rsidRDefault="000D4FE0" w:rsidP="000D4FE0">
      <w:pPr>
        <w:spacing w:after="0"/>
        <w:ind w:left="567" w:hanging="567"/>
      </w:pPr>
      <w:proofErr w:type="gramStart"/>
      <w:r>
        <w:t>Sheppard, J. K., Lawler, I. R. and Marsh, H. (2007).</w:t>
      </w:r>
      <w:proofErr w:type="gramEnd"/>
      <w:r>
        <w:t xml:space="preserve"> Seagrass as pasture for </w:t>
      </w:r>
      <w:proofErr w:type="spellStart"/>
      <w:r>
        <w:t>seacows</w:t>
      </w:r>
      <w:proofErr w:type="spellEnd"/>
      <w:r>
        <w:t>: Landscape-level dugong habitat evaluation</w:t>
      </w:r>
      <w:r w:rsidRPr="00BD21C4">
        <w:rPr>
          <w:i/>
        </w:rPr>
        <w:t>. Estuarine, Coastal and Shelf Science</w:t>
      </w:r>
      <w:proofErr w:type="gramStart"/>
      <w:r>
        <w:t>,  71</w:t>
      </w:r>
      <w:proofErr w:type="gramEnd"/>
      <w:r>
        <w:t>: 117-132.</w:t>
      </w:r>
    </w:p>
    <w:p w:rsidR="000D4FE0" w:rsidRPr="001D1331" w:rsidRDefault="000D4FE0" w:rsidP="000D4FE0">
      <w:pPr>
        <w:spacing w:after="0"/>
        <w:ind w:left="567" w:hanging="567"/>
      </w:pPr>
      <w:r>
        <w:t xml:space="preserve">Sheppard, J. K., Preen, A. R., Marsh, H., Lawler, I. R., Whiting, S. D. and Jones, R. E. (2006). </w:t>
      </w:r>
      <w:proofErr w:type="gramStart"/>
      <w:r>
        <w:t xml:space="preserve">Movement heterogeneity of dugongs, </w:t>
      </w:r>
      <w:r w:rsidRPr="00A13D87">
        <w:rPr>
          <w:i/>
        </w:rPr>
        <w:t xml:space="preserve">Dugong </w:t>
      </w:r>
      <w:proofErr w:type="spellStart"/>
      <w:r w:rsidRPr="00A13D87">
        <w:rPr>
          <w:i/>
        </w:rPr>
        <w:t>dugon</w:t>
      </w:r>
      <w:proofErr w:type="spellEnd"/>
      <w:r>
        <w:t xml:space="preserve"> (Muller), over large spatial scales.</w:t>
      </w:r>
      <w:proofErr w:type="gramEnd"/>
      <w:r>
        <w:t xml:space="preserve">  </w:t>
      </w:r>
      <w:r w:rsidRPr="00BD21C4">
        <w:rPr>
          <w:i/>
        </w:rPr>
        <w:t>Journal of Experimental Marine Biology and Ecology</w:t>
      </w:r>
      <w:r>
        <w:t>, 334: 64-83.</w:t>
      </w:r>
    </w:p>
    <w:p w:rsidR="000D4FE0" w:rsidRPr="003F73C1" w:rsidRDefault="000D4FE0" w:rsidP="000D4FE0">
      <w:pPr>
        <w:spacing w:after="0"/>
        <w:ind w:left="567" w:hanging="567"/>
        <w:rPr>
          <w:lang w:val="en-US"/>
        </w:rPr>
      </w:pPr>
      <w:proofErr w:type="spellStart"/>
      <w:proofErr w:type="gramStart"/>
      <w:r w:rsidRPr="001E5A2B">
        <w:rPr>
          <w:lang w:val="en-US"/>
        </w:rPr>
        <w:t>Sokal</w:t>
      </w:r>
      <w:proofErr w:type="spellEnd"/>
      <w:r w:rsidRPr="001E5A2B">
        <w:rPr>
          <w:lang w:val="en-US"/>
        </w:rPr>
        <w:t xml:space="preserve">, R.R. and </w:t>
      </w:r>
      <w:proofErr w:type="spellStart"/>
      <w:r w:rsidRPr="001E5A2B">
        <w:rPr>
          <w:lang w:val="en-US"/>
        </w:rPr>
        <w:t>Rohlf</w:t>
      </w:r>
      <w:proofErr w:type="spellEnd"/>
      <w:r w:rsidRPr="001E5A2B">
        <w:rPr>
          <w:lang w:val="en-US"/>
        </w:rPr>
        <w:t>, F.J. (1995).</w:t>
      </w:r>
      <w:proofErr w:type="gramEnd"/>
      <w:r w:rsidRPr="001E5A2B">
        <w:rPr>
          <w:lang w:val="en-US"/>
        </w:rPr>
        <w:t xml:space="preserve"> </w:t>
      </w:r>
      <w:proofErr w:type="gramStart"/>
      <w:r w:rsidRPr="001E5A2B">
        <w:rPr>
          <w:i/>
          <w:lang w:val="en-US"/>
        </w:rPr>
        <w:t>Biometry</w:t>
      </w:r>
      <w:r w:rsidRPr="001E5A2B">
        <w:rPr>
          <w:lang w:val="en-US"/>
        </w:rPr>
        <w:t>.</w:t>
      </w:r>
      <w:proofErr w:type="gramEnd"/>
      <w:r w:rsidRPr="001E5A2B">
        <w:rPr>
          <w:lang w:val="en-US"/>
        </w:rPr>
        <w:t xml:space="preserve"> 3</w:t>
      </w:r>
      <w:r w:rsidRPr="001E5A2B">
        <w:rPr>
          <w:vertAlign w:val="superscript"/>
          <w:lang w:val="en-US"/>
        </w:rPr>
        <w:t>rd</w:t>
      </w:r>
      <w:r>
        <w:rPr>
          <w:lang w:val="en-US"/>
        </w:rPr>
        <w:t xml:space="preserve"> Ed. Freeman, San Francisco.</w:t>
      </w:r>
    </w:p>
    <w:p w:rsidR="000D4FE0" w:rsidRDefault="000D4FE0" w:rsidP="000D4FE0">
      <w:pPr>
        <w:spacing w:after="0"/>
        <w:ind w:left="567" w:hanging="567"/>
      </w:pPr>
      <w:proofErr w:type="spellStart"/>
      <w:r w:rsidRPr="00D832BA">
        <w:t>Tetlock</w:t>
      </w:r>
      <w:proofErr w:type="spellEnd"/>
      <w:r w:rsidRPr="00D832BA">
        <w:t xml:space="preserve">, P.E. </w:t>
      </w:r>
      <w:r>
        <w:t>(</w:t>
      </w:r>
      <w:r w:rsidRPr="00D832BA">
        <w:t>2000</w:t>
      </w:r>
      <w:r>
        <w:t>)</w:t>
      </w:r>
      <w:r w:rsidRPr="00D832BA">
        <w:t xml:space="preserve">. Coping with trade-offs: Psychological constraints and political implications. </w:t>
      </w:r>
      <w:proofErr w:type="gramStart"/>
      <w:r w:rsidRPr="00D832BA">
        <w:t xml:space="preserve">In A. </w:t>
      </w:r>
      <w:proofErr w:type="spellStart"/>
      <w:r w:rsidRPr="00D832BA">
        <w:t>Lupia</w:t>
      </w:r>
      <w:proofErr w:type="spellEnd"/>
      <w:r w:rsidRPr="00D832BA">
        <w:t xml:space="preserve">, M.D. </w:t>
      </w:r>
      <w:proofErr w:type="spellStart"/>
      <w:r w:rsidRPr="00D832BA">
        <w:t>McCubbins</w:t>
      </w:r>
      <w:proofErr w:type="spellEnd"/>
      <w:r w:rsidRPr="00D832BA">
        <w:t xml:space="preserve">, and S.L. </w:t>
      </w:r>
      <w:proofErr w:type="spellStart"/>
      <w:r w:rsidRPr="00D832BA">
        <w:t>Popkin</w:t>
      </w:r>
      <w:proofErr w:type="spellEnd"/>
      <w:r w:rsidRPr="00D832BA">
        <w:t xml:space="preserve"> (eds.), </w:t>
      </w:r>
      <w:r w:rsidRPr="00BD21C4">
        <w:rPr>
          <w:i/>
        </w:rPr>
        <w:t>Elements of reason.</w:t>
      </w:r>
      <w:proofErr w:type="gramEnd"/>
      <w:r w:rsidRPr="00BD21C4">
        <w:rPr>
          <w:i/>
        </w:rPr>
        <w:t xml:space="preserve"> </w:t>
      </w:r>
      <w:proofErr w:type="gramStart"/>
      <w:r w:rsidRPr="00BD21C4">
        <w:rPr>
          <w:i/>
        </w:rPr>
        <w:t>Cognition, choice and the bounds of rationality.</w:t>
      </w:r>
      <w:proofErr w:type="gramEnd"/>
      <w:r w:rsidRPr="00D832BA">
        <w:t xml:space="preserve"> Cambridge: Cambridge University Press.</w:t>
      </w:r>
    </w:p>
    <w:p w:rsidR="000D4FE0" w:rsidRPr="001E5A2B" w:rsidRDefault="000D4FE0" w:rsidP="000D4FE0">
      <w:pPr>
        <w:spacing w:after="0"/>
        <w:ind w:left="567" w:hanging="567"/>
      </w:pPr>
      <w:proofErr w:type="gramStart"/>
      <w:r w:rsidRPr="001E5A2B">
        <w:lastRenderedPageBreak/>
        <w:t>Thomas, L. and Krebs, C.J. (1997).</w:t>
      </w:r>
      <w:proofErr w:type="gramEnd"/>
      <w:r w:rsidRPr="001E5A2B">
        <w:t xml:space="preserve"> </w:t>
      </w:r>
      <w:proofErr w:type="gramStart"/>
      <w:r w:rsidRPr="001E5A2B">
        <w:t>A review of statistical power analysis software.</w:t>
      </w:r>
      <w:proofErr w:type="gramEnd"/>
      <w:r w:rsidRPr="001E5A2B">
        <w:t xml:space="preserve"> </w:t>
      </w:r>
      <w:r w:rsidRPr="001E5A2B">
        <w:rPr>
          <w:i/>
        </w:rPr>
        <w:t>Bulletin of the Ecological Society of America</w:t>
      </w:r>
      <w:r w:rsidRPr="0098721F">
        <w:rPr>
          <w:i/>
        </w:rPr>
        <w:t>,</w:t>
      </w:r>
      <w:r w:rsidRPr="0098721F">
        <w:t xml:space="preserve"> 78:</w:t>
      </w:r>
      <w:r w:rsidRPr="001E5A2B">
        <w:rPr>
          <w:b/>
        </w:rPr>
        <w:t xml:space="preserve"> </w:t>
      </w:r>
      <w:r w:rsidRPr="001E5A2B">
        <w:t>126-139.</w:t>
      </w:r>
    </w:p>
    <w:p w:rsidR="0042343E" w:rsidRDefault="00A013B7" w:rsidP="0042343E">
      <w:pPr>
        <w:spacing w:after="0"/>
        <w:ind w:left="567" w:hanging="567"/>
      </w:pPr>
      <w:proofErr w:type="gramStart"/>
      <w:r w:rsidRPr="00A013B7">
        <w:t>Thompson</w:t>
      </w:r>
      <w:r>
        <w:t>,</w:t>
      </w:r>
      <w:r w:rsidRPr="00A013B7">
        <w:t xml:space="preserve"> A</w:t>
      </w:r>
      <w:r>
        <w:t>.</w:t>
      </w:r>
      <w:r w:rsidRPr="00A013B7">
        <w:t xml:space="preserve">, </w:t>
      </w:r>
      <w:proofErr w:type="spellStart"/>
      <w:r w:rsidRPr="00A013B7">
        <w:t>Schaffelke</w:t>
      </w:r>
      <w:proofErr w:type="spellEnd"/>
      <w:r>
        <w:t>,</w:t>
      </w:r>
      <w:r w:rsidRPr="00A013B7">
        <w:t xml:space="preserve"> B</w:t>
      </w:r>
      <w:r>
        <w:t>.</w:t>
      </w:r>
      <w:r w:rsidRPr="00A013B7">
        <w:t>, Logan</w:t>
      </w:r>
      <w:r>
        <w:t>,</w:t>
      </w:r>
      <w:r w:rsidRPr="00A013B7">
        <w:t xml:space="preserve"> M</w:t>
      </w:r>
      <w:r>
        <w:t>.</w:t>
      </w:r>
      <w:r w:rsidRPr="00A013B7">
        <w:t>, Costello</w:t>
      </w:r>
      <w:r>
        <w:t>,</w:t>
      </w:r>
      <w:r w:rsidRPr="00A013B7">
        <w:t xml:space="preserve"> P</w:t>
      </w:r>
      <w:r>
        <w:t>.</w:t>
      </w:r>
      <w:r w:rsidRPr="00A013B7">
        <w:t>, Davidson</w:t>
      </w:r>
      <w:r>
        <w:t>,</w:t>
      </w:r>
      <w:r w:rsidRPr="00A013B7">
        <w:t xml:space="preserve"> J</w:t>
      </w:r>
      <w:r>
        <w:t>.</w:t>
      </w:r>
      <w:r w:rsidRPr="00A013B7">
        <w:t>, Doyle</w:t>
      </w:r>
      <w:r>
        <w:t>,</w:t>
      </w:r>
      <w:r w:rsidRPr="00A013B7">
        <w:t xml:space="preserve"> J</w:t>
      </w:r>
      <w:r>
        <w:t>.</w:t>
      </w:r>
      <w:r w:rsidRPr="00A013B7">
        <w:t xml:space="preserve">, </w:t>
      </w:r>
      <w:proofErr w:type="spellStart"/>
      <w:r w:rsidRPr="00A013B7">
        <w:t>Furnas</w:t>
      </w:r>
      <w:proofErr w:type="spellEnd"/>
      <w:r>
        <w:t>,</w:t>
      </w:r>
      <w:r w:rsidRPr="00A013B7">
        <w:t xml:space="preserve"> M</w:t>
      </w:r>
      <w:r>
        <w:t>.</w:t>
      </w:r>
      <w:r w:rsidRPr="00A013B7">
        <w:t>, Gunn</w:t>
      </w:r>
      <w:r>
        <w:t>,</w:t>
      </w:r>
      <w:r w:rsidRPr="00A013B7">
        <w:t xml:space="preserve"> K</w:t>
      </w:r>
      <w:r>
        <w:t>.</w:t>
      </w:r>
      <w:r w:rsidRPr="00A013B7">
        <w:t xml:space="preserve">, </w:t>
      </w:r>
      <w:proofErr w:type="spellStart"/>
      <w:r w:rsidRPr="00A013B7">
        <w:t>Liddy</w:t>
      </w:r>
      <w:proofErr w:type="spellEnd"/>
      <w:r>
        <w:t>,</w:t>
      </w:r>
      <w:r w:rsidRPr="00A013B7">
        <w:t xml:space="preserve"> M</w:t>
      </w:r>
      <w:r>
        <w:t>.</w:t>
      </w:r>
      <w:r w:rsidRPr="00A013B7">
        <w:t xml:space="preserve">, </w:t>
      </w:r>
      <w:proofErr w:type="spellStart"/>
      <w:r w:rsidRPr="00A013B7">
        <w:t>Skuza</w:t>
      </w:r>
      <w:proofErr w:type="spellEnd"/>
      <w:r>
        <w:t>,</w:t>
      </w:r>
      <w:r w:rsidRPr="00A013B7">
        <w:t xml:space="preserve"> M</w:t>
      </w:r>
      <w:r>
        <w:t>.</w:t>
      </w:r>
      <w:r w:rsidRPr="00A013B7">
        <w:t xml:space="preserve">, </w:t>
      </w:r>
      <w:proofErr w:type="spellStart"/>
      <w:r w:rsidRPr="00A013B7">
        <w:t>Uthicke</w:t>
      </w:r>
      <w:proofErr w:type="spellEnd"/>
      <w:r>
        <w:t>,</w:t>
      </w:r>
      <w:r w:rsidRPr="00A013B7">
        <w:t xml:space="preserve"> S</w:t>
      </w:r>
      <w:r>
        <w:t>.</w:t>
      </w:r>
      <w:r w:rsidRPr="00A013B7">
        <w:t>, Wright</w:t>
      </w:r>
      <w:r>
        <w:t>,</w:t>
      </w:r>
      <w:r w:rsidRPr="00A013B7">
        <w:t xml:space="preserve"> M</w:t>
      </w:r>
      <w:r>
        <w:t>.</w:t>
      </w:r>
      <w:r w:rsidRPr="00A013B7">
        <w:t xml:space="preserve"> and </w:t>
      </w:r>
      <w:proofErr w:type="spellStart"/>
      <w:r w:rsidRPr="00A013B7">
        <w:t>Zagorskis</w:t>
      </w:r>
      <w:proofErr w:type="spellEnd"/>
      <w:r>
        <w:t>,</w:t>
      </w:r>
      <w:r w:rsidRPr="00A013B7">
        <w:t xml:space="preserve"> I</w:t>
      </w:r>
      <w:r>
        <w:t>.</w:t>
      </w:r>
      <w:r w:rsidRPr="00A013B7">
        <w:t xml:space="preserve"> (2013) Reef Rescue Marine Monitoring Program.</w:t>
      </w:r>
      <w:proofErr w:type="gramEnd"/>
      <w:r w:rsidRPr="00A013B7">
        <w:t xml:space="preserve"> Annual Report of AIMS Activities 2012 to 2013– Inshore water quality and coral reef monitoring. Report for the Great Barrier Reef Marine Park Authority. </w:t>
      </w:r>
      <w:proofErr w:type="gramStart"/>
      <w:r w:rsidRPr="00A013B7">
        <w:t>Australian Institute of Marine Science, Townsville.</w:t>
      </w:r>
      <w:proofErr w:type="gramEnd"/>
      <w:r w:rsidRPr="00A013B7">
        <w:t xml:space="preserve"> 182 pp.</w:t>
      </w:r>
      <w:r>
        <w:t xml:space="preserve"> </w:t>
      </w:r>
      <w:r w:rsidR="0042343E">
        <w:t xml:space="preserve">Available at </w:t>
      </w:r>
      <w:r w:rsidR="0042343E" w:rsidRPr="0042343E">
        <w:t>http://elibrary.gbrmpa.gov.au/jspui/handle/11017/2877</w:t>
      </w:r>
    </w:p>
    <w:p w:rsidR="0042343E" w:rsidRDefault="0042343E" w:rsidP="0042343E">
      <w:pPr>
        <w:spacing w:after="0"/>
        <w:ind w:left="567" w:hanging="567"/>
      </w:pPr>
      <w:proofErr w:type="gramStart"/>
      <w:r w:rsidRPr="0042343E">
        <w:t>Thompson</w:t>
      </w:r>
      <w:r>
        <w:t>,</w:t>
      </w:r>
      <w:r w:rsidRPr="0042343E">
        <w:t xml:space="preserve"> A</w:t>
      </w:r>
      <w:r>
        <w:t>.</w:t>
      </w:r>
      <w:r w:rsidRPr="0042343E">
        <w:t>, Schroeder</w:t>
      </w:r>
      <w:r>
        <w:t>,</w:t>
      </w:r>
      <w:r w:rsidRPr="0042343E">
        <w:t xml:space="preserve"> T</w:t>
      </w:r>
      <w:r>
        <w:t>.</w:t>
      </w:r>
      <w:r w:rsidRPr="0042343E">
        <w:t>, Brando</w:t>
      </w:r>
      <w:r>
        <w:t>.</w:t>
      </w:r>
      <w:proofErr w:type="gramEnd"/>
      <w:r>
        <w:t xml:space="preserve"> </w:t>
      </w:r>
      <w:proofErr w:type="gramStart"/>
      <w:r>
        <w:t>V. and</w:t>
      </w:r>
      <w:r w:rsidRPr="0042343E">
        <w:t xml:space="preserve"> </w:t>
      </w:r>
      <w:proofErr w:type="spellStart"/>
      <w:r w:rsidRPr="0042343E">
        <w:t>Schaffelke</w:t>
      </w:r>
      <w:proofErr w:type="spellEnd"/>
      <w:r>
        <w:t xml:space="preserve">, B. </w:t>
      </w:r>
      <w:r w:rsidRPr="0042343E">
        <w:t>(2014)</w:t>
      </w:r>
      <w:r>
        <w:t>.</w:t>
      </w:r>
      <w:proofErr w:type="gramEnd"/>
      <w:r w:rsidRPr="0042343E">
        <w:t xml:space="preserve"> Coral community responses to declining water quality: Whitsunday Islands, Great Barrier Reef, Australia. </w:t>
      </w:r>
      <w:r w:rsidRPr="0042343E">
        <w:rPr>
          <w:i/>
        </w:rPr>
        <w:t>Coral Reefs</w:t>
      </w:r>
      <w:r>
        <w:t>,</w:t>
      </w:r>
      <w:r w:rsidRPr="0042343E">
        <w:t xml:space="preserve"> 33:</w:t>
      </w:r>
      <w:r>
        <w:t xml:space="preserve"> </w:t>
      </w:r>
      <w:r w:rsidRPr="0042343E">
        <w:t>923-938</w:t>
      </w:r>
      <w:r>
        <w:t>.</w:t>
      </w:r>
    </w:p>
    <w:p w:rsidR="000D4FE0" w:rsidRDefault="000D4FE0" w:rsidP="000D4FE0">
      <w:pPr>
        <w:spacing w:after="0"/>
        <w:ind w:left="567" w:hanging="567"/>
      </w:pPr>
      <w:proofErr w:type="spellStart"/>
      <w:proofErr w:type="gramStart"/>
      <w:r w:rsidRPr="00EB333A">
        <w:t>Thorburn</w:t>
      </w:r>
      <w:proofErr w:type="spellEnd"/>
      <w:r w:rsidRPr="00EB333A">
        <w:t xml:space="preserve"> P.J., Wilkinson, S.N. and </w:t>
      </w:r>
      <w:proofErr w:type="spellStart"/>
      <w:r w:rsidRPr="00EB333A">
        <w:t>Silburn</w:t>
      </w:r>
      <w:proofErr w:type="spellEnd"/>
      <w:r w:rsidRPr="00EB333A">
        <w:t xml:space="preserve"> D.M. (2013</w:t>
      </w:r>
      <w:r w:rsidRPr="00BF12E1">
        <w:t>)</w:t>
      </w:r>
      <w:r>
        <w:t>.</w:t>
      </w:r>
      <w:proofErr w:type="gramEnd"/>
      <w:r>
        <w:t xml:space="preserve"> </w:t>
      </w:r>
      <w:r w:rsidRPr="00BF12E1">
        <w:t xml:space="preserve">Water quality in agricultural lands draining to the Great Barrier Reef: A review of causes, management and priorities. </w:t>
      </w:r>
      <w:r>
        <w:t xml:space="preserve"> </w:t>
      </w:r>
      <w:r w:rsidRPr="00BF12E1">
        <w:rPr>
          <w:i/>
        </w:rPr>
        <w:t>Agriculture, Ecosystems and Environment</w:t>
      </w:r>
      <w:r w:rsidRPr="00BF12E1">
        <w:t>, 180: 4-20</w:t>
      </w:r>
      <w:r>
        <w:t>.</w:t>
      </w:r>
    </w:p>
    <w:p w:rsidR="000D4FE0" w:rsidRDefault="000D4FE0" w:rsidP="000D4FE0">
      <w:pPr>
        <w:spacing w:after="0"/>
        <w:ind w:left="567" w:hanging="567"/>
      </w:pPr>
      <w:proofErr w:type="spellStart"/>
      <w:proofErr w:type="gramStart"/>
      <w:r w:rsidRPr="001E5A2B">
        <w:t>Tversky</w:t>
      </w:r>
      <w:proofErr w:type="spellEnd"/>
      <w:r w:rsidRPr="001E5A2B">
        <w:t xml:space="preserve">, A. and </w:t>
      </w:r>
      <w:proofErr w:type="spellStart"/>
      <w:r w:rsidRPr="001E5A2B">
        <w:t>Kahneman</w:t>
      </w:r>
      <w:proofErr w:type="spellEnd"/>
      <w:r w:rsidRPr="001E5A2B">
        <w:t>, D. (1971).</w:t>
      </w:r>
      <w:proofErr w:type="gramEnd"/>
      <w:r w:rsidRPr="001E5A2B">
        <w:t xml:space="preserve"> </w:t>
      </w:r>
      <w:proofErr w:type="gramStart"/>
      <w:r w:rsidRPr="001E5A2B">
        <w:t>Belief in the law of small numbers.</w:t>
      </w:r>
      <w:proofErr w:type="gramEnd"/>
      <w:r w:rsidRPr="001E5A2B">
        <w:t xml:space="preserve"> </w:t>
      </w:r>
      <w:r w:rsidRPr="001E5A2B">
        <w:rPr>
          <w:i/>
        </w:rPr>
        <w:t>Psychological Bulletin</w:t>
      </w:r>
      <w:r w:rsidRPr="001E5A2B">
        <w:t xml:space="preserve"> </w:t>
      </w:r>
      <w:r w:rsidRPr="00BD21C4">
        <w:t>76</w:t>
      </w:r>
      <w:r>
        <w:t>:</w:t>
      </w:r>
      <w:r w:rsidRPr="001E5A2B">
        <w:t xml:space="preserve"> 105-110.</w:t>
      </w:r>
    </w:p>
    <w:p w:rsidR="000D4FE0" w:rsidRDefault="000D4FE0" w:rsidP="000D4FE0">
      <w:pPr>
        <w:spacing w:after="0"/>
        <w:ind w:left="360" w:hanging="360"/>
      </w:pPr>
      <w:proofErr w:type="gramStart"/>
      <w:r>
        <w:t>von</w:t>
      </w:r>
      <w:proofErr w:type="gramEnd"/>
      <w:r>
        <w:t xml:space="preserve"> </w:t>
      </w:r>
      <w:proofErr w:type="spellStart"/>
      <w:r>
        <w:t>Winterfeldt</w:t>
      </w:r>
      <w:proofErr w:type="spellEnd"/>
      <w:r>
        <w:t xml:space="preserve">, D. and Edwards, W. (1986). </w:t>
      </w:r>
      <w:proofErr w:type="gramStart"/>
      <w:r w:rsidRPr="00E54DA8">
        <w:rPr>
          <w:i/>
        </w:rPr>
        <w:t>Decision analysis and behavioural research.</w:t>
      </w:r>
      <w:proofErr w:type="gramEnd"/>
      <w:r>
        <w:t xml:space="preserve"> Cambridge University Press, Cambridge.</w:t>
      </w:r>
    </w:p>
    <w:p w:rsidR="000D4FE0" w:rsidRDefault="000D4FE0" w:rsidP="000D4FE0">
      <w:pPr>
        <w:spacing w:after="0"/>
        <w:ind w:left="360" w:hanging="360"/>
      </w:pPr>
      <w:proofErr w:type="gramStart"/>
      <w:r w:rsidRPr="004C6597">
        <w:t>von</w:t>
      </w:r>
      <w:proofErr w:type="gramEnd"/>
      <w:r w:rsidRPr="004C6597">
        <w:t xml:space="preserve"> </w:t>
      </w:r>
      <w:proofErr w:type="spellStart"/>
      <w:r w:rsidRPr="004C6597">
        <w:t>Winterfeldt</w:t>
      </w:r>
      <w:proofErr w:type="spellEnd"/>
      <w:r w:rsidRPr="004C6597">
        <w:t xml:space="preserve">, D., </w:t>
      </w:r>
      <w:proofErr w:type="spellStart"/>
      <w:r w:rsidRPr="004C6597">
        <w:t>Kavet</w:t>
      </w:r>
      <w:proofErr w:type="spellEnd"/>
      <w:r w:rsidRPr="004C6597">
        <w:t xml:space="preserve">, R., Peck, S., Mohan, M. and Hazen, G. (2012). </w:t>
      </w:r>
      <w:proofErr w:type="gramStart"/>
      <w:r w:rsidRPr="004C6597">
        <w:t>The value of environmental information without control of subsequent decisions.</w:t>
      </w:r>
      <w:proofErr w:type="gramEnd"/>
      <w:r w:rsidRPr="004C6597">
        <w:t xml:space="preserve"> </w:t>
      </w:r>
      <w:r w:rsidRPr="004C6597">
        <w:rPr>
          <w:i/>
        </w:rPr>
        <w:t>Risk Analysis,</w:t>
      </w:r>
      <w:r w:rsidRPr="004C6597">
        <w:t xml:space="preserve"> 12: 2113 – 2132.</w:t>
      </w:r>
    </w:p>
    <w:p w:rsidR="000D4FE0" w:rsidRPr="001505E9" w:rsidRDefault="000D4FE0" w:rsidP="000D4FE0">
      <w:pPr>
        <w:spacing w:after="0"/>
        <w:ind w:left="567" w:hanging="567"/>
        <w:rPr>
          <w:rFonts w:cs="Segoe UI"/>
        </w:rPr>
      </w:pPr>
      <w:proofErr w:type="gramStart"/>
      <w:r>
        <w:rPr>
          <w:rFonts w:cs="Segoe UI"/>
        </w:rPr>
        <w:t xml:space="preserve">Walters, C. J., and </w:t>
      </w:r>
      <w:proofErr w:type="spellStart"/>
      <w:r w:rsidRPr="001505E9">
        <w:rPr>
          <w:rFonts w:cs="Segoe UI"/>
        </w:rPr>
        <w:t>H</w:t>
      </w:r>
      <w:r>
        <w:rPr>
          <w:rFonts w:cs="Segoe UI"/>
        </w:rPr>
        <w:t>ilborn</w:t>
      </w:r>
      <w:proofErr w:type="spellEnd"/>
      <w:r>
        <w:rPr>
          <w:rFonts w:cs="Segoe UI"/>
        </w:rPr>
        <w:t>, R.</w:t>
      </w:r>
      <w:r w:rsidRPr="001505E9">
        <w:rPr>
          <w:rFonts w:cs="Segoe UI"/>
        </w:rPr>
        <w:t xml:space="preserve"> </w:t>
      </w:r>
      <w:r>
        <w:rPr>
          <w:rFonts w:cs="Segoe UI"/>
        </w:rPr>
        <w:t>(</w:t>
      </w:r>
      <w:r w:rsidRPr="001505E9">
        <w:rPr>
          <w:rFonts w:cs="Segoe UI"/>
        </w:rPr>
        <w:t>1978</w:t>
      </w:r>
      <w:r>
        <w:rPr>
          <w:rFonts w:cs="Segoe UI"/>
        </w:rPr>
        <w:t>)</w:t>
      </w:r>
      <w:r w:rsidRPr="001505E9">
        <w:rPr>
          <w:rFonts w:cs="Segoe UI"/>
        </w:rPr>
        <w:t>.</w:t>
      </w:r>
      <w:proofErr w:type="gramEnd"/>
      <w:r w:rsidRPr="001505E9">
        <w:rPr>
          <w:rFonts w:cs="Segoe UI"/>
        </w:rPr>
        <w:t xml:space="preserve"> </w:t>
      </w:r>
      <w:proofErr w:type="gramStart"/>
      <w:r w:rsidRPr="001505E9">
        <w:rPr>
          <w:rFonts w:cs="Segoe UI"/>
        </w:rPr>
        <w:t>Ecological optimi</w:t>
      </w:r>
      <w:r>
        <w:rPr>
          <w:rFonts w:cs="Segoe UI"/>
        </w:rPr>
        <w:t>zation and adaptive management.</w:t>
      </w:r>
      <w:proofErr w:type="gramEnd"/>
      <w:r>
        <w:rPr>
          <w:rFonts w:cs="Segoe UI"/>
        </w:rPr>
        <w:t xml:space="preserve"> </w:t>
      </w:r>
      <w:r w:rsidRPr="005832D0">
        <w:rPr>
          <w:rFonts w:cs="Segoe UI"/>
          <w:i/>
        </w:rPr>
        <w:t xml:space="preserve">Annual Review of Ecology and </w:t>
      </w:r>
      <w:proofErr w:type="spellStart"/>
      <w:r w:rsidRPr="005832D0">
        <w:rPr>
          <w:rFonts w:cs="Segoe UI"/>
          <w:i/>
        </w:rPr>
        <w:t>Systematics</w:t>
      </w:r>
      <w:proofErr w:type="spellEnd"/>
      <w:r>
        <w:rPr>
          <w:rFonts w:cs="Segoe UI"/>
        </w:rPr>
        <w:t xml:space="preserve">, </w:t>
      </w:r>
      <w:r w:rsidRPr="005832D0">
        <w:rPr>
          <w:rFonts w:cs="Segoe UI"/>
          <w:bCs/>
        </w:rPr>
        <w:t>9</w:t>
      </w:r>
      <w:r w:rsidRPr="005832D0">
        <w:rPr>
          <w:rFonts w:cs="Segoe UI"/>
        </w:rPr>
        <w:t xml:space="preserve">: </w:t>
      </w:r>
      <w:r w:rsidRPr="001505E9">
        <w:rPr>
          <w:rFonts w:cs="Segoe UI"/>
        </w:rPr>
        <w:t>157–188.</w:t>
      </w:r>
    </w:p>
    <w:p w:rsidR="000D4FE0" w:rsidRDefault="000D4FE0" w:rsidP="000D4FE0">
      <w:pPr>
        <w:spacing w:after="0"/>
        <w:ind w:left="567" w:hanging="567"/>
        <w:rPr>
          <w:rFonts w:cs="Segoe UI"/>
        </w:rPr>
      </w:pPr>
      <w:r w:rsidRPr="001505E9">
        <w:rPr>
          <w:rFonts w:cs="Segoe UI"/>
        </w:rPr>
        <w:t xml:space="preserve">Williams, B. K. </w:t>
      </w:r>
      <w:r>
        <w:rPr>
          <w:rFonts w:cs="Segoe UI"/>
        </w:rPr>
        <w:t>(</w:t>
      </w:r>
      <w:r w:rsidRPr="001505E9">
        <w:rPr>
          <w:rFonts w:cs="Segoe UI"/>
        </w:rPr>
        <w:t>2011</w:t>
      </w:r>
      <w:r>
        <w:rPr>
          <w:rFonts w:cs="Segoe UI"/>
        </w:rPr>
        <w:t>)</w:t>
      </w:r>
      <w:r w:rsidRPr="001505E9">
        <w:rPr>
          <w:rFonts w:cs="Segoe UI"/>
        </w:rPr>
        <w:t xml:space="preserve">. Passive and active adaptive management: Approaches and an example. </w:t>
      </w:r>
      <w:r w:rsidRPr="005832D0">
        <w:rPr>
          <w:rFonts w:cs="Segoe UI"/>
          <w:i/>
        </w:rPr>
        <w:t xml:space="preserve">Journal of Environmental Management, </w:t>
      </w:r>
      <w:r w:rsidRPr="005832D0">
        <w:rPr>
          <w:rFonts w:cs="Segoe UI"/>
          <w:bCs/>
        </w:rPr>
        <w:t>92</w:t>
      </w:r>
      <w:r w:rsidRPr="001505E9">
        <w:rPr>
          <w:rFonts w:cs="Segoe UI"/>
        </w:rPr>
        <w:t>:</w:t>
      </w:r>
      <w:r>
        <w:rPr>
          <w:rFonts w:cs="Segoe UI"/>
        </w:rPr>
        <w:t xml:space="preserve"> </w:t>
      </w:r>
      <w:r w:rsidRPr="001505E9">
        <w:rPr>
          <w:rFonts w:cs="Segoe UI"/>
        </w:rPr>
        <w:t>1371–1378.</w:t>
      </w:r>
    </w:p>
    <w:p w:rsidR="000D4FE0" w:rsidRDefault="000D4FE0" w:rsidP="000D4FE0">
      <w:pPr>
        <w:spacing w:after="0"/>
        <w:ind w:left="567" w:hanging="567"/>
      </w:pPr>
      <w:proofErr w:type="spellStart"/>
      <w:r>
        <w:t>Zar</w:t>
      </w:r>
      <w:proofErr w:type="spellEnd"/>
      <w:r>
        <w:t xml:space="preserve">, J.H. (2010). </w:t>
      </w:r>
      <w:proofErr w:type="spellStart"/>
      <w:proofErr w:type="gramStart"/>
      <w:r w:rsidRPr="006457AA">
        <w:rPr>
          <w:i/>
        </w:rPr>
        <w:t>Biostatistical</w:t>
      </w:r>
      <w:proofErr w:type="spellEnd"/>
      <w:r w:rsidRPr="006457AA">
        <w:rPr>
          <w:i/>
        </w:rPr>
        <w:t xml:space="preserve"> analysis.</w:t>
      </w:r>
      <w:proofErr w:type="gramEnd"/>
      <w:r>
        <w:t xml:space="preserve"> </w:t>
      </w:r>
      <w:proofErr w:type="gramStart"/>
      <w:r>
        <w:t>Pearson Prentice Hall, Upper Saddle River, New Jersey.</w:t>
      </w:r>
      <w:proofErr w:type="gramEnd"/>
    </w:p>
    <w:p w:rsidR="001505E9" w:rsidRDefault="001505E9" w:rsidP="00E20571"/>
    <w:p w:rsidR="004C6597" w:rsidRDefault="004C6597" w:rsidP="004C6597"/>
    <w:p w:rsidR="00E20571" w:rsidRDefault="00E20571" w:rsidP="00B15E8E">
      <w:pPr>
        <w:rPr>
          <w:sz w:val="18"/>
          <w:szCs w:val="18"/>
        </w:rPr>
      </w:pPr>
    </w:p>
    <w:p w:rsidR="00A97080" w:rsidRDefault="00A97080" w:rsidP="00B15E8E">
      <w:pPr>
        <w:rPr>
          <w:sz w:val="18"/>
          <w:szCs w:val="18"/>
        </w:rPr>
        <w:sectPr w:rsidR="00A97080" w:rsidSect="00F53995">
          <w:pgSz w:w="11906" w:h="16838"/>
          <w:pgMar w:top="1440" w:right="1274" w:bottom="1440" w:left="1440" w:header="708" w:footer="708" w:gutter="0"/>
          <w:cols w:space="708"/>
          <w:titlePg/>
          <w:docGrid w:linePitch="360"/>
        </w:sectPr>
      </w:pPr>
    </w:p>
    <w:p w:rsidR="006043B6" w:rsidRDefault="006043B6" w:rsidP="00A97080">
      <w:pPr>
        <w:pStyle w:val="Heading1"/>
        <w:spacing w:after="120"/>
        <w:jc w:val="right"/>
      </w:pPr>
      <w:bookmarkStart w:id="28" w:name="_Toc406768055"/>
      <w:r>
        <w:lastRenderedPageBreak/>
        <w:t>Appendix</w:t>
      </w:r>
      <w:r w:rsidR="00A97080">
        <w:t xml:space="preserve"> – Monitoring programs in the Mackay-Whitsunday case study area</w:t>
      </w:r>
      <w:bookmarkEnd w:id="28"/>
    </w:p>
    <w:tbl>
      <w:tblPr>
        <w:tblStyle w:val="TableGrid"/>
        <w:tblW w:w="14001" w:type="dxa"/>
        <w:tblLayout w:type="fixed"/>
        <w:tblLook w:val="04A0"/>
      </w:tblPr>
      <w:tblGrid>
        <w:gridCol w:w="1535"/>
        <w:gridCol w:w="1267"/>
        <w:gridCol w:w="2126"/>
        <w:gridCol w:w="3969"/>
        <w:gridCol w:w="2127"/>
        <w:gridCol w:w="2977"/>
      </w:tblGrid>
      <w:tr w:rsidR="00A97080" w:rsidRPr="00133E34" w:rsidTr="004534CD">
        <w:trPr>
          <w:tblHeader/>
        </w:trPr>
        <w:tc>
          <w:tcPr>
            <w:tcW w:w="1535" w:type="dxa"/>
            <w:shd w:val="clear" w:color="auto" w:fill="D6E3BC" w:themeFill="accent3" w:themeFillTint="66"/>
            <w:vAlign w:val="center"/>
          </w:tcPr>
          <w:p w:rsidR="00A97080" w:rsidRPr="00133E34" w:rsidRDefault="00A97080" w:rsidP="004534CD">
            <w:pPr>
              <w:rPr>
                <w:sz w:val="20"/>
                <w:szCs w:val="20"/>
              </w:rPr>
            </w:pPr>
            <w:r w:rsidRPr="00133E34">
              <w:rPr>
                <w:sz w:val="20"/>
                <w:szCs w:val="20"/>
              </w:rPr>
              <w:t>Program</w:t>
            </w:r>
          </w:p>
        </w:tc>
        <w:tc>
          <w:tcPr>
            <w:tcW w:w="1267" w:type="dxa"/>
            <w:shd w:val="clear" w:color="auto" w:fill="D6E3BC" w:themeFill="accent3" w:themeFillTint="66"/>
            <w:vAlign w:val="center"/>
          </w:tcPr>
          <w:p w:rsidR="00A97080" w:rsidRPr="00133E34" w:rsidRDefault="00A97080" w:rsidP="004534CD">
            <w:pPr>
              <w:rPr>
                <w:sz w:val="20"/>
                <w:szCs w:val="20"/>
              </w:rPr>
            </w:pPr>
            <w:r w:rsidRPr="00133E34">
              <w:rPr>
                <w:sz w:val="20"/>
                <w:szCs w:val="20"/>
              </w:rPr>
              <w:t>Responsible organization</w:t>
            </w:r>
          </w:p>
        </w:tc>
        <w:tc>
          <w:tcPr>
            <w:tcW w:w="2126" w:type="dxa"/>
            <w:shd w:val="clear" w:color="auto" w:fill="D6E3BC" w:themeFill="accent3" w:themeFillTint="66"/>
            <w:vAlign w:val="center"/>
          </w:tcPr>
          <w:p w:rsidR="00A97080" w:rsidRPr="00133E34" w:rsidRDefault="00A97080" w:rsidP="004534CD">
            <w:pPr>
              <w:rPr>
                <w:sz w:val="20"/>
                <w:szCs w:val="20"/>
              </w:rPr>
            </w:pPr>
            <w:r w:rsidRPr="00133E34">
              <w:rPr>
                <w:sz w:val="20"/>
                <w:szCs w:val="20"/>
              </w:rPr>
              <w:t>Objective</w:t>
            </w:r>
          </w:p>
        </w:tc>
        <w:tc>
          <w:tcPr>
            <w:tcW w:w="3969" w:type="dxa"/>
            <w:shd w:val="clear" w:color="auto" w:fill="D6E3BC" w:themeFill="accent3" w:themeFillTint="66"/>
            <w:vAlign w:val="center"/>
          </w:tcPr>
          <w:p w:rsidR="00A97080" w:rsidRPr="00133E34" w:rsidRDefault="00A97080" w:rsidP="004534CD">
            <w:pPr>
              <w:rPr>
                <w:sz w:val="20"/>
                <w:szCs w:val="20"/>
              </w:rPr>
            </w:pPr>
            <w:r w:rsidRPr="00133E34">
              <w:rPr>
                <w:sz w:val="20"/>
                <w:szCs w:val="20"/>
              </w:rPr>
              <w:t xml:space="preserve">Variables measured </w:t>
            </w:r>
          </w:p>
        </w:tc>
        <w:tc>
          <w:tcPr>
            <w:tcW w:w="2127" w:type="dxa"/>
            <w:shd w:val="clear" w:color="auto" w:fill="D6E3BC" w:themeFill="accent3" w:themeFillTint="66"/>
            <w:vAlign w:val="center"/>
          </w:tcPr>
          <w:p w:rsidR="00A97080" w:rsidRPr="00133E34" w:rsidRDefault="00A97080" w:rsidP="004534CD">
            <w:pPr>
              <w:rPr>
                <w:sz w:val="20"/>
                <w:szCs w:val="20"/>
              </w:rPr>
            </w:pPr>
            <w:r w:rsidRPr="00133E34">
              <w:rPr>
                <w:sz w:val="20"/>
                <w:szCs w:val="20"/>
              </w:rPr>
              <w:t>Sites in study area</w:t>
            </w:r>
          </w:p>
        </w:tc>
        <w:tc>
          <w:tcPr>
            <w:tcW w:w="2977" w:type="dxa"/>
            <w:shd w:val="clear" w:color="auto" w:fill="D6E3BC" w:themeFill="accent3" w:themeFillTint="66"/>
            <w:vAlign w:val="center"/>
          </w:tcPr>
          <w:p w:rsidR="00A97080" w:rsidRPr="00133E34" w:rsidRDefault="00A97080" w:rsidP="004534CD">
            <w:pPr>
              <w:rPr>
                <w:sz w:val="20"/>
                <w:szCs w:val="20"/>
              </w:rPr>
            </w:pPr>
            <w:r w:rsidRPr="00133E34">
              <w:rPr>
                <w:sz w:val="20"/>
                <w:szCs w:val="20"/>
              </w:rPr>
              <w:t>Information</w:t>
            </w:r>
          </w:p>
        </w:tc>
      </w:tr>
      <w:tr w:rsidR="00A97080" w:rsidRPr="00133E34" w:rsidTr="004534CD">
        <w:tc>
          <w:tcPr>
            <w:tcW w:w="1535" w:type="dxa"/>
            <w:vAlign w:val="center"/>
          </w:tcPr>
          <w:p w:rsidR="00A97080" w:rsidRPr="00133E34" w:rsidRDefault="00A97080" w:rsidP="004534CD">
            <w:pPr>
              <w:rPr>
                <w:sz w:val="20"/>
                <w:szCs w:val="20"/>
              </w:rPr>
            </w:pPr>
            <w:r w:rsidRPr="00133E34">
              <w:rPr>
                <w:sz w:val="20"/>
                <w:szCs w:val="20"/>
              </w:rPr>
              <w:t>AIMS LTMP</w:t>
            </w:r>
          </w:p>
        </w:tc>
        <w:tc>
          <w:tcPr>
            <w:tcW w:w="1267" w:type="dxa"/>
            <w:vAlign w:val="center"/>
          </w:tcPr>
          <w:p w:rsidR="00A97080" w:rsidRPr="00133E34" w:rsidRDefault="00A97080" w:rsidP="004534CD">
            <w:pPr>
              <w:rPr>
                <w:sz w:val="20"/>
                <w:szCs w:val="20"/>
              </w:rPr>
            </w:pPr>
            <w:r w:rsidRPr="00133E34">
              <w:rPr>
                <w:sz w:val="20"/>
                <w:szCs w:val="20"/>
              </w:rPr>
              <w:t>AIMS</w:t>
            </w:r>
          </w:p>
        </w:tc>
        <w:tc>
          <w:tcPr>
            <w:tcW w:w="2126" w:type="dxa"/>
            <w:vAlign w:val="center"/>
          </w:tcPr>
          <w:p w:rsidR="00A97080" w:rsidRPr="00133E34" w:rsidRDefault="00A97080" w:rsidP="004534CD">
            <w:pPr>
              <w:rPr>
                <w:sz w:val="20"/>
                <w:szCs w:val="20"/>
              </w:rPr>
            </w:pPr>
            <w:r w:rsidRPr="00133E34">
              <w:rPr>
                <w:rFonts w:cs="Calibri"/>
                <w:sz w:val="20"/>
                <w:szCs w:val="20"/>
              </w:rPr>
              <w:t>Monitor the status and trends in condition of coral reefs of the GBR</w:t>
            </w:r>
          </w:p>
        </w:tc>
        <w:tc>
          <w:tcPr>
            <w:tcW w:w="3969" w:type="dxa"/>
            <w:vAlign w:val="center"/>
          </w:tcPr>
          <w:p w:rsidR="00A97080" w:rsidRPr="00133E34" w:rsidRDefault="00A97080" w:rsidP="004534CD">
            <w:pPr>
              <w:autoSpaceDE w:val="0"/>
              <w:autoSpaceDN w:val="0"/>
              <w:adjustRightInd w:val="0"/>
              <w:ind w:left="175" w:hanging="175"/>
              <w:rPr>
                <w:rFonts w:cs="Calibri"/>
                <w:sz w:val="20"/>
                <w:szCs w:val="20"/>
              </w:rPr>
            </w:pPr>
            <w:r w:rsidRPr="00133E34">
              <w:rPr>
                <w:rFonts w:cs="Calibri"/>
                <w:sz w:val="20"/>
                <w:szCs w:val="20"/>
              </w:rPr>
              <w:t>1. Manta tow surveys for crown-of-thorns starfish (COTS), reef-wide coral cover, number of coral trout, number of sharks (</w:t>
            </w:r>
            <w:proofErr w:type="spellStart"/>
            <w:r w:rsidRPr="00133E34">
              <w:rPr>
                <w:rFonts w:cs="Calibri"/>
                <w:sz w:val="20"/>
                <w:szCs w:val="20"/>
              </w:rPr>
              <w:t>broadscale</w:t>
            </w:r>
            <w:proofErr w:type="spellEnd"/>
            <w:r w:rsidRPr="00133E34">
              <w:rPr>
                <w:rFonts w:cs="Calibri"/>
                <w:sz w:val="20"/>
                <w:szCs w:val="20"/>
              </w:rPr>
              <w:t xml:space="preserve"> surveys)</w:t>
            </w:r>
          </w:p>
          <w:p w:rsidR="00A97080" w:rsidRPr="00133E34" w:rsidRDefault="00A97080" w:rsidP="004534CD">
            <w:pPr>
              <w:autoSpaceDE w:val="0"/>
              <w:autoSpaceDN w:val="0"/>
              <w:adjustRightInd w:val="0"/>
              <w:ind w:left="175" w:hanging="175"/>
              <w:rPr>
                <w:rFonts w:cs="Calibri"/>
                <w:sz w:val="20"/>
                <w:szCs w:val="20"/>
              </w:rPr>
            </w:pPr>
            <w:r w:rsidRPr="00133E34">
              <w:rPr>
                <w:rFonts w:cs="Calibri"/>
                <w:sz w:val="20"/>
                <w:szCs w:val="20"/>
              </w:rPr>
              <w:t xml:space="preserve">2. (In standard habitat) surveys of sessile benthic organisms (~70 categories) using still images; visual counts of reef fishes (7 families) &amp; length estimates of all </w:t>
            </w:r>
            <w:proofErr w:type="spellStart"/>
            <w:r w:rsidRPr="00133E34">
              <w:rPr>
                <w:rFonts w:cs="Calibri"/>
                <w:sz w:val="20"/>
                <w:szCs w:val="20"/>
              </w:rPr>
              <w:t>serranids</w:t>
            </w:r>
            <w:proofErr w:type="spellEnd"/>
            <w:r w:rsidRPr="00133E34">
              <w:rPr>
                <w:rFonts w:cs="Calibri"/>
                <w:sz w:val="20"/>
                <w:szCs w:val="20"/>
              </w:rPr>
              <w:t xml:space="preserve">, </w:t>
            </w:r>
            <w:proofErr w:type="spellStart"/>
            <w:r w:rsidRPr="00133E34">
              <w:rPr>
                <w:rFonts w:cs="Calibri"/>
                <w:sz w:val="20"/>
                <w:szCs w:val="20"/>
              </w:rPr>
              <w:t>lutjanids</w:t>
            </w:r>
            <w:proofErr w:type="spellEnd"/>
            <w:r w:rsidRPr="00133E34">
              <w:rPr>
                <w:rFonts w:cs="Calibri"/>
                <w:sz w:val="20"/>
                <w:szCs w:val="20"/>
              </w:rPr>
              <w:t xml:space="preserve"> and </w:t>
            </w:r>
            <w:proofErr w:type="spellStart"/>
            <w:r w:rsidRPr="00133E34">
              <w:rPr>
                <w:rFonts w:cs="Calibri"/>
                <w:sz w:val="20"/>
                <w:szCs w:val="20"/>
              </w:rPr>
              <w:t>lethrinids</w:t>
            </w:r>
            <w:proofErr w:type="spellEnd"/>
            <w:r w:rsidRPr="00133E34">
              <w:rPr>
                <w:rFonts w:cs="Calibri"/>
                <w:sz w:val="20"/>
                <w:szCs w:val="20"/>
              </w:rPr>
              <w:t>.</w:t>
            </w:r>
          </w:p>
          <w:p w:rsidR="00A97080" w:rsidRPr="00133E34" w:rsidRDefault="00A97080" w:rsidP="004534CD">
            <w:pPr>
              <w:autoSpaceDE w:val="0"/>
              <w:autoSpaceDN w:val="0"/>
              <w:adjustRightInd w:val="0"/>
              <w:ind w:left="175" w:hanging="175"/>
              <w:rPr>
                <w:rFonts w:cs="Calibri"/>
                <w:sz w:val="20"/>
                <w:szCs w:val="20"/>
              </w:rPr>
            </w:pPr>
            <w:r w:rsidRPr="00133E34">
              <w:rPr>
                <w:rFonts w:cs="Calibri"/>
                <w:sz w:val="20"/>
                <w:szCs w:val="20"/>
              </w:rPr>
              <w:t>3. Counts of juvenile corals</w:t>
            </w:r>
          </w:p>
          <w:p w:rsidR="00A97080" w:rsidRPr="00133E34" w:rsidRDefault="00A97080" w:rsidP="004534CD">
            <w:pPr>
              <w:ind w:left="175" w:hanging="175"/>
              <w:rPr>
                <w:sz w:val="20"/>
                <w:szCs w:val="20"/>
              </w:rPr>
            </w:pPr>
            <w:r w:rsidRPr="00133E34">
              <w:rPr>
                <w:rFonts w:cs="Calibri"/>
                <w:sz w:val="20"/>
                <w:szCs w:val="20"/>
              </w:rPr>
              <w:t xml:space="preserve">4. Agents of coral mortality (disease, </w:t>
            </w:r>
            <w:proofErr w:type="spellStart"/>
            <w:r w:rsidRPr="00133E34">
              <w:rPr>
                <w:rFonts w:cs="Calibri,Italic"/>
                <w:i/>
                <w:iCs/>
                <w:sz w:val="20"/>
                <w:szCs w:val="20"/>
              </w:rPr>
              <w:t>Drupella</w:t>
            </w:r>
            <w:proofErr w:type="spellEnd"/>
            <w:r w:rsidRPr="00133E34">
              <w:rPr>
                <w:rFonts w:cs="Calibri"/>
                <w:sz w:val="20"/>
                <w:szCs w:val="20"/>
              </w:rPr>
              <w:t xml:space="preserve">, </w:t>
            </w:r>
            <w:proofErr w:type="spellStart"/>
            <w:r w:rsidRPr="00133E34">
              <w:rPr>
                <w:rFonts w:cs="Calibri"/>
                <w:sz w:val="20"/>
                <w:szCs w:val="20"/>
              </w:rPr>
              <w:t>CoTS</w:t>
            </w:r>
            <w:proofErr w:type="spellEnd"/>
            <w:r w:rsidRPr="00133E34">
              <w:rPr>
                <w:rFonts w:cs="Calibri"/>
                <w:sz w:val="20"/>
                <w:szCs w:val="20"/>
              </w:rPr>
              <w:t>)</w:t>
            </w:r>
          </w:p>
        </w:tc>
        <w:tc>
          <w:tcPr>
            <w:tcW w:w="2127" w:type="dxa"/>
            <w:vAlign w:val="center"/>
          </w:tcPr>
          <w:p w:rsidR="00A97080" w:rsidRPr="00133E34" w:rsidRDefault="00A97080" w:rsidP="004534CD">
            <w:pPr>
              <w:rPr>
                <w:sz w:val="20"/>
                <w:szCs w:val="20"/>
              </w:rPr>
            </w:pPr>
            <w:r w:rsidRPr="00133E34">
              <w:rPr>
                <w:sz w:val="20"/>
                <w:szCs w:val="20"/>
              </w:rPr>
              <w:t>9 reefs</w:t>
            </w:r>
          </w:p>
        </w:tc>
        <w:tc>
          <w:tcPr>
            <w:tcW w:w="2977" w:type="dxa"/>
            <w:vAlign w:val="center"/>
          </w:tcPr>
          <w:p w:rsidR="00A97080" w:rsidRPr="00133E34" w:rsidRDefault="00A97080" w:rsidP="004534CD">
            <w:pPr>
              <w:rPr>
                <w:sz w:val="20"/>
                <w:szCs w:val="20"/>
              </w:rPr>
            </w:pPr>
            <w:r w:rsidRPr="00133E34">
              <w:rPr>
                <w:rFonts w:cs="Calibri"/>
                <w:color w:val="0000FF"/>
                <w:sz w:val="20"/>
                <w:szCs w:val="20"/>
              </w:rPr>
              <w:t>http://www.aims.gov.au/docs/research/monitoring/reef/reef-monitoring.html</w:t>
            </w:r>
          </w:p>
        </w:tc>
      </w:tr>
      <w:tr w:rsidR="00A97080" w:rsidRPr="00133E34" w:rsidTr="004534CD">
        <w:tc>
          <w:tcPr>
            <w:tcW w:w="1535" w:type="dxa"/>
            <w:vAlign w:val="center"/>
          </w:tcPr>
          <w:p w:rsidR="00A97080" w:rsidRPr="00133E34" w:rsidRDefault="00A97080" w:rsidP="004534CD">
            <w:pPr>
              <w:rPr>
                <w:sz w:val="20"/>
                <w:szCs w:val="20"/>
              </w:rPr>
            </w:pPr>
            <w:r w:rsidRPr="00133E34">
              <w:rPr>
                <w:sz w:val="20"/>
                <w:szCs w:val="20"/>
              </w:rPr>
              <w:t xml:space="preserve">RRMMP - </w:t>
            </w:r>
            <w:proofErr w:type="spellStart"/>
            <w:r w:rsidRPr="00133E34">
              <w:rPr>
                <w:sz w:val="20"/>
                <w:szCs w:val="20"/>
              </w:rPr>
              <w:t>Seagrass</w:t>
            </w:r>
            <w:proofErr w:type="spellEnd"/>
          </w:p>
        </w:tc>
        <w:tc>
          <w:tcPr>
            <w:tcW w:w="1267" w:type="dxa"/>
            <w:vAlign w:val="center"/>
          </w:tcPr>
          <w:p w:rsidR="00A97080" w:rsidRPr="00133E34" w:rsidRDefault="00A97080" w:rsidP="004534CD">
            <w:pPr>
              <w:rPr>
                <w:sz w:val="20"/>
                <w:szCs w:val="20"/>
              </w:rPr>
            </w:pPr>
            <w:r w:rsidRPr="00133E34">
              <w:rPr>
                <w:sz w:val="20"/>
                <w:szCs w:val="20"/>
              </w:rPr>
              <w:t>JCU-</w:t>
            </w:r>
            <w:proofErr w:type="spellStart"/>
            <w:r w:rsidRPr="00133E34">
              <w:rPr>
                <w:sz w:val="20"/>
                <w:szCs w:val="20"/>
              </w:rPr>
              <w:t>Tropwater</w:t>
            </w:r>
            <w:proofErr w:type="spellEnd"/>
          </w:p>
        </w:tc>
        <w:tc>
          <w:tcPr>
            <w:tcW w:w="2126" w:type="dxa"/>
            <w:vAlign w:val="center"/>
          </w:tcPr>
          <w:p w:rsidR="00A97080" w:rsidRPr="00133E34" w:rsidRDefault="00A97080" w:rsidP="004534CD">
            <w:pPr>
              <w:autoSpaceDE w:val="0"/>
              <w:autoSpaceDN w:val="0"/>
              <w:adjustRightInd w:val="0"/>
              <w:rPr>
                <w:sz w:val="20"/>
                <w:szCs w:val="20"/>
              </w:rPr>
            </w:pPr>
            <w:r w:rsidRPr="00133E34">
              <w:rPr>
                <w:rFonts w:cs="Calibri"/>
                <w:sz w:val="20"/>
                <w:szCs w:val="20"/>
              </w:rPr>
              <w:t xml:space="preserve">To detect change in inshore </w:t>
            </w:r>
            <w:proofErr w:type="spellStart"/>
            <w:r w:rsidRPr="00133E34">
              <w:rPr>
                <w:rFonts w:cs="Calibri"/>
                <w:sz w:val="20"/>
                <w:szCs w:val="20"/>
              </w:rPr>
              <w:t>seagrass</w:t>
            </w:r>
            <w:proofErr w:type="spellEnd"/>
            <w:r w:rsidRPr="00133E34">
              <w:rPr>
                <w:rFonts w:cs="Calibri"/>
                <w:sz w:val="20"/>
                <w:szCs w:val="20"/>
              </w:rPr>
              <w:t xml:space="preserve"> meadows in response to improvements in water quality associated with improving land use practices in coastal catchments and with disturbance events.</w:t>
            </w:r>
          </w:p>
        </w:tc>
        <w:tc>
          <w:tcPr>
            <w:tcW w:w="3969" w:type="dxa"/>
            <w:vAlign w:val="center"/>
          </w:tcPr>
          <w:p w:rsidR="00A97080" w:rsidRPr="00133E34" w:rsidRDefault="00A97080" w:rsidP="004534CD">
            <w:pPr>
              <w:autoSpaceDE w:val="0"/>
              <w:autoSpaceDN w:val="0"/>
              <w:adjustRightInd w:val="0"/>
              <w:rPr>
                <w:rFonts w:cs="Calibri"/>
                <w:sz w:val="20"/>
                <w:szCs w:val="20"/>
              </w:rPr>
            </w:pPr>
            <w:r w:rsidRPr="00133E34">
              <w:rPr>
                <w:rFonts w:cs="Calibri"/>
                <w:sz w:val="20"/>
                <w:szCs w:val="20"/>
              </w:rPr>
              <w:t xml:space="preserve">• </w:t>
            </w:r>
            <w:proofErr w:type="spellStart"/>
            <w:r w:rsidRPr="00133E34">
              <w:rPr>
                <w:rFonts w:cs="Calibri"/>
                <w:sz w:val="20"/>
                <w:szCs w:val="20"/>
              </w:rPr>
              <w:t>seagrass</w:t>
            </w:r>
            <w:proofErr w:type="spellEnd"/>
            <w:r w:rsidRPr="00133E34">
              <w:rPr>
                <w:rFonts w:cs="Calibri"/>
                <w:sz w:val="20"/>
                <w:szCs w:val="20"/>
              </w:rPr>
              <w:t xml:space="preserve"> % cover &amp; species composition</w:t>
            </w:r>
          </w:p>
          <w:p w:rsidR="00A97080" w:rsidRPr="00133E34" w:rsidRDefault="00A97080" w:rsidP="004534CD">
            <w:pPr>
              <w:autoSpaceDE w:val="0"/>
              <w:autoSpaceDN w:val="0"/>
              <w:adjustRightInd w:val="0"/>
              <w:rPr>
                <w:rFonts w:cs="Calibri"/>
                <w:sz w:val="20"/>
                <w:szCs w:val="20"/>
              </w:rPr>
            </w:pPr>
            <w:r w:rsidRPr="00133E34">
              <w:rPr>
                <w:rFonts w:cs="Calibri"/>
                <w:sz w:val="20"/>
                <w:szCs w:val="20"/>
              </w:rPr>
              <w:t>• seed banks</w:t>
            </w:r>
          </w:p>
          <w:p w:rsidR="00A97080" w:rsidRPr="00133E34" w:rsidRDefault="00A97080" w:rsidP="004534CD">
            <w:pPr>
              <w:autoSpaceDE w:val="0"/>
              <w:autoSpaceDN w:val="0"/>
              <w:adjustRightInd w:val="0"/>
              <w:rPr>
                <w:rFonts w:cs="Calibri"/>
                <w:sz w:val="20"/>
                <w:szCs w:val="20"/>
              </w:rPr>
            </w:pPr>
            <w:r w:rsidRPr="00133E34">
              <w:rPr>
                <w:rFonts w:cs="Calibri"/>
                <w:sz w:val="20"/>
                <w:szCs w:val="20"/>
              </w:rPr>
              <w:t>• epiphytes &amp; macro-algae</w:t>
            </w:r>
          </w:p>
          <w:p w:rsidR="00A97080" w:rsidRPr="00133E34" w:rsidRDefault="00A97080" w:rsidP="004534CD">
            <w:pPr>
              <w:autoSpaceDE w:val="0"/>
              <w:autoSpaceDN w:val="0"/>
              <w:adjustRightInd w:val="0"/>
              <w:rPr>
                <w:rFonts w:cs="Calibri"/>
                <w:sz w:val="20"/>
                <w:szCs w:val="20"/>
              </w:rPr>
            </w:pPr>
            <w:r w:rsidRPr="00133E34">
              <w:rPr>
                <w:rFonts w:cs="Calibri"/>
                <w:sz w:val="20"/>
                <w:szCs w:val="20"/>
              </w:rPr>
              <w:t>• meadow edge mapping (late dry Season, late monsoon Season)</w:t>
            </w:r>
          </w:p>
          <w:p w:rsidR="00A97080" w:rsidRPr="00133E34" w:rsidRDefault="00A97080" w:rsidP="004534CD">
            <w:pPr>
              <w:autoSpaceDE w:val="0"/>
              <w:autoSpaceDN w:val="0"/>
              <w:adjustRightInd w:val="0"/>
              <w:rPr>
                <w:rFonts w:cs="Calibri"/>
                <w:sz w:val="20"/>
                <w:szCs w:val="20"/>
              </w:rPr>
            </w:pPr>
            <w:r w:rsidRPr="00133E34">
              <w:rPr>
                <w:rFonts w:cs="Calibri"/>
                <w:sz w:val="20"/>
                <w:szCs w:val="20"/>
              </w:rPr>
              <w:t>• reproductive health</w:t>
            </w:r>
          </w:p>
          <w:p w:rsidR="00A97080" w:rsidRPr="00133E34" w:rsidRDefault="00A97080" w:rsidP="004534CD">
            <w:pPr>
              <w:autoSpaceDE w:val="0"/>
              <w:autoSpaceDN w:val="0"/>
              <w:adjustRightInd w:val="0"/>
              <w:rPr>
                <w:rFonts w:cs="Calibri"/>
                <w:sz w:val="20"/>
                <w:szCs w:val="20"/>
              </w:rPr>
            </w:pPr>
            <w:r w:rsidRPr="00133E34">
              <w:rPr>
                <w:rFonts w:cs="Calibri"/>
                <w:sz w:val="20"/>
                <w:szCs w:val="20"/>
              </w:rPr>
              <w:t xml:space="preserve">• </w:t>
            </w:r>
            <w:proofErr w:type="spellStart"/>
            <w:r w:rsidRPr="00133E34">
              <w:rPr>
                <w:rFonts w:cs="Calibri"/>
                <w:sz w:val="20"/>
                <w:szCs w:val="20"/>
              </w:rPr>
              <w:t>seagrass</w:t>
            </w:r>
            <w:proofErr w:type="spellEnd"/>
            <w:r w:rsidRPr="00133E34">
              <w:rPr>
                <w:rFonts w:cs="Calibri"/>
                <w:sz w:val="20"/>
                <w:szCs w:val="20"/>
              </w:rPr>
              <w:t xml:space="preserve"> tissue elements (C:N:P) (late dry Season)</w:t>
            </w:r>
          </w:p>
          <w:p w:rsidR="00A97080" w:rsidRPr="00133E34" w:rsidRDefault="00A97080" w:rsidP="004534CD">
            <w:pPr>
              <w:autoSpaceDE w:val="0"/>
              <w:autoSpaceDN w:val="0"/>
              <w:adjustRightInd w:val="0"/>
              <w:rPr>
                <w:rFonts w:cs="Calibri"/>
                <w:sz w:val="20"/>
                <w:szCs w:val="20"/>
              </w:rPr>
            </w:pPr>
            <w:r w:rsidRPr="00133E34">
              <w:rPr>
                <w:rFonts w:cs="Calibri"/>
                <w:sz w:val="20"/>
                <w:szCs w:val="20"/>
              </w:rPr>
              <w:t xml:space="preserve">• </w:t>
            </w:r>
            <w:proofErr w:type="spellStart"/>
            <w:r w:rsidRPr="00133E34">
              <w:rPr>
                <w:rFonts w:cs="Calibri"/>
                <w:sz w:val="20"/>
                <w:szCs w:val="20"/>
              </w:rPr>
              <w:t>rhizosphere</w:t>
            </w:r>
            <w:proofErr w:type="spellEnd"/>
            <w:r w:rsidRPr="00133E34">
              <w:rPr>
                <w:rFonts w:cs="Calibri"/>
                <w:sz w:val="20"/>
                <w:szCs w:val="20"/>
              </w:rPr>
              <w:t xml:space="preserve"> sediment herbicide concentration</w:t>
            </w:r>
          </w:p>
          <w:p w:rsidR="00A97080" w:rsidRPr="00133E34" w:rsidRDefault="00A97080" w:rsidP="004534CD">
            <w:pPr>
              <w:autoSpaceDE w:val="0"/>
              <w:autoSpaceDN w:val="0"/>
              <w:adjustRightInd w:val="0"/>
              <w:rPr>
                <w:rFonts w:cs="Calibri"/>
                <w:sz w:val="20"/>
                <w:szCs w:val="20"/>
              </w:rPr>
            </w:pPr>
            <w:r w:rsidRPr="00133E34">
              <w:rPr>
                <w:rFonts w:cs="Calibri"/>
                <w:sz w:val="20"/>
                <w:szCs w:val="20"/>
              </w:rPr>
              <w:t>• in-situ within canopy temperature</w:t>
            </w:r>
          </w:p>
          <w:p w:rsidR="00A97080" w:rsidRPr="00133E34" w:rsidRDefault="00A97080" w:rsidP="004534CD">
            <w:pPr>
              <w:rPr>
                <w:sz w:val="20"/>
                <w:szCs w:val="20"/>
              </w:rPr>
            </w:pPr>
            <w:r w:rsidRPr="00133E34">
              <w:rPr>
                <w:rFonts w:cs="Calibri"/>
                <w:sz w:val="20"/>
                <w:szCs w:val="20"/>
              </w:rPr>
              <w:t>• in-situ canopy light</w:t>
            </w:r>
          </w:p>
        </w:tc>
        <w:tc>
          <w:tcPr>
            <w:tcW w:w="2127" w:type="dxa"/>
            <w:vAlign w:val="center"/>
          </w:tcPr>
          <w:p w:rsidR="00A97080" w:rsidRPr="00133E34" w:rsidRDefault="00A97080" w:rsidP="004534CD">
            <w:pPr>
              <w:rPr>
                <w:sz w:val="20"/>
                <w:szCs w:val="20"/>
              </w:rPr>
            </w:pPr>
            <w:r w:rsidRPr="00133E34">
              <w:rPr>
                <w:sz w:val="20"/>
                <w:szCs w:val="20"/>
              </w:rPr>
              <w:t>Pioneer Bay, Hamilton Is, Sarina Inlet</w:t>
            </w:r>
          </w:p>
        </w:tc>
        <w:tc>
          <w:tcPr>
            <w:tcW w:w="2977" w:type="dxa"/>
            <w:vAlign w:val="center"/>
          </w:tcPr>
          <w:p w:rsidR="00A97080" w:rsidRPr="00133E34" w:rsidRDefault="00A97080" w:rsidP="004534CD">
            <w:pPr>
              <w:rPr>
                <w:sz w:val="20"/>
                <w:szCs w:val="20"/>
              </w:rPr>
            </w:pPr>
            <w:r w:rsidRPr="00133E34">
              <w:rPr>
                <w:rFonts w:cs="Calibri"/>
                <w:color w:val="0000FF"/>
                <w:sz w:val="20"/>
                <w:szCs w:val="20"/>
              </w:rPr>
              <w:t>http://www.gbrmpa.gov.au/managing-the-reef/how-the-reefs-managed/reef-2050-marine-monitoring-program/seagrass-monitoring</w:t>
            </w:r>
          </w:p>
        </w:tc>
      </w:tr>
      <w:tr w:rsidR="00A97080" w:rsidRPr="00133E34" w:rsidTr="004534CD">
        <w:tc>
          <w:tcPr>
            <w:tcW w:w="1535" w:type="dxa"/>
            <w:vAlign w:val="center"/>
          </w:tcPr>
          <w:p w:rsidR="00A97080" w:rsidRPr="00133E34" w:rsidRDefault="00A97080" w:rsidP="004534CD">
            <w:pPr>
              <w:rPr>
                <w:sz w:val="20"/>
                <w:szCs w:val="20"/>
              </w:rPr>
            </w:pPr>
            <w:r w:rsidRPr="00133E34">
              <w:rPr>
                <w:sz w:val="20"/>
                <w:szCs w:val="20"/>
              </w:rPr>
              <w:t>RRMMP – Coral reefs</w:t>
            </w:r>
          </w:p>
        </w:tc>
        <w:tc>
          <w:tcPr>
            <w:tcW w:w="1267" w:type="dxa"/>
            <w:vAlign w:val="center"/>
          </w:tcPr>
          <w:p w:rsidR="00A97080" w:rsidRPr="00133E34" w:rsidRDefault="00A97080" w:rsidP="004534CD">
            <w:pPr>
              <w:rPr>
                <w:sz w:val="20"/>
                <w:szCs w:val="20"/>
              </w:rPr>
            </w:pPr>
            <w:r w:rsidRPr="00133E34">
              <w:rPr>
                <w:sz w:val="20"/>
                <w:szCs w:val="20"/>
              </w:rPr>
              <w:t>AIMS</w:t>
            </w:r>
          </w:p>
        </w:tc>
        <w:tc>
          <w:tcPr>
            <w:tcW w:w="2126" w:type="dxa"/>
            <w:vAlign w:val="center"/>
          </w:tcPr>
          <w:p w:rsidR="00A97080" w:rsidRPr="00133E34" w:rsidRDefault="00A97080" w:rsidP="004534CD">
            <w:pPr>
              <w:autoSpaceDE w:val="0"/>
              <w:autoSpaceDN w:val="0"/>
              <w:adjustRightInd w:val="0"/>
              <w:rPr>
                <w:rFonts w:cs="Calibri"/>
                <w:sz w:val="20"/>
                <w:szCs w:val="20"/>
              </w:rPr>
            </w:pPr>
            <w:r w:rsidRPr="00133E34">
              <w:rPr>
                <w:rFonts w:cs="Calibri"/>
                <w:sz w:val="20"/>
                <w:szCs w:val="20"/>
              </w:rPr>
              <w:t>To detect change in inshore coral reef communities in response to improvements in water quality</w:t>
            </w:r>
          </w:p>
          <w:p w:rsidR="00A97080" w:rsidRPr="00133E34" w:rsidRDefault="00A97080" w:rsidP="004534CD">
            <w:pPr>
              <w:rPr>
                <w:sz w:val="20"/>
                <w:szCs w:val="20"/>
              </w:rPr>
            </w:pPr>
            <w:r w:rsidRPr="00133E34">
              <w:rPr>
                <w:rFonts w:cs="Calibri"/>
                <w:sz w:val="20"/>
                <w:szCs w:val="20"/>
              </w:rPr>
              <w:t xml:space="preserve">associated with improving land use </w:t>
            </w:r>
            <w:r w:rsidRPr="00133E34">
              <w:rPr>
                <w:rFonts w:cs="Calibri"/>
                <w:sz w:val="20"/>
                <w:szCs w:val="20"/>
              </w:rPr>
              <w:lastRenderedPageBreak/>
              <w:t>practices in coastal catchments and with disturbance events</w:t>
            </w:r>
          </w:p>
        </w:tc>
        <w:tc>
          <w:tcPr>
            <w:tcW w:w="3969" w:type="dxa"/>
            <w:vAlign w:val="center"/>
          </w:tcPr>
          <w:p w:rsidR="00A97080" w:rsidRPr="00133E34" w:rsidRDefault="00A97080" w:rsidP="004534CD">
            <w:pPr>
              <w:autoSpaceDE w:val="0"/>
              <w:autoSpaceDN w:val="0"/>
              <w:adjustRightInd w:val="0"/>
              <w:rPr>
                <w:rFonts w:cs="Calibri"/>
                <w:sz w:val="20"/>
                <w:szCs w:val="20"/>
              </w:rPr>
            </w:pPr>
            <w:r w:rsidRPr="00133E34">
              <w:rPr>
                <w:rFonts w:cs="Calibri"/>
                <w:sz w:val="20"/>
                <w:szCs w:val="20"/>
              </w:rPr>
              <w:lastRenderedPageBreak/>
              <w:t>benthic cover (algae, hard and soft corals),</w:t>
            </w:r>
          </w:p>
          <w:p w:rsidR="00A97080" w:rsidRPr="00133E34" w:rsidRDefault="00A97080" w:rsidP="004534CD">
            <w:pPr>
              <w:autoSpaceDE w:val="0"/>
              <w:autoSpaceDN w:val="0"/>
              <w:adjustRightInd w:val="0"/>
              <w:rPr>
                <w:rFonts w:cs="Calibri"/>
                <w:sz w:val="20"/>
                <w:szCs w:val="20"/>
              </w:rPr>
            </w:pPr>
            <w:r w:rsidRPr="00133E34">
              <w:rPr>
                <w:rFonts w:cs="Symbol"/>
                <w:sz w:val="20"/>
                <w:szCs w:val="20"/>
              </w:rPr>
              <w:t xml:space="preserve"> </w:t>
            </w:r>
            <w:r w:rsidRPr="00133E34">
              <w:rPr>
                <w:rFonts w:cs="Calibri"/>
                <w:sz w:val="20"/>
                <w:szCs w:val="20"/>
              </w:rPr>
              <w:t>taxonomic composition (mainly to species)</w:t>
            </w:r>
          </w:p>
          <w:p w:rsidR="00A97080" w:rsidRPr="00133E34" w:rsidRDefault="00A97080" w:rsidP="004534CD">
            <w:pPr>
              <w:autoSpaceDE w:val="0"/>
              <w:autoSpaceDN w:val="0"/>
              <w:adjustRightInd w:val="0"/>
              <w:rPr>
                <w:rFonts w:cs="Calibri"/>
                <w:sz w:val="20"/>
                <w:szCs w:val="20"/>
              </w:rPr>
            </w:pPr>
            <w:r w:rsidRPr="00133E34">
              <w:rPr>
                <w:rFonts w:cs="Symbol"/>
                <w:sz w:val="20"/>
                <w:szCs w:val="20"/>
              </w:rPr>
              <w:t xml:space="preserve"> </w:t>
            </w:r>
            <w:r w:rsidRPr="00133E34">
              <w:rPr>
                <w:rFonts w:cs="Calibri"/>
                <w:sz w:val="20"/>
                <w:szCs w:val="20"/>
              </w:rPr>
              <w:t>coral demographics (the size classes of corals),</w:t>
            </w:r>
          </w:p>
          <w:p w:rsidR="00A97080" w:rsidRPr="00133E34" w:rsidRDefault="00A97080" w:rsidP="004534CD">
            <w:pPr>
              <w:autoSpaceDE w:val="0"/>
              <w:autoSpaceDN w:val="0"/>
              <w:adjustRightInd w:val="0"/>
              <w:rPr>
                <w:rFonts w:cs="Calibri"/>
                <w:sz w:val="20"/>
                <w:szCs w:val="20"/>
              </w:rPr>
            </w:pPr>
            <w:r w:rsidRPr="00133E34">
              <w:rPr>
                <w:rFonts w:cs="Symbol"/>
                <w:sz w:val="20"/>
                <w:szCs w:val="20"/>
              </w:rPr>
              <w:t xml:space="preserve"> </w:t>
            </w:r>
            <w:r w:rsidRPr="00133E34">
              <w:rPr>
                <w:rFonts w:cs="Calibri"/>
                <w:sz w:val="20"/>
                <w:szCs w:val="20"/>
              </w:rPr>
              <w:t>coral settlement rates on terracotta tiles</w:t>
            </w:r>
          </w:p>
          <w:p w:rsidR="00A97080" w:rsidRPr="00133E34" w:rsidRDefault="00A97080" w:rsidP="004534CD">
            <w:pPr>
              <w:rPr>
                <w:sz w:val="20"/>
                <w:szCs w:val="20"/>
              </w:rPr>
            </w:pPr>
            <w:r w:rsidRPr="00133E34">
              <w:rPr>
                <w:rFonts w:cs="Calibri"/>
                <w:sz w:val="20"/>
                <w:szCs w:val="20"/>
              </w:rPr>
              <w:t>Note reefs surveys match spatially with other aspects of the RRMMP notably water quality sampling</w:t>
            </w:r>
          </w:p>
        </w:tc>
        <w:tc>
          <w:tcPr>
            <w:tcW w:w="2127" w:type="dxa"/>
            <w:vAlign w:val="center"/>
          </w:tcPr>
          <w:p w:rsidR="00A97080" w:rsidRPr="00133E34" w:rsidRDefault="00A97080" w:rsidP="004534CD">
            <w:pPr>
              <w:rPr>
                <w:sz w:val="20"/>
                <w:szCs w:val="20"/>
              </w:rPr>
            </w:pPr>
            <w:r w:rsidRPr="00133E34">
              <w:rPr>
                <w:sz w:val="20"/>
                <w:szCs w:val="20"/>
              </w:rPr>
              <w:t>Sites at Daydream Is, Double Cone Is and Pine Is</w:t>
            </w:r>
          </w:p>
        </w:tc>
        <w:tc>
          <w:tcPr>
            <w:tcW w:w="2977" w:type="dxa"/>
            <w:vAlign w:val="center"/>
          </w:tcPr>
          <w:p w:rsidR="00A97080" w:rsidRPr="00133E34" w:rsidRDefault="00FB3343" w:rsidP="004534CD">
            <w:pPr>
              <w:rPr>
                <w:sz w:val="20"/>
                <w:szCs w:val="20"/>
              </w:rPr>
            </w:pPr>
            <w:hyperlink r:id="rId94" w:history="1">
              <w:r w:rsidR="00A97080" w:rsidRPr="00133E34">
                <w:rPr>
                  <w:rStyle w:val="Hyperlink"/>
                  <w:sz w:val="20"/>
                  <w:szCs w:val="20"/>
                </w:rPr>
                <w:t>http://www.gbrmpa.gov.au/managing-the-reef/how-the-reefs-managed/reef-2050-marine-monitoring-program/inshore-coral-reef-monitoring</w:t>
              </w:r>
            </w:hyperlink>
            <w:r w:rsidR="00A97080" w:rsidRPr="00133E34">
              <w:rPr>
                <w:sz w:val="20"/>
                <w:szCs w:val="20"/>
              </w:rPr>
              <w:t xml:space="preserve"> </w:t>
            </w:r>
          </w:p>
        </w:tc>
      </w:tr>
      <w:tr w:rsidR="00A97080" w:rsidRPr="00133E34" w:rsidTr="004534CD">
        <w:tc>
          <w:tcPr>
            <w:tcW w:w="1535" w:type="dxa"/>
            <w:vAlign w:val="center"/>
          </w:tcPr>
          <w:p w:rsidR="00A97080" w:rsidRPr="00133E34" w:rsidRDefault="00A97080" w:rsidP="004534CD">
            <w:pPr>
              <w:rPr>
                <w:sz w:val="20"/>
                <w:szCs w:val="20"/>
              </w:rPr>
            </w:pPr>
            <w:r w:rsidRPr="00133E34">
              <w:rPr>
                <w:sz w:val="20"/>
                <w:szCs w:val="20"/>
              </w:rPr>
              <w:lastRenderedPageBreak/>
              <w:t>RRMMP – inshore water quality</w:t>
            </w:r>
            <w:r w:rsidRPr="00133E34">
              <w:rPr>
                <w:rFonts w:cs="Calibri,Bold"/>
                <w:bCs/>
                <w:sz w:val="20"/>
                <w:szCs w:val="20"/>
              </w:rPr>
              <w:t xml:space="preserve"> – Ambient Pesticide Sampling</w:t>
            </w:r>
          </w:p>
        </w:tc>
        <w:tc>
          <w:tcPr>
            <w:tcW w:w="1267" w:type="dxa"/>
            <w:vAlign w:val="center"/>
          </w:tcPr>
          <w:p w:rsidR="00A97080" w:rsidRPr="00133E34" w:rsidRDefault="00A97080" w:rsidP="004534CD">
            <w:pPr>
              <w:rPr>
                <w:sz w:val="20"/>
                <w:szCs w:val="20"/>
              </w:rPr>
            </w:pPr>
            <w:proofErr w:type="spellStart"/>
            <w:r w:rsidRPr="00133E34">
              <w:rPr>
                <w:sz w:val="20"/>
                <w:szCs w:val="20"/>
              </w:rPr>
              <w:t>Entox</w:t>
            </w:r>
            <w:proofErr w:type="spellEnd"/>
            <w:r w:rsidRPr="00133E34">
              <w:rPr>
                <w:sz w:val="20"/>
                <w:szCs w:val="20"/>
              </w:rPr>
              <w:t>, UQ</w:t>
            </w:r>
          </w:p>
        </w:tc>
        <w:tc>
          <w:tcPr>
            <w:tcW w:w="2126" w:type="dxa"/>
            <w:vAlign w:val="center"/>
          </w:tcPr>
          <w:p w:rsidR="00A97080" w:rsidRPr="00133E34" w:rsidRDefault="00A97080" w:rsidP="004534CD">
            <w:pPr>
              <w:autoSpaceDE w:val="0"/>
              <w:autoSpaceDN w:val="0"/>
              <w:adjustRightInd w:val="0"/>
              <w:rPr>
                <w:sz w:val="20"/>
                <w:szCs w:val="20"/>
              </w:rPr>
            </w:pPr>
            <w:r w:rsidRPr="00133E34">
              <w:rPr>
                <w:rFonts w:cs="Calibri"/>
                <w:sz w:val="20"/>
                <w:szCs w:val="20"/>
              </w:rPr>
              <w:t>To determine time integrated baseline concentrations of specific organic chemicals in water, with the aim to evaluate long term trends in pesticide concentrations in response to improvements in water quality associated with improving land use practices in coastal catchments.</w:t>
            </w:r>
          </w:p>
        </w:tc>
        <w:tc>
          <w:tcPr>
            <w:tcW w:w="3969" w:type="dxa"/>
            <w:vAlign w:val="center"/>
          </w:tcPr>
          <w:p w:rsidR="00A97080" w:rsidRPr="00133E34" w:rsidRDefault="00A97080" w:rsidP="004534CD">
            <w:pPr>
              <w:autoSpaceDE w:val="0"/>
              <w:autoSpaceDN w:val="0"/>
              <w:adjustRightInd w:val="0"/>
              <w:rPr>
                <w:rFonts w:cs="Calibri"/>
                <w:sz w:val="20"/>
                <w:szCs w:val="20"/>
              </w:rPr>
            </w:pPr>
            <w:r w:rsidRPr="00133E34">
              <w:rPr>
                <w:rFonts w:cs="Calibri"/>
                <w:sz w:val="20"/>
                <w:szCs w:val="20"/>
              </w:rPr>
              <w:t>An index of overall PSII inhibition &amp; spectrum of herbicides based on samples from:</w:t>
            </w:r>
          </w:p>
          <w:p w:rsidR="00A97080" w:rsidRPr="00133E34" w:rsidRDefault="00A97080" w:rsidP="004534CD">
            <w:pPr>
              <w:autoSpaceDE w:val="0"/>
              <w:autoSpaceDN w:val="0"/>
              <w:adjustRightInd w:val="0"/>
              <w:rPr>
                <w:rFonts w:cs="Calibri"/>
                <w:sz w:val="20"/>
                <w:szCs w:val="20"/>
              </w:rPr>
            </w:pPr>
            <w:r w:rsidRPr="00133E34">
              <w:rPr>
                <w:rFonts w:cs="Symbol"/>
                <w:sz w:val="20"/>
                <w:szCs w:val="20"/>
              </w:rPr>
              <w:t xml:space="preserve"> </w:t>
            </w:r>
            <w:proofErr w:type="spellStart"/>
            <w:r w:rsidRPr="00133E34">
              <w:rPr>
                <w:rFonts w:cs="Calibri"/>
                <w:sz w:val="20"/>
                <w:szCs w:val="20"/>
              </w:rPr>
              <w:t>Empore</w:t>
            </w:r>
            <w:proofErr w:type="spellEnd"/>
            <w:r w:rsidRPr="00133E34">
              <w:rPr>
                <w:rFonts w:cs="Calibri"/>
                <w:sz w:val="20"/>
                <w:szCs w:val="20"/>
              </w:rPr>
              <w:t xml:space="preserve"> Disk (ED) samplers deployed at all 15 sample sites during the wet and the dry seasons.</w:t>
            </w:r>
          </w:p>
          <w:p w:rsidR="00A97080" w:rsidRPr="00133E34" w:rsidRDefault="00A97080" w:rsidP="004534CD">
            <w:pPr>
              <w:autoSpaceDE w:val="0"/>
              <w:autoSpaceDN w:val="0"/>
              <w:adjustRightInd w:val="0"/>
              <w:rPr>
                <w:rFonts w:cs="Calibri"/>
                <w:sz w:val="20"/>
                <w:szCs w:val="20"/>
              </w:rPr>
            </w:pPr>
            <w:r w:rsidRPr="00133E34">
              <w:rPr>
                <w:rFonts w:cs="Symbol"/>
                <w:sz w:val="20"/>
                <w:szCs w:val="20"/>
              </w:rPr>
              <w:t xml:space="preserve"> </w:t>
            </w:r>
            <w:proofErr w:type="spellStart"/>
            <w:r w:rsidRPr="00133E34">
              <w:rPr>
                <w:rFonts w:cs="Calibri"/>
                <w:sz w:val="20"/>
                <w:szCs w:val="20"/>
              </w:rPr>
              <w:t>Polydimethylsiloxane</w:t>
            </w:r>
            <w:proofErr w:type="spellEnd"/>
            <w:r w:rsidRPr="00133E34">
              <w:rPr>
                <w:rFonts w:cs="Calibri"/>
                <w:sz w:val="20"/>
                <w:szCs w:val="20"/>
              </w:rPr>
              <w:t xml:space="preserve"> (PDMS) samplers deployed at 9 sites in the wet season &amp; at 3 of those</w:t>
            </w:r>
          </w:p>
          <w:p w:rsidR="00A97080" w:rsidRPr="00133E34" w:rsidRDefault="00A97080" w:rsidP="004534CD">
            <w:pPr>
              <w:autoSpaceDE w:val="0"/>
              <w:autoSpaceDN w:val="0"/>
              <w:adjustRightInd w:val="0"/>
              <w:rPr>
                <w:rFonts w:cs="Calibri"/>
                <w:sz w:val="20"/>
                <w:szCs w:val="20"/>
              </w:rPr>
            </w:pPr>
            <w:proofErr w:type="gramStart"/>
            <w:r w:rsidRPr="00133E34">
              <w:rPr>
                <w:rFonts w:cs="Calibri"/>
                <w:sz w:val="20"/>
                <w:szCs w:val="20"/>
              </w:rPr>
              <w:t>sites</w:t>
            </w:r>
            <w:proofErr w:type="gramEnd"/>
            <w:r w:rsidRPr="00133E34">
              <w:rPr>
                <w:rFonts w:cs="Calibri"/>
                <w:sz w:val="20"/>
                <w:szCs w:val="20"/>
              </w:rPr>
              <w:t xml:space="preserve"> in dry season.</w:t>
            </w:r>
          </w:p>
          <w:p w:rsidR="00A97080" w:rsidRPr="00133E34" w:rsidRDefault="00A97080" w:rsidP="004534CD">
            <w:pPr>
              <w:rPr>
                <w:sz w:val="20"/>
                <w:szCs w:val="20"/>
              </w:rPr>
            </w:pPr>
            <w:r w:rsidRPr="00133E34">
              <w:rPr>
                <w:rFonts w:cs="Symbol"/>
                <w:sz w:val="20"/>
                <w:szCs w:val="20"/>
              </w:rPr>
              <w:t xml:space="preserve"> </w:t>
            </w:r>
            <w:r w:rsidRPr="00133E34">
              <w:rPr>
                <w:rFonts w:cs="Calibri"/>
                <w:sz w:val="20"/>
                <w:szCs w:val="20"/>
              </w:rPr>
              <w:t>Semi-permeable membrane devices (SPMD) deployed at 3 of the sites (wet &amp; dry season).</w:t>
            </w:r>
          </w:p>
        </w:tc>
        <w:tc>
          <w:tcPr>
            <w:tcW w:w="2127" w:type="dxa"/>
            <w:vAlign w:val="center"/>
          </w:tcPr>
          <w:p w:rsidR="00A97080" w:rsidRPr="00133E34" w:rsidRDefault="00A97080" w:rsidP="004534CD">
            <w:pPr>
              <w:rPr>
                <w:sz w:val="20"/>
                <w:szCs w:val="20"/>
              </w:rPr>
            </w:pPr>
            <w:r w:rsidRPr="00133E34">
              <w:rPr>
                <w:sz w:val="20"/>
                <w:szCs w:val="20"/>
              </w:rPr>
              <w:t>Hamilton Is, Daydream Is, Pioneer Bay, Pioneer River, Sarina Inlet</w:t>
            </w:r>
          </w:p>
        </w:tc>
        <w:tc>
          <w:tcPr>
            <w:tcW w:w="2977" w:type="dxa"/>
            <w:vAlign w:val="center"/>
          </w:tcPr>
          <w:p w:rsidR="00A97080" w:rsidRPr="00133E34" w:rsidRDefault="00A97080" w:rsidP="004534CD">
            <w:pPr>
              <w:rPr>
                <w:sz w:val="20"/>
                <w:szCs w:val="20"/>
              </w:rPr>
            </w:pPr>
            <w:r w:rsidRPr="00133E34">
              <w:rPr>
                <w:rFonts w:cs="Calibri"/>
                <w:color w:val="0000FF"/>
                <w:sz w:val="20"/>
                <w:szCs w:val="20"/>
              </w:rPr>
              <w:t>http://e-atlas.org.au/rrmmp/gbr-entox-uq-inshore-pesticide-monitoring</w:t>
            </w:r>
          </w:p>
        </w:tc>
      </w:tr>
      <w:tr w:rsidR="00A97080" w:rsidRPr="00133E34" w:rsidTr="004534CD">
        <w:tc>
          <w:tcPr>
            <w:tcW w:w="1535" w:type="dxa"/>
            <w:vAlign w:val="center"/>
          </w:tcPr>
          <w:p w:rsidR="00A97080" w:rsidRPr="00133E34" w:rsidRDefault="00A97080" w:rsidP="004534CD">
            <w:pPr>
              <w:rPr>
                <w:sz w:val="20"/>
                <w:szCs w:val="20"/>
              </w:rPr>
            </w:pPr>
            <w:r w:rsidRPr="00133E34">
              <w:rPr>
                <w:sz w:val="20"/>
                <w:szCs w:val="20"/>
              </w:rPr>
              <w:t>RRMMP – inshore water quality – Ambient water quality Sampling</w:t>
            </w:r>
          </w:p>
        </w:tc>
        <w:tc>
          <w:tcPr>
            <w:tcW w:w="1267" w:type="dxa"/>
            <w:vAlign w:val="center"/>
          </w:tcPr>
          <w:p w:rsidR="00A97080" w:rsidRPr="00133E34" w:rsidRDefault="00A97080" w:rsidP="004534CD">
            <w:pPr>
              <w:rPr>
                <w:sz w:val="20"/>
                <w:szCs w:val="20"/>
              </w:rPr>
            </w:pPr>
            <w:r w:rsidRPr="00133E34">
              <w:rPr>
                <w:sz w:val="20"/>
                <w:szCs w:val="20"/>
              </w:rPr>
              <w:t>AIMS</w:t>
            </w:r>
          </w:p>
        </w:tc>
        <w:tc>
          <w:tcPr>
            <w:tcW w:w="2126" w:type="dxa"/>
            <w:vAlign w:val="center"/>
          </w:tcPr>
          <w:p w:rsidR="00A97080" w:rsidRPr="00133E34" w:rsidRDefault="00A97080" w:rsidP="004534CD">
            <w:pPr>
              <w:autoSpaceDE w:val="0"/>
              <w:autoSpaceDN w:val="0"/>
              <w:adjustRightInd w:val="0"/>
              <w:rPr>
                <w:sz w:val="20"/>
                <w:szCs w:val="20"/>
              </w:rPr>
            </w:pPr>
            <w:r w:rsidRPr="00133E34">
              <w:rPr>
                <w:rFonts w:cs="Calibri"/>
                <w:sz w:val="20"/>
                <w:szCs w:val="20"/>
              </w:rPr>
              <w:t>To determine the status of marine water quality in coastal and inshore regions of the GBR lagoon and assess long-term trends in water quality on the Great Barrier Reef.</w:t>
            </w:r>
          </w:p>
        </w:tc>
        <w:tc>
          <w:tcPr>
            <w:tcW w:w="3969" w:type="dxa"/>
            <w:vAlign w:val="center"/>
          </w:tcPr>
          <w:p w:rsidR="00A97080" w:rsidRPr="00133E34" w:rsidRDefault="00A97080" w:rsidP="004534CD">
            <w:pPr>
              <w:autoSpaceDE w:val="0"/>
              <w:autoSpaceDN w:val="0"/>
              <w:adjustRightInd w:val="0"/>
              <w:ind w:left="175" w:hanging="175"/>
              <w:rPr>
                <w:rFonts w:cs="Calibri"/>
                <w:sz w:val="20"/>
                <w:szCs w:val="20"/>
              </w:rPr>
            </w:pPr>
            <w:r w:rsidRPr="00133E34">
              <w:rPr>
                <w:rFonts w:cs="Calibri"/>
                <w:sz w:val="20"/>
                <w:szCs w:val="20"/>
              </w:rPr>
              <w:t>• ammonium= NH4</w:t>
            </w:r>
          </w:p>
          <w:p w:rsidR="00A97080" w:rsidRPr="00133E34" w:rsidRDefault="00A97080" w:rsidP="004534CD">
            <w:pPr>
              <w:autoSpaceDE w:val="0"/>
              <w:autoSpaceDN w:val="0"/>
              <w:adjustRightInd w:val="0"/>
              <w:ind w:left="175" w:hanging="175"/>
              <w:rPr>
                <w:rFonts w:cs="Calibri"/>
                <w:sz w:val="20"/>
                <w:szCs w:val="20"/>
              </w:rPr>
            </w:pPr>
            <w:r w:rsidRPr="00133E34">
              <w:rPr>
                <w:rFonts w:cs="Calibri"/>
                <w:sz w:val="20"/>
                <w:szCs w:val="20"/>
              </w:rPr>
              <w:t>• nitrite= NO2</w:t>
            </w:r>
          </w:p>
          <w:p w:rsidR="00A97080" w:rsidRPr="00133E34" w:rsidRDefault="00A97080" w:rsidP="004534CD">
            <w:pPr>
              <w:autoSpaceDE w:val="0"/>
              <w:autoSpaceDN w:val="0"/>
              <w:adjustRightInd w:val="0"/>
              <w:ind w:left="175" w:hanging="175"/>
              <w:rPr>
                <w:rFonts w:cs="Calibri"/>
                <w:sz w:val="20"/>
                <w:szCs w:val="20"/>
              </w:rPr>
            </w:pPr>
            <w:r w:rsidRPr="00133E34">
              <w:rPr>
                <w:rFonts w:cs="Calibri"/>
                <w:sz w:val="20"/>
                <w:szCs w:val="20"/>
              </w:rPr>
              <w:t>• nitrate= NO3</w:t>
            </w:r>
          </w:p>
          <w:p w:rsidR="00A97080" w:rsidRPr="00133E34" w:rsidRDefault="00A97080" w:rsidP="004534CD">
            <w:pPr>
              <w:autoSpaceDE w:val="0"/>
              <w:autoSpaceDN w:val="0"/>
              <w:adjustRightInd w:val="0"/>
              <w:ind w:left="175" w:hanging="175"/>
              <w:rPr>
                <w:rFonts w:cs="Calibri"/>
                <w:sz w:val="20"/>
                <w:szCs w:val="20"/>
              </w:rPr>
            </w:pPr>
            <w:r w:rsidRPr="00133E34">
              <w:rPr>
                <w:rFonts w:cs="Calibri"/>
                <w:sz w:val="20"/>
                <w:szCs w:val="20"/>
              </w:rPr>
              <w:t>• phosphate /filterable reactive phosphorus=PO4</w:t>
            </w:r>
          </w:p>
          <w:p w:rsidR="00A97080" w:rsidRPr="00133E34" w:rsidRDefault="00A97080" w:rsidP="004534CD">
            <w:pPr>
              <w:autoSpaceDE w:val="0"/>
              <w:autoSpaceDN w:val="0"/>
              <w:adjustRightInd w:val="0"/>
              <w:ind w:left="175" w:hanging="175"/>
              <w:rPr>
                <w:rFonts w:cs="Calibri"/>
                <w:sz w:val="20"/>
                <w:szCs w:val="20"/>
              </w:rPr>
            </w:pPr>
            <w:r w:rsidRPr="00133E34">
              <w:rPr>
                <w:rFonts w:cs="Calibri"/>
                <w:sz w:val="20"/>
                <w:szCs w:val="20"/>
              </w:rPr>
              <w:t>• silicate/filterable reactive silicon= Si(OH)4</w:t>
            </w:r>
          </w:p>
          <w:p w:rsidR="00A97080" w:rsidRPr="00133E34" w:rsidRDefault="00A97080" w:rsidP="004534CD">
            <w:pPr>
              <w:autoSpaceDE w:val="0"/>
              <w:autoSpaceDN w:val="0"/>
              <w:adjustRightInd w:val="0"/>
              <w:ind w:left="175" w:hanging="175"/>
              <w:rPr>
                <w:rFonts w:cs="Calibri"/>
                <w:sz w:val="20"/>
                <w:szCs w:val="20"/>
              </w:rPr>
            </w:pPr>
            <w:r w:rsidRPr="00133E34">
              <w:rPr>
                <w:rFonts w:cs="Calibri"/>
                <w:sz w:val="20"/>
                <w:szCs w:val="20"/>
              </w:rPr>
              <w:t>• dissolved organic nitrogen=DON</w:t>
            </w:r>
          </w:p>
          <w:p w:rsidR="00A97080" w:rsidRPr="00133E34" w:rsidRDefault="00A97080" w:rsidP="004534CD">
            <w:pPr>
              <w:autoSpaceDE w:val="0"/>
              <w:autoSpaceDN w:val="0"/>
              <w:adjustRightInd w:val="0"/>
              <w:ind w:left="175" w:hanging="175"/>
              <w:rPr>
                <w:rFonts w:cs="Calibri"/>
                <w:sz w:val="20"/>
                <w:szCs w:val="20"/>
              </w:rPr>
            </w:pPr>
            <w:r w:rsidRPr="00133E34">
              <w:rPr>
                <w:rFonts w:cs="Calibri"/>
                <w:sz w:val="20"/>
                <w:szCs w:val="20"/>
              </w:rPr>
              <w:t>• dissolved organic phosphorus= DOP</w:t>
            </w:r>
          </w:p>
          <w:p w:rsidR="00A97080" w:rsidRPr="00133E34" w:rsidRDefault="00A97080" w:rsidP="004534CD">
            <w:pPr>
              <w:autoSpaceDE w:val="0"/>
              <w:autoSpaceDN w:val="0"/>
              <w:adjustRightInd w:val="0"/>
              <w:ind w:left="175" w:hanging="175"/>
              <w:rPr>
                <w:rFonts w:cs="Calibri"/>
                <w:sz w:val="20"/>
                <w:szCs w:val="20"/>
              </w:rPr>
            </w:pPr>
            <w:r w:rsidRPr="00133E34">
              <w:rPr>
                <w:rFonts w:cs="Calibri"/>
                <w:sz w:val="20"/>
                <w:szCs w:val="20"/>
              </w:rPr>
              <w:t>• dissolved organic carbon= DOC</w:t>
            </w:r>
          </w:p>
          <w:p w:rsidR="00A97080" w:rsidRPr="00133E34" w:rsidRDefault="00A97080" w:rsidP="004534CD">
            <w:pPr>
              <w:autoSpaceDE w:val="0"/>
              <w:autoSpaceDN w:val="0"/>
              <w:adjustRightInd w:val="0"/>
              <w:ind w:left="175" w:hanging="175"/>
              <w:rPr>
                <w:rFonts w:cs="Calibri"/>
                <w:sz w:val="20"/>
                <w:szCs w:val="20"/>
              </w:rPr>
            </w:pPr>
            <w:r w:rsidRPr="00133E34">
              <w:rPr>
                <w:rFonts w:cs="Calibri"/>
                <w:sz w:val="20"/>
                <w:szCs w:val="20"/>
              </w:rPr>
              <w:t>• particulate organic nitrogen= PN</w:t>
            </w:r>
          </w:p>
          <w:p w:rsidR="00A97080" w:rsidRPr="00133E34" w:rsidRDefault="00A97080" w:rsidP="004534CD">
            <w:pPr>
              <w:autoSpaceDE w:val="0"/>
              <w:autoSpaceDN w:val="0"/>
              <w:adjustRightInd w:val="0"/>
              <w:ind w:left="175" w:hanging="175"/>
              <w:rPr>
                <w:rFonts w:cs="Calibri"/>
                <w:sz w:val="20"/>
                <w:szCs w:val="20"/>
              </w:rPr>
            </w:pPr>
            <w:r w:rsidRPr="00133E34">
              <w:rPr>
                <w:rFonts w:cs="Calibri"/>
                <w:sz w:val="20"/>
                <w:szCs w:val="20"/>
              </w:rPr>
              <w:t>• particulate phosphorus = PP</w:t>
            </w:r>
          </w:p>
          <w:p w:rsidR="00A97080" w:rsidRPr="00133E34" w:rsidRDefault="00A97080" w:rsidP="004534CD">
            <w:pPr>
              <w:autoSpaceDE w:val="0"/>
              <w:autoSpaceDN w:val="0"/>
              <w:adjustRightInd w:val="0"/>
              <w:ind w:left="175" w:hanging="175"/>
              <w:rPr>
                <w:rFonts w:cs="Calibri"/>
                <w:sz w:val="20"/>
                <w:szCs w:val="20"/>
              </w:rPr>
            </w:pPr>
            <w:r w:rsidRPr="00133E34">
              <w:rPr>
                <w:rFonts w:cs="Calibri"/>
                <w:sz w:val="20"/>
                <w:szCs w:val="20"/>
              </w:rPr>
              <w:t>• particulate organic carbon= PO</w:t>
            </w:r>
          </w:p>
          <w:p w:rsidR="00A97080" w:rsidRPr="00133E34" w:rsidRDefault="00A97080" w:rsidP="004534CD">
            <w:pPr>
              <w:autoSpaceDE w:val="0"/>
              <w:autoSpaceDN w:val="0"/>
              <w:adjustRightInd w:val="0"/>
              <w:ind w:left="175" w:hanging="175"/>
              <w:rPr>
                <w:rFonts w:cs="Calibri"/>
                <w:sz w:val="20"/>
                <w:szCs w:val="20"/>
              </w:rPr>
            </w:pPr>
            <w:r w:rsidRPr="00133E34">
              <w:rPr>
                <w:rFonts w:cs="Calibri"/>
                <w:sz w:val="20"/>
                <w:szCs w:val="20"/>
              </w:rPr>
              <w:t>• suspended solids (SS)</w:t>
            </w:r>
          </w:p>
          <w:p w:rsidR="00A97080" w:rsidRPr="00133E34" w:rsidRDefault="00A97080" w:rsidP="004534CD">
            <w:pPr>
              <w:autoSpaceDE w:val="0"/>
              <w:autoSpaceDN w:val="0"/>
              <w:adjustRightInd w:val="0"/>
              <w:ind w:left="175" w:hanging="175"/>
              <w:rPr>
                <w:rFonts w:cs="Calibri"/>
                <w:sz w:val="20"/>
                <w:szCs w:val="20"/>
              </w:rPr>
            </w:pPr>
            <w:r w:rsidRPr="00133E34">
              <w:rPr>
                <w:rFonts w:cs="Calibri"/>
                <w:sz w:val="20"/>
                <w:szCs w:val="20"/>
              </w:rPr>
              <w:t>• chlorophyll a</w:t>
            </w:r>
          </w:p>
          <w:p w:rsidR="00A97080" w:rsidRPr="00133E34" w:rsidRDefault="00A97080" w:rsidP="004534CD">
            <w:pPr>
              <w:autoSpaceDE w:val="0"/>
              <w:autoSpaceDN w:val="0"/>
              <w:adjustRightInd w:val="0"/>
              <w:ind w:left="175" w:hanging="175"/>
              <w:rPr>
                <w:sz w:val="20"/>
                <w:szCs w:val="20"/>
              </w:rPr>
            </w:pPr>
            <w:r w:rsidRPr="00133E34">
              <w:rPr>
                <w:rFonts w:cs="Calibri"/>
                <w:sz w:val="20"/>
                <w:szCs w:val="20"/>
              </w:rPr>
              <w:t>In situ loggers record chlorophyll fluorescence, turbidity and temperature.</w:t>
            </w:r>
          </w:p>
        </w:tc>
        <w:tc>
          <w:tcPr>
            <w:tcW w:w="2127" w:type="dxa"/>
            <w:vAlign w:val="center"/>
          </w:tcPr>
          <w:p w:rsidR="00A97080" w:rsidRPr="00133E34" w:rsidRDefault="00A97080" w:rsidP="004534CD">
            <w:pPr>
              <w:rPr>
                <w:sz w:val="20"/>
                <w:szCs w:val="20"/>
              </w:rPr>
            </w:pPr>
            <w:r w:rsidRPr="00133E34">
              <w:rPr>
                <w:sz w:val="20"/>
                <w:szCs w:val="20"/>
              </w:rPr>
              <w:t>Sites at Daydream Is, Double Cone Is and Pine Is</w:t>
            </w:r>
          </w:p>
        </w:tc>
        <w:tc>
          <w:tcPr>
            <w:tcW w:w="2977" w:type="dxa"/>
            <w:vAlign w:val="center"/>
          </w:tcPr>
          <w:p w:rsidR="00A97080" w:rsidRPr="00133E34" w:rsidRDefault="00FB3343" w:rsidP="004534CD">
            <w:pPr>
              <w:rPr>
                <w:sz w:val="20"/>
                <w:szCs w:val="20"/>
              </w:rPr>
            </w:pPr>
            <w:hyperlink r:id="rId95" w:history="1">
              <w:r w:rsidR="00A97080" w:rsidRPr="00133E34">
                <w:rPr>
                  <w:rStyle w:val="Hyperlink"/>
                  <w:sz w:val="20"/>
                  <w:szCs w:val="20"/>
                </w:rPr>
                <w:t>http://www.gbrmpa.gov.au/managing-the-reef/how-the-reefs-managed/reef-2050-marine-monitoring-program/water-quality-monitoring</w:t>
              </w:r>
            </w:hyperlink>
            <w:r w:rsidR="00A97080" w:rsidRPr="00133E34">
              <w:rPr>
                <w:sz w:val="20"/>
                <w:szCs w:val="20"/>
              </w:rPr>
              <w:t xml:space="preserve"> </w:t>
            </w:r>
          </w:p>
        </w:tc>
      </w:tr>
      <w:tr w:rsidR="00A97080" w:rsidRPr="00133E34" w:rsidTr="004534CD">
        <w:tc>
          <w:tcPr>
            <w:tcW w:w="1535" w:type="dxa"/>
            <w:vAlign w:val="center"/>
          </w:tcPr>
          <w:p w:rsidR="00A97080" w:rsidRPr="00133E34" w:rsidRDefault="00A97080" w:rsidP="004534CD">
            <w:pPr>
              <w:rPr>
                <w:sz w:val="20"/>
                <w:szCs w:val="20"/>
              </w:rPr>
            </w:pPr>
            <w:r w:rsidRPr="00133E34">
              <w:rPr>
                <w:sz w:val="20"/>
                <w:szCs w:val="20"/>
              </w:rPr>
              <w:t xml:space="preserve">RRMMP – </w:t>
            </w:r>
            <w:r w:rsidRPr="00133E34">
              <w:rPr>
                <w:sz w:val="20"/>
                <w:szCs w:val="20"/>
              </w:rPr>
              <w:lastRenderedPageBreak/>
              <w:t>Inshore</w:t>
            </w:r>
          </w:p>
          <w:p w:rsidR="00A97080" w:rsidRPr="00133E34" w:rsidRDefault="00A97080" w:rsidP="004534CD">
            <w:pPr>
              <w:rPr>
                <w:sz w:val="20"/>
                <w:szCs w:val="20"/>
              </w:rPr>
            </w:pPr>
            <w:r w:rsidRPr="00133E34">
              <w:rPr>
                <w:sz w:val="20"/>
                <w:szCs w:val="20"/>
              </w:rPr>
              <w:t>Water Quality Monitoring – Flood Sampling</w:t>
            </w:r>
          </w:p>
        </w:tc>
        <w:tc>
          <w:tcPr>
            <w:tcW w:w="1267" w:type="dxa"/>
            <w:vAlign w:val="center"/>
          </w:tcPr>
          <w:p w:rsidR="00A97080" w:rsidRPr="00133E34" w:rsidRDefault="00A97080" w:rsidP="004534CD">
            <w:pPr>
              <w:rPr>
                <w:sz w:val="20"/>
                <w:szCs w:val="20"/>
              </w:rPr>
            </w:pPr>
            <w:r w:rsidRPr="00133E34">
              <w:rPr>
                <w:sz w:val="20"/>
                <w:szCs w:val="20"/>
              </w:rPr>
              <w:lastRenderedPageBreak/>
              <w:t>JCU-</w:t>
            </w:r>
            <w:proofErr w:type="spellStart"/>
            <w:r w:rsidRPr="00133E34">
              <w:rPr>
                <w:sz w:val="20"/>
                <w:szCs w:val="20"/>
              </w:rPr>
              <w:lastRenderedPageBreak/>
              <w:t>Tropwater</w:t>
            </w:r>
            <w:proofErr w:type="spellEnd"/>
          </w:p>
        </w:tc>
        <w:tc>
          <w:tcPr>
            <w:tcW w:w="2126" w:type="dxa"/>
            <w:vAlign w:val="center"/>
          </w:tcPr>
          <w:p w:rsidR="00A97080" w:rsidRPr="00133E34" w:rsidRDefault="00A97080" w:rsidP="004534CD">
            <w:pPr>
              <w:rPr>
                <w:sz w:val="20"/>
                <w:szCs w:val="20"/>
              </w:rPr>
            </w:pPr>
            <w:r w:rsidRPr="00133E34">
              <w:rPr>
                <w:rFonts w:cs="Calibri"/>
                <w:sz w:val="20"/>
                <w:szCs w:val="20"/>
              </w:rPr>
              <w:lastRenderedPageBreak/>
              <w:t xml:space="preserve">To better understand </w:t>
            </w:r>
            <w:r w:rsidRPr="00133E34">
              <w:rPr>
                <w:rFonts w:cs="Calibri"/>
                <w:sz w:val="20"/>
                <w:szCs w:val="20"/>
              </w:rPr>
              <w:lastRenderedPageBreak/>
              <w:t>how extreme weather events affect water quality conditions in the GBR.</w:t>
            </w:r>
          </w:p>
        </w:tc>
        <w:tc>
          <w:tcPr>
            <w:tcW w:w="3969" w:type="dxa"/>
            <w:vAlign w:val="center"/>
          </w:tcPr>
          <w:p w:rsidR="00A97080" w:rsidRPr="00133E34" w:rsidRDefault="00A97080" w:rsidP="004534CD">
            <w:pPr>
              <w:rPr>
                <w:sz w:val="20"/>
                <w:szCs w:val="20"/>
              </w:rPr>
            </w:pPr>
            <w:r w:rsidRPr="00133E34">
              <w:rPr>
                <w:sz w:val="20"/>
                <w:szCs w:val="20"/>
              </w:rPr>
              <w:lastRenderedPageBreak/>
              <w:t>Opportunistic</w:t>
            </w:r>
          </w:p>
        </w:tc>
        <w:tc>
          <w:tcPr>
            <w:tcW w:w="2127" w:type="dxa"/>
            <w:vAlign w:val="center"/>
          </w:tcPr>
          <w:p w:rsidR="00A97080" w:rsidRPr="00133E34" w:rsidRDefault="00A97080" w:rsidP="004534CD">
            <w:pPr>
              <w:rPr>
                <w:sz w:val="20"/>
                <w:szCs w:val="20"/>
              </w:rPr>
            </w:pPr>
            <w:r w:rsidRPr="00133E34">
              <w:rPr>
                <w:sz w:val="20"/>
                <w:szCs w:val="20"/>
              </w:rPr>
              <w:t>Opportunistic</w:t>
            </w:r>
          </w:p>
        </w:tc>
        <w:tc>
          <w:tcPr>
            <w:tcW w:w="2977" w:type="dxa"/>
            <w:vAlign w:val="center"/>
          </w:tcPr>
          <w:p w:rsidR="00A97080" w:rsidRPr="00133E34" w:rsidRDefault="00A97080" w:rsidP="004534CD">
            <w:pPr>
              <w:rPr>
                <w:sz w:val="20"/>
                <w:szCs w:val="20"/>
              </w:rPr>
            </w:pPr>
            <w:r w:rsidRPr="00133E34">
              <w:rPr>
                <w:rFonts w:cs="Calibri"/>
                <w:color w:val="0000FF"/>
                <w:sz w:val="20"/>
                <w:szCs w:val="20"/>
              </w:rPr>
              <w:t>http://e-atlas.org.au/rrmmp/gbr-</w:t>
            </w:r>
            <w:r w:rsidRPr="00133E34">
              <w:rPr>
                <w:rFonts w:cs="Calibri"/>
                <w:color w:val="0000FF"/>
                <w:sz w:val="20"/>
                <w:szCs w:val="20"/>
              </w:rPr>
              <w:lastRenderedPageBreak/>
              <w:t>actrf-jcu-terrestrial-run-off</w:t>
            </w:r>
          </w:p>
        </w:tc>
      </w:tr>
      <w:tr w:rsidR="00A97080" w:rsidRPr="00133E34" w:rsidTr="004534CD">
        <w:tc>
          <w:tcPr>
            <w:tcW w:w="1535" w:type="dxa"/>
            <w:vAlign w:val="center"/>
          </w:tcPr>
          <w:p w:rsidR="00A97080" w:rsidRPr="00133E34" w:rsidRDefault="00A97080" w:rsidP="004534CD">
            <w:pPr>
              <w:rPr>
                <w:sz w:val="20"/>
                <w:szCs w:val="20"/>
              </w:rPr>
            </w:pPr>
            <w:r w:rsidRPr="00133E34">
              <w:rPr>
                <w:sz w:val="20"/>
                <w:szCs w:val="20"/>
              </w:rPr>
              <w:lastRenderedPageBreak/>
              <w:t>RRMMP –using</w:t>
            </w:r>
          </w:p>
          <w:p w:rsidR="00A97080" w:rsidRPr="00133E34" w:rsidRDefault="00A97080" w:rsidP="004534CD">
            <w:pPr>
              <w:rPr>
                <w:sz w:val="20"/>
                <w:szCs w:val="20"/>
              </w:rPr>
            </w:pPr>
            <w:r w:rsidRPr="00133E34">
              <w:rPr>
                <w:sz w:val="20"/>
                <w:szCs w:val="20"/>
              </w:rPr>
              <w:t>Remote Sensing for GBR wide water quality</w:t>
            </w:r>
          </w:p>
        </w:tc>
        <w:tc>
          <w:tcPr>
            <w:tcW w:w="1267" w:type="dxa"/>
            <w:vAlign w:val="center"/>
          </w:tcPr>
          <w:p w:rsidR="00A97080" w:rsidRPr="00133E34" w:rsidRDefault="00A97080" w:rsidP="004534CD">
            <w:pPr>
              <w:rPr>
                <w:sz w:val="20"/>
                <w:szCs w:val="20"/>
              </w:rPr>
            </w:pPr>
            <w:r w:rsidRPr="00133E34">
              <w:rPr>
                <w:sz w:val="20"/>
                <w:szCs w:val="20"/>
              </w:rPr>
              <w:t>CSIRO L&amp;W</w:t>
            </w:r>
          </w:p>
        </w:tc>
        <w:tc>
          <w:tcPr>
            <w:tcW w:w="2126" w:type="dxa"/>
            <w:vAlign w:val="center"/>
          </w:tcPr>
          <w:p w:rsidR="00A97080" w:rsidRPr="00133E34" w:rsidRDefault="00A97080" w:rsidP="004534CD">
            <w:pPr>
              <w:autoSpaceDE w:val="0"/>
              <w:autoSpaceDN w:val="0"/>
              <w:adjustRightInd w:val="0"/>
              <w:rPr>
                <w:rFonts w:cs="Calibri"/>
                <w:sz w:val="20"/>
                <w:szCs w:val="20"/>
              </w:rPr>
            </w:pPr>
            <w:r w:rsidRPr="00133E34">
              <w:rPr>
                <w:rFonts w:cs="Calibri"/>
                <w:sz w:val="20"/>
                <w:szCs w:val="20"/>
              </w:rPr>
              <w:t>To develop and apply techniques for large-scale monitoring of coastal water quality; to estimate the</w:t>
            </w:r>
          </w:p>
          <w:p w:rsidR="00A97080" w:rsidRPr="00133E34" w:rsidRDefault="00A97080" w:rsidP="004534CD">
            <w:pPr>
              <w:rPr>
                <w:sz w:val="20"/>
                <w:szCs w:val="20"/>
              </w:rPr>
            </w:pPr>
            <w:r w:rsidRPr="00133E34">
              <w:rPr>
                <w:rFonts w:cs="Calibri"/>
                <w:sz w:val="20"/>
                <w:szCs w:val="20"/>
              </w:rPr>
              <w:t>extent of flood plumes</w:t>
            </w:r>
          </w:p>
        </w:tc>
        <w:tc>
          <w:tcPr>
            <w:tcW w:w="3969" w:type="dxa"/>
            <w:vAlign w:val="center"/>
          </w:tcPr>
          <w:p w:rsidR="00A97080" w:rsidRPr="00133E34" w:rsidRDefault="00A97080" w:rsidP="004534CD">
            <w:pPr>
              <w:autoSpaceDE w:val="0"/>
              <w:autoSpaceDN w:val="0"/>
              <w:adjustRightInd w:val="0"/>
              <w:rPr>
                <w:sz w:val="20"/>
                <w:szCs w:val="20"/>
              </w:rPr>
            </w:pPr>
            <w:r w:rsidRPr="00133E34">
              <w:rPr>
                <w:rFonts w:cs="Calibri"/>
                <w:sz w:val="20"/>
                <w:szCs w:val="20"/>
              </w:rPr>
              <w:t xml:space="preserve">MODIS Aqua ocean </w:t>
            </w:r>
            <w:proofErr w:type="spellStart"/>
            <w:r w:rsidRPr="00133E34">
              <w:rPr>
                <w:rFonts w:cs="Calibri"/>
                <w:sz w:val="20"/>
                <w:szCs w:val="20"/>
              </w:rPr>
              <w:t>colour</w:t>
            </w:r>
            <w:proofErr w:type="spellEnd"/>
            <w:r w:rsidRPr="00133E34">
              <w:rPr>
                <w:rFonts w:cs="Calibri"/>
                <w:sz w:val="20"/>
                <w:szCs w:val="20"/>
              </w:rPr>
              <w:t xml:space="preserve"> imagery used to derive spatial and temporal information on near-surface concentrations of suspended solids (as non-algal particulate matter), turbidity (as vertical attenuation of light coefficients </w:t>
            </w:r>
            <w:proofErr w:type="spellStart"/>
            <w:r w:rsidRPr="00133E34">
              <w:rPr>
                <w:rFonts w:cs="Calibri"/>
                <w:sz w:val="20"/>
                <w:szCs w:val="20"/>
              </w:rPr>
              <w:t>Kd</w:t>
            </w:r>
            <w:proofErr w:type="spellEnd"/>
            <w:r w:rsidRPr="00133E34">
              <w:rPr>
                <w:rFonts w:cs="Calibri"/>
                <w:sz w:val="20"/>
                <w:szCs w:val="20"/>
              </w:rPr>
              <w:t xml:space="preserve">), chlorophyll a, and </w:t>
            </w:r>
            <w:proofErr w:type="spellStart"/>
            <w:r w:rsidRPr="00133E34">
              <w:rPr>
                <w:rFonts w:cs="Calibri"/>
                <w:sz w:val="20"/>
                <w:szCs w:val="20"/>
              </w:rPr>
              <w:t>coloured</w:t>
            </w:r>
            <w:proofErr w:type="spellEnd"/>
            <w:r w:rsidRPr="00133E34">
              <w:rPr>
                <w:rFonts w:cs="Calibri"/>
                <w:sz w:val="20"/>
                <w:szCs w:val="20"/>
              </w:rPr>
              <w:t xml:space="preserve"> dissolved organic matter (CDOM)</w:t>
            </w:r>
          </w:p>
        </w:tc>
        <w:tc>
          <w:tcPr>
            <w:tcW w:w="2127" w:type="dxa"/>
            <w:vAlign w:val="center"/>
          </w:tcPr>
          <w:p w:rsidR="00A97080" w:rsidRPr="00133E34" w:rsidRDefault="00A97080" w:rsidP="004534CD">
            <w:pPr>
              <w:rPr>
                <w:sz w:val="20"/>
                <w:szCs w:val="20"/>
              </w:rPr>
            </w:pPr>
            <w:r w:rsidRPr="00133E34">
              <w:rPr>
                <w:sz w:val="20"/>
                <w:szCs w:val="20"/>
              </w:rPr>
              <w:t>Continuous GBR-wide</w:t>
            </w:r>
          </w:p>
        </w:tc>
        <w:tc>
          <w:tcPr>
            <w:tcW w:w="2977" w:type="dxa"/>
            <w:vAlign w:val="center"/>
          </w:tcPr>
          <w:p w:rsidR="00A97080" w:rsidRPr="00133E34" w:rsidRDefault="00A97080" w:rsidP="004534CD">
            <w:pPr>
              <w:rPr>
                <w:sz w:val="20"/>
                <w:szCs w:val="20"/>
              </w:rPr>
            </w:pPr>
            <w:r w:rsidRPr="00133E34">
              <w:rPr>
                <w:rFonts w:cs="Calibri"/>
                <w:color w:val="0000FF"/>
                <w:sz w:val="20"/>
                <w:szCs w:val="20"/>
              </w:rPr>
              <w:t>http://e-atlas.org.au/rrmmp/gbr-csiro-remote-sensing-wq</w:t>
            </w:r>
          </w:p>
        </w:tc>
      </w:tr>
      <w:tr w:rsidR="00A97080" w:rsidRPr="00133E34" w:rsidTr="004534CD">
        <w:tc>
          <w:tcPr>
            <w:tcW w:w="1535" w:type="dxa"/>
            <w:vAlign w:val="center"/>
          </w:tcPr>
          <w:p w:rsidR="00A97080" w:rsidRPr="00133E34" w:rsidRDefault="00A97080" w:rsidP="004534CD">
            <w:pPr>
              <w:rPr>
                <w:sz w:val="20"/>
                <w:szCs w:val="20"/>
              </w:rPr>
            </w:pPr>
            <w:r w:rsidRPr="00133E34">
              <w:rPr>
                <w:sz w:val="20"/>
                <w:szCs w:val="20"/>
              </w:rPr>
              <w:t>Flood-plume monitoring</w:t>
            </w:r>
          </w:p>
        </w:tc>
        <w:tc>
          <w:tcPr>
            <w:tcW w:w="1267" w:type="dxa"/>
            <w:vAlign w:val="center"/>
          </w:tcPr>
          <w:p w:rsidR="00A97080" w:rsidRPr="00133E34" w:rsidRDefault="00A97080" w:rsidP="004534CD">
            <w:pPr>
              <w:rPr>
                <w:sz w:val="20"/>
                <w:szCs w:val="20"/>
              </w:rPr>
            </w:pPr>
            <w:r w:rsidRPr="00133E34">
              <w:rPr>
                <w:sz w:val="20"/>
                <w:szCs w:val="20"/>
              </w:rPr>
              <w:t>JCU-</w:t>
            </w:r>
            <w:proofErr w:type="spellStart"/>
            <w:r w:rsidRPr="00133E34">
              <w:rPr>
                <w:sz w:val="20"/>
                <w:szCs w:val="20"/>
              </w:rPr>
              <w:t>Tropwater</w:t>
            </w:r>
            <w:proofErr w:type="spellEnd"/>
          </w:p>
        </w:tc>
        <w:tc>
          <w:tcPr>
            <w:tcW w:w="2126" w:type="dxa"/>
            <w:vAlign w:val="center"/>
          </w:tcPr>
          <w:p w:rsidR="00A97080" w:rsidRPr="00133E34" w:rsidRDefault="00A97080" w:rsidP="004534CD">
            <w:pPr>
              <w:rPr>
                <w:sz w:val="20"/>
                <w:szCs w:val="20"/>
              </w:rPr>
            </w:pPr>
          </w:p>
        </w:tc>
        <w:tc>
          <w:tcPr>
            <w:tcW w:w="3969" w:type="dxa"/>
            <w:vAlign w:val="center"/>
          </w:tcPr>
          <w:p w:rsidR="00A97080" w:rsidRPr="00133E34" w:rsidRDefault="00A97080" w:rsidP="004534CD">
            <w:pPr>
              <w:rPr>
                <w:sz w:val="20"/>
                <w:szCs w:val="20"/>
              </w:rPr>
            </w:pPr>
          </w:p>
        </w:tc>
        <w:tc>
          <w:tcPr>
            <w:tcW w:w="2127" w:type="dxa"/>
            <w:vAlign w:val="center"/>
          </w:tcPr>
          <w:p w:rsidR="00A97080" w:rsidRPr="00133E34" w:rsidRDefault="00A97080" w:rsidP="004534CD">
            <w:pPr>
              <w:rPr>
                <w:sz w:val="20"/>
                <w:szCs w:val="20"/>
              </w:rPr>
            </w:pPr>
          </w:p>
        </w:tc>
        <w:tc>
          <w:tcPr>
            <w:tcW w:w="2977" w:type="dxa"/>
            <w:vAlign w:val="center"/>
          </w:tcPr>
          <w:p w:rsidR="00A97080" w:rsidRPr="00133E34" w:rsidRDefault="00A97080" w:rsidP="004534CD">
            <w:pPr>
              <w:rPr>
                <w:sz w:val="20"/>
                <w:szCs w:val="20"/>
              </w:rPr>
            </w:pPr>
          </w:p>
        </w:tc>
      </w:tr>
      <w:tr w:rsidR="00A97080" w:rsidRPr="00133E34" w:rsidTr="004534CD">
        <w:tc>
          <w:tcPr>
            <w:tcW w:w="1535" w:type="dxa"/>
            <w:vAlign w:val="center"/>
          </w:tcPr>
          <w:p w:rsidR="00A97080" w:rsidRPr="00133E34" w:rsidRDefault="00A97080" w:rsidP="004534CD">
            <w:pPr>
              <w:rPr>
                <w:sz w:val="20"/>
                <w:szCs w:val="20"/>
              </w:rPr>
            </w:pPr>
            <w:r w:rsidRPr="00133E34">
              <w:rPr>
                <w:sz w:val="20"/>
                <w:szCs w:val="20"/>
              </w:rPr>
              <w:t>Integrated Eye on the Reef (</w:t>
            </w:r>
            <w:proofErr w:type="spellStart"/>
            <w:r w:rsidRPr="00133E34">
              <w:rPr>
                <w:sz w:val="20"/>
                <w:szCs w:val="20"/>
              </w:rPr>
              <w:t>iEotR</w:t>
            </w:r>
            <w:proofErr w:type="spellEnd"/>
            <w:r w:rsidRPr="00133E34">
              <w:rPr>
                <w:sz w:val="20"/>
                <w:szCs w:val="20"/>
              </w:rPr>
              <w:t>) –Sightings network</w:t>
            </w:r>
          </w:p>
        </w:tc>
        <w:tc>
          <w:tcPr>
            <w:tcW w:w="1267" w:type="dxa"/>
            <w:vAlign w:val="center"/>
          </w:tcPr>
          <w:p w:rsidR="00A97080" w:rsidRPr="00133E34" w:rsidRDefault="00A97080" w:rsidP="004534CD">
            <w:pPr>
              <w:rPr>
                <w:sz w:val="20"/>
                <w:szCs w:val="20"/>
              </w:rPr>
            </w:pPr>
            <w:r w:rsidRPr="00133E34">
              <w:rPr>
                <w:sz w:val="20"/>
                <w:szCs w:val="20"/>
              </w:rPr>
              <w:t>GBRMPA</w:t>
            </w:r>
          </w:p>
        </w:tc>
        <w:tc>
          <w:tcPr>
            <w:tcW w:w="2126" w:type="dxa"/>
            <w:vAlign w:val="center"/>
          </w:tcPr>
          <w:p w:rsidR="00A97080" w:rsidRPr="00133E34" w:rsidRDefault="00A97080" w:rsidP="004534CD">
            <w:pPr>
              <w:autoSpaceDE w:val="0"/>
              <w:autoSpaceDN w:val="0"/>
              <w:adjustRightInd w:val="0"/>
              <w:rPr>
                <w:sz w:val="20"/>
                <w:szCs w:val="20"/>
              </w:rPr>
            </w:pPr>
            <w:r w:rsidRPr="00133E34">
              <w:rPr>
                <w:rFonts w:cs="Calibri"/>
                <w:sz w:val="20"/>
                <w:szCs w:val="20"/>
              </w:rPr>
              <w:t>To build knowledge about species diversity, abundance, habitat and range.</w:t>
            </w:r>
          </w:p>
        </w:tc>
        <w:tc>
          <w:tcPr>
            <w:tcW w:w="3969" w:type="dxa"/>
            <w:vAlign w:val="center"/>
          </w:tcPr>
          <w:p w:rsidR="00A97080" w:rsidRPr="00133E34" w:rsidRDefault="00A97080" w:rsidP="004534CD">
            <w:pPr>
              <w:autoSpaceDE w:val="0"/>
              <w:autoSpaceDN w:val="0"/>
              <w:adjustRightInd w:val="0"/>
              <w:rPr>
                <w:rFonts w:cs="Calibri"/>
                <w:sz w:val="20"/>
                <w:szCs w:val="20"/>
              </w:rPr>
            </w:pPr>
            <w:r w:rsidRPr="00133E34">
              <w:rPr>
                <w:rFonts w:cs="Calibri"/>
                <w:sz w:val="20"/>
                <w:szCs w:val="20"/>
              </w:rPr>
              <w:t>Reef visitors are encouraged to record sightings and submit photos of interesting animals (whales,</w:t>
            </w:r>
          </w:p>
          <w:p w:rsidR="00A97080" w:rsidRPr="00133E34" w:rsidRDefault="00A97080" w:rsidP="004534CD">
            <w:pPr>
              <w:autoSpaceDE w:val="0"/>
              <w:autoSpaceDN w:val="0"/>
              <w:adjustRightInd w:val="0"/>
              <w:ind w:left="175" w:hanging="175"/>
              <w:rPr>
                <w:sz w:val="20"/>
                <w:szCs w:val="20"/>
              </w:rPr>
            </w:pPr>
            <w:r w:rsidRPr="00133E34">
              <w:rPr>
                <w:rFonts w:cs="Calibri"/>
                <w:sz w:val="20"/>
                <w:szCs w:val="20"/>
              </w:rPr>
              <w:t>COTS, etc.)</w:t>
            </w:r>
          </w:p>
        </w:tc>
        <w:tc>
          <w:tcPr>
            <w:tcW w:w="2127" w:type="dxa"/>
            <w:vAlign w:val="center"/>
          </w:tcPr>
          <w:p w:rsidR="00A97080" w:rsidRPr="00133E34" w:rsidRDefault="00A97080" w:rsidP="004534CD">
            <w:pPr>
              <w:rPr>
                <w:sz w:val="20"/>
                <w:szCs w:val="20"/>
              </w:rPr>
            </w:pPr>
            <w:r w:rsidRPr="00133E34">
              <w:rPr>
                <w:sz w:val="20"/>
                <w:szCs w:val="20"/>
              </w:rPr>
              <w:t>Many opportunistic</w:t>
            </w:r>
          </w:p>
        </w:tc>
        <w:tc>
          <w:tcPr>
            <w:tcW w:w="2977" w:type="dxa"/>
            <w:vAlign w:val="center"/>
          </w:tcPr>
          <w:p w:rsidR="00A97080" w:rsidRPr="00133E34" w:rsidRDefault="00FB3343" w:rsidP="004534CD">
            <w:pPr>
              <w:rPr>
                <w:sz w:val="20"/>
                <w:szCs w:val="20"/>
              </w:rPr>
            </w:pPr>
            <w:hyperlink r:id="rId96" w:history="1">
              <w:r w:rsidR="00A97080" w:rsidRPr="00133E34">
                <w:rPr>
                  <w:rStyle w:val="Hyperlink"/>
                  <w:sz w:val="20"/>
                  <w:szCs w:val="20"/>
                </w:rPr>
                <w:t>http://www.gbrmpa.gov.au/managing-the-reef/how-the-reefs-managed/eye-on-the-reef/report-sightings</w:t>
              </w:r>
            </w:hyperlink>
            <w:r w:rsidR="00A97080" w:rsidRPr="00133E34">
              <w:rPr>
                <w:sz w:val="20"/>
                <w:szCs w:val="20"/>
              </w:rPr>
              <w:t xml:space="preserve"> </w:t>
            </w:r>
          </w:p>
        </w:tc>
      </w:tr>
      <w:tr w:rsidR="00A97080" w:rsidRPr="00133E34" w:rsidTr="004534CD">
        <w:tc>
          <w:tcPr>
            <w:tcW w:w="1535" w:type="dxa"/>
            <w:vAlign w:val="center"/>
          </w:tcPr>
          <w:p w:rsidR="00A97080" w:rsidRPr="00133E34" w:rsidRDefault="00A97080" w:rsidP="004534CD">
            <w:pPr>
              <w:rPr>
                <w:sz w:val="20"/>
                <w:szCs w:val="20"/>
              </w:rPr>
            </w:pPr>
            <w:proofErr w:type="spellStart"/>
            <w:r w:rsidRPr="00133E34">
              <w:rPr>
                <w:sz w:val="20"/>
                <w:szCs w:val="20"/>
              </w:rPr>
              <w:t>iEotR</w:t>
            </w:r>
            <w:proofErr w:type="spellEnd"/>
            <w:r w:rsidRPr="00133E34">
              <w:rPr>
                <w:sz w:val="20"/>
                <w:szCs w:val="20"/>
              </w:rPr>
              <w:t xml:space="preserve"> – Rapid surveys</w:t>
            </w:r>
          </w:p>
        </w:tc>
        <w:tc>
          <w:tcPr>
            <w:tcW w:w="1267" w:type="dxa"/>
            <w:vAlign w:val="center"/>
          </w:tcPr>
          <w:p w:rsidR="00A97080" w:rsidRPr="00133E34" w:rsidRDefault="00A97080" w:rsidP="004534CD">
            <w:pPr>
              <w:rPr>
                <w:sz w:val="20"/>
                <w:szCs w:val="20"/>
              </w:rPr>
            </w:pPr>
            <w:r w:rsidRPr="00133E34">
              <w:rPr>
                <w:sz w:val="20"/>
                <w:szCs w:val="20"/>
              </w:rPr>
              <w:t>GBRMPA</w:t>
            </w:r>
          </w:p>
        </w:tc>
        <w:tc>
          <w:tcPr>
            <w:tcW w:w="2126" w:type="dxa"/>
            <w:vAlign w:val="center"/>
          </w:tcPr>
          <w:p w:rsidR="00A97080" w:rsidRPr="00133E34" w:rsidRDefault="00A97080" w:rsidP="004534CD">
            <w:pPr>
              <w:autoSpaceDE w:val="0"/>
              <w:autoSpaceDN w:val="0"/>
              <w:adjustRightInd w:val="0"/>
              <w:rPr>
                <w:rFonts w:cs="Calibri"/>
                <w:sz w:val="20"/>
                <w:szCs w:val="20"/>
              </w:rPr>
            </w:pPr>
            <w:r w:rsidRPr="00133E34">
              <w:rPr>
                <w:rFonts w:cs="Calibri"/>
                <w:sz w:val="20"/>
                <w:szCs w:val="20"/>
              </w:rPr>
              <w:t>To allow collection of information on protected and iconic species distribution, after Reef health incidents, or to give early warning of Reef health impacts under GBRMPA's Reef Health Incident Response System.</w:t>
            </w:r>
          </w:p>
          <w:p w:rsidR="00A97080" w:rsidRPr="00133E34" w:rsidRDefault="00A97080" w:rsidP="004534CD">
            <w:pPr>
              <w:autoSpaceDE w:val="0"/>
              <w:autoSpaceDN w:val="0"/>
              <w:adjustRightInd w:val="0"/>
              <w:rPr>
                <w:sz w:val="20"/>
                <w:szCs w:val="20"/>
              </w:rPr>
            </w:pPr>
            <w:r w:rsidRPr="00133E34">
              <w:rPr>
                <w:rFonts w:cs="Calibri"/>
                <w:sz w:val="20"/>
                <w:szCs w:val="20"/>
              </w:rPr>
              <w:t xml:space="preserve">To promote stewardship: using simple science to introduce reef users to the main threats that are affecting the Great </w:t>
            </w:r>
            <w:r w:rsidRPr="00133E34">
              <w:rPr>
                <w:rFonts w:cs="Calibri"/>
                <w:sz w:val="20"/>
                <w:szCs w:val="20"/>
              </w:rPr>
              <w:lastRenderedPageBreak/>
              <w:t>Barrier Reef.</w:t>
            </w:r>
          </w:p>
        </w:tc>
        <w:tc>
          <w:tcPr>
            <w:tcW w:w="3969" w:type="dxa"/>
            <w:vAlign w:val="center"/>
          </w:tcPr>
          <w:p w:rsidR="00A97080" w:rsidRPr="00133E34" w:rsidRDefault="00A97080" w:rsidP="004534CD">
            <w:pPr>
              <w:autoSpaceDE w:val="0"/>
              <w:autoSpaceDN w:val="0"/>
              <w:adjustRightInd w:val="0"/>
              <w:rPr>
                <w:rFonts w:cs="Calibri"/>
                <w:sz w:val="20"/>
                <w:szCs w:val="20"/>
              </w:rPr>
            </w:pPr>
            <w:r w:rsidRPr="00133E34">
              <w:rPr>
                <w:rFonts w:cs="Calibri"/>
                <w:sz w:val="20"/>
                <w:szCs w:val="20"/>
              </w:rPr>
              <w:lastRenderedPageBreak/>
              <w:t>Records the presence or absence of:</w:t>
            </w:r>
          </w:p>
          <w:p w:rsidR="00A97080" w:rsidRPr="00133E34" w:rsidRDefault="00A97080" w:rsidP="004534CD">
            <w:pPr>
              <w:autoSpaceDE w:val="0"/>
              <w:autoSpaceDN w:val="0"/>
              <w:adjustRightInd w:val="0"/>
              <w:ind w:left="175" w:hanging="175"/>
              <w:rPr>
                <w:rFonts w:cs="Calibri"/>
                <w:sz w:val="20"/>
                <w:szCs w:val="20"/>
              </w:rPr>
            </w:pPr>
            <w:r w:rsidRPr="00133E34">
              <w:rPr>
                <w:rFonts w:cs="Calibri"/>
                <w:sz w:val="20"/>
                <w:szCs w:val="20"/>
              </w:rPr>
              <w:t xml:space="preserve">• </w:t>
            </w:r>
            <w:proofErr w:type="spellStart"/>
            <w:r w:rsidRPr="00133E34">
              <w:rPr>
                <w:rFonts w:cs="Calibri"/>
                <w:sz w:val="20"/>
                <w:szCs w:val="20"/>
              </w:rPr>
              <w:t>Macroalgae</w:t>
            </w:r>
            <w:proofErr w:type="spellEnd"/>
            <w:r w:rsidRPr="00133E34">
              <w:rPr>
                <w:rFonts w:cs="Calibri"/>
                <w:sz w:val="20"/>
                <w:szCs w:val="20"/>
              </w:rPr>
              <w:t xml:space="preserve"> (5 growth forms)</w:t>
            </w:r>
          </w:p>
          <w:p w:rsidR="00A97080" w:rsidRPr="00133E34" w:rsidRDefault="00A97080" w:rsidP="004534CD">
            <w:pPr>
              <w:autoSpaceDE w:val="0"/>
              <w:autoSpaceDN w:val="0"/>
              <w:adjustRightInd w:val="0"/>
              <w:ind w:left="175" w:hanging="175"/>
              <w:rPr>
                <w:rFonts w:cs="Calibri"/>
                <w:sz w:val="20"/>
                <w:szCs w:val="20"/>
              </w:rPr>
            </w:pPr>
            <w:r w:rsidRPr="00133E34">
              <w:rPr>
                <w:rFonts w:cs="Calibri"/>
                <w:sz w:val="20"/>
                <w:szCs w:val="20"/>
              </w:rPr>
              <w:t>• Corals (7 growth forms + soft coral)</w:t>
            </w:r>
          </w:p>
          <w:p w:rsidR="00A97080" w:rsidRPr="00133E34" w:rsidRDefault="00A97080" w:rsidP="004534CD">
            <w:pPr>
              <w:autoSpaceDE w:val="0"/>
              <w:autoSpaceDN w:val="0"/>
              <w:adjustRightInd w:val="0"/>
              <w:ind w:left="175" w:hanging="175"/>
              <w:rPr>
                <w:rFonts w:cs="Calibri"/>
                <w:sz w:val="20"/>
                <w:szCs w:val="20"/>
              </w:rPr>
            </w:pPr>
            <w:r w:rsidRPr="00133E34">
              <w:rPr>
                <w:rFonts w:cs="Calibri"/>
                <w:sz w:val="20"/>
                <w:szCs w:val="20"/>
              </w:rPr>
              <w:t>• Coral bleaching (coral type affected)</w:t>
            </w:r>
          </w:p>
          <w:p w:rsidR="00A97080" w:rsidRPr="00133E34" w:rsidRDefault="00A97080" w:rsidP="004534CD">
            <w:pPr>
              <w:autoSpaceDE w:val="0"/>
              <w:autoSpaceDN w:val="0"/>
              <w:adjustRightInd w:val="0"/>
              <w:ind w:left="175" w:hanging="175"/>
              <w:rPr>
                <w:rFonts w:cs="Calibri"/>
                <w:sz w:val="20"/>
                <w:szCs w:val="20"/>
              </w:rPr>
            </w:pPr>
            <w:r w:rsidRPr="00133E34">
              <w:rPr>
                <w:rFonts w:cs="Calibri"/>
                <w:sz w:val="20"/>
                <w:szCs w:val="20"/>
              </w:rPr>
              <w:t>• Occurrence of coral disease (3 + other); coral predation (COTS</w:t>
            </w:r>
            <w:r w:rsidRPr="00133E34">
              <w:rPr>
                <w:rFonts w:cs="Calibri,Italic"/>
                <w:i/>
                <w:iCs/>
                <w:sz w:val="20"/>
                <w:szCs w:val="20"/>
              </w:rPr>
              <w:t xml:space="preserve">, </w:t>
            </w:r>
            <w:proofErr w:type="spellStart"/>
            <w:r w:rsidRPr="00133E34">
              <w:rPr>
                <w:rFonts w:cs="Calibri,Italic"/>
                <w:i/>
                <w:iCs/>
                <w:sz w:val="20"/>
                <w:szCs w:val="20"/>
              </w:rPr>
              <w:t>Drupella</w:t>
            </w:r>
            <w:proofErr w:type="spellEnd"/>
            <w:r w:rsidRPr="00133E34">
              <w:rPr>
                <w:rFonts w:cs="Calibri,Italic"/>
                <w:i/>
                <w:iCs/>
                <w:sz w:val="20"/>
                <w:szCs w:val="20"/>
              </w:rPr>
              <w:t xml:space="preserve"> </w:t>
            </w:r>
            <w:r w:rsidRPr="00133E34">
              <w:rPr>
                <w:rFonts w:cs="Calibri"/>
                <w:sz w:val="20"/>
                <w:szCs w:val="20"/>
              </w:rPr>
              <w:t xml:space="preserve">by coral type); recent coral damage </w:t>
            </w:r>
          </w:p>
          <w:p w:rsidR="00A97080" w:rsidRPr="00133E34" w:rsidRDefault="00A97080" w:rsidP="004534CD">
            <w:pPr>
              <w:autoSpaceDE w:val="0"/>
              <w:autoSpaceDN w:val="0"/>
              <w:adjustRightInd w:val="0"/>
              <w:ind w:left="175" w:hanging="175"/>
              <w:rPr>
                <w:sz w:val="20"/>
                <w:szCs w:val="20"/>
              </w:rPr>
            </w:pPr>
            <w:r w:rsidRPr="00133E34">
              <w:rPr>
                <w:rFonts w:cs="Calibri"/>
                <w:sz w:val="20"/>
                <w:szCs w:val="20"/>
              </w:rPr>
              <w:t>• Garbage</w:t>
            </w:r>
          </w:p>
        </w:tc>
        <w:tc>
          <w:tcPr>
            <w:tcW w:w="2127" w:type="dxa"/>
            <w:vAlign w:val="center"/>
          </w:tcPr>
          <w:p w:rsidR="00A97080" w:rsidRPr="00133E34" w:rsidRDefault="00A97080" w:rsidP="004534CD">
            <w:pPr>
              <w:rPr>
                <w:sz w:val="20"/>
                <w:szCs w:val="20"/>
              </w:rPr>
            </w:pPr>
            <w:r w:rsidRPr="00133E34">
              <w:rPr>
                <w:sz w:val="20"/>
                <w:szCs w:val="20"/>
              </w:rPr>
              <w:t>Several opportunistic</w:t>
            </w:r>
          </w:p>
        </w:tc>
        <w:tc>
          <w:tcPr>
            <w:tcW w:w="2977" w:type="dxa"/>
            <w:vAlign w:val="center"/>
          </w:tcPr>
          <w:p w:rsidR="00A97080" w:rsidRPr="00133E34" w:rsidRDefault="00FB3343" w:rsidP="004534CD">
            <w:pPr>
              <w:rPr>
                <w:sz w:val="20"/>
                <w:szCs w:val="20"/>
              </w:rPr>
            </w:pPr>
            <w:hyperlink r:id="rId97" w:history="1">
              <w:r w:rsidR="00A97080" w:rsidRPr="00133E34">
                <w:rPr>
                  <w:rStyle w:val="Hyperlink"/>
                  <w:sz w:val="20"/>
                  <w:szCs w:val="20"/>
                </w:rPr>
                <w:t>http://www.gbrmpa.gov.au/managing-the-reef/how-the-reefs-managed/eye-on-the-reef/the-rapid-monitoring-survey</w:t>
              </w:r>
            </w:hyperlink>
            <w:r w:rsidR="00A97080" w:rsidRPr="00133E34">
              <w:rPr>
                <w:sz w:val="20"/>
                <w:szCs w:val="20"/>
              </w:rPr>
              <w:t xml:space="preserve"> </w:t>
            </w:r>
          </w:p>
        </w:tc>
      </w:tr>
      <w:tr w:rsidR="00A97080" w:rsidRPr="00133E34" w:rsidTr="004534CD">
        <w:tc>
          <w:tcPr>
            <w:tcW w:w="1535" w:type="dxa"/>
            <w:vAlign w:val="center"/>
          </w:tcPr>
          <w:p w:rsidR="00A97080" w:rsidRPr="00133E34" w:rsidRDefault="00A97080" w:rsidP="004534CD">
            <w:pPr>
              <w:rPr>
                <w:sz w:val="20"/>
                <w:szCs w:val="20"/>
              </w:rPr>
            </w:pPr>
            <w:proofErr w:type="spellStart"/>
            <w:r w:rsidRPr="00133E34">
              <w:rPr>
                <w:sz w:val="20"/>
                <w:szCs w:val="20"/>
              </w:rPr>
              <w:lastRenderedPageBreak/>
              <w:t>iEotR</w:t>
            </w:r>
            <w:proofErr w:type="spellEnd"/>
            <w:r w:rsidRPr="00133E34">
              <w:rPr>
                <w:sz w:val="20"/>
                <w:szCs w:val="20"/>
              </w:rPr>
              <w:t xml:space="preserve"> – Tourism weekly monitoring surveys</w:t>
            </w:r>
          </w:p>
        </w:tc>
        <w:tc>
          <w:tcPr>
            <w:tcW w:w="1267" w:type="dxa"/>
            <w:vAlign w:val="center"/>
          </w:tcPr>
          <w:p w:rsidR="00A97080" w:rsidRPr="00133E34" w:rsidRDefault="00A97080" w:rsidP="004534CD">
            <w:pPr>
              <w:rPr>
                <w:sz w:val="20"/>
                <w:szCs w:val="20"/>
              </w:rPr>
            </w:pPr>
          </w:p>
        </w:tc>
        <w:tc>
          <w:tcPr>
            <w:tcW w:w="2126" w:type="dxa"/>
            <w:vAlign w:val="center"/>
          </w:tcPr>
          <w:p w:rsidR="00A97080" w:rsidRPr="00133E34" w:rsidRDefault="00A97080" w:rsidP="004534CD">
            <w:pPr>
              <w:autoSpaceDE w:val="0"/>
              <w:autoSpaceDN w:val="0"/>
              <w:adjustRightInd w:val="0"/>
              <w:rPr>
                <w:rFonts w:cs="Calibri"/>
                <w:sz w:val="20"/>
                <w:szCs w:val="20"/>
              </w:rPr>
            </w:pPr>
            <w:r w:rsidRPr="00133E34">
              <w:rPr>
                <w:rFonts w:cs="Calibri"/>
                <w:sz w:val="20"/>
                <w:szCs w:val="20"/>
              </w:rPr>
              <w:t>To provide status information and early warning on water quality, the presence of protected</w:t>
            </w:r>
          </w:p>
          <w:p w:rsidR="00A97080" w:rsidRPr="00133E34" w:rsidRDefault="00A97080" w:rsidP="004534CD">
            <w:pPr>
              <w:autoSpaceDE w:val="0"/>
              <w:autoSpaceDN w:val="0"/>
              <w:adjustRightInd w:val="0"/>
              <w:rPr>
                <w:rFonts w:cs="Calibri"/>
                <w:sz w:val="20"/>
                <w:szCs w:val="20"/>
              </w:rPr>
            </w:pPr>
            <w:proofErr w:type="gramStart"/>
            <w:r w:rsidRPr="00133E34">
              <w:rPr>
                <w:rFonts w:cs="Calibri"/>
                <w:sz w:val="20"/>
                <w:szCs w:val="20"/>
              </w:rPr>
              <w:t>and</w:t>
            </w:r>
            <w:proofErr w:type="gramEnd"/>
            <w:r w:rsidRPr="00133E34">
              <w:rPr>
                <w:rFonts w:cs="Calibri"/>
                <w:sz w:val="20"/>
                <w:szCs w:val="20"/>
              </w:rPr>
              <w:t xml:space="preserve"> iconic species, and the health of the Reef.</w:t>
            </w:r>
          </w:p>
          <w:p w:rsidR="00A97080" w:rsidRPr="00133E34" w:rsidRDefault="00A97080" w:rsidP="004534CD">
            <w:pPr>
              <w:autoSpaceDE w:val="0"/>
              <w:autoSpaceDN w:val="0"/>
              <w:adjustRightInd w:val="0"/>
              <w:rPr>
                <w:rFonts w:cs="Calibri"/>
                <w:sz w:val="20"/>
                <w:szCs w:val="20"/>
              </w:rPr>
            </w:pPr>
            <w:r w:rsidRPr="00133E34">
              <w:rPr>
                <w:rFonts w:cs="Symbol"/>
                <w:sz w:val="20"/>
                <w:szCs w:val="20"/>
              </w:rPr>
              <w:t xml:space="preserve"> </w:t>
            </w:r>
            <w:r w:rsidRPr="00133E34">
              <w:rPr>
                <w:rFonts w:cs="Calibri"/>
                <w:sz w:val="20"/>
                <w:szCs w:val="20"/>
              </w:rPr>
              <w:t>To provide vital reef health trend information to inform the Early Warning System and Incident</w:t>
            </w:r>
          </w:p>
          <w:p w:rsidR="00A97080" w:rsidRPr="00133E34" w:rsidRDefault="00A97080" w:rsidP="004534CD">
            <w:pPr>
              <w:autoSpaceDE w:val="0"/>
              <w:autoSpaceDN w:val="0"/>
              <w:adjustRightInd w:val="0"/>
              <w:rPr>
                <w:rFonts w:cs="Calibri"/>
                <w:sz w:val="20"/>
                <w:szCs w:val="20"/>
              </w:rPr>
            </w:pPr>
            <w:r w:rsidRPr="00133E34">
              <w:rPr>
                <w:rFonts w:cs="Calibri"/>
                <w:sz w:val="20"/>
                <w:szCs w:val="20"/>
              </w:rPr>
              <w:t>Response components of GBRMPA's Reef Health Incident Response System, as well as triggers</w:t>
            </w:r>
          </w:p>
          <w:p w:rsidR="00A97080" w:rsidRPr="00133E34" w:rsidRDefault="00A97080" w:rsidP="004534CD">
            <w:pPr>
              <w:rPr>
                <w:sz w:val="20"/>
                <w:szCs w:val="20"/>
              </w:rPr>
            </w:pPr>
            <w:proofErr w:type="gramStart"/>
            <w:r w:rsidRPr="00133E34">
              <w:rPr>
                <w:rFonts w:cs="Calibri"/>
                <w:sz w:val="20"/>
                <w:szCs w:val="20"/>
              </w:rPr>
              <w:t>for</w:t>
            </w:r>
            <w:proofErr w:type="gramEnd"/>
            <w:r w:rsidRPr="00133E34">
              <w:rPr>
                <w:rFonts w:cs="Calibri"/>
                <w:sz w:val="20"/>
                <w:szCs w:val="20"/>
              </w:rPr>
              <w:t xml:space="preserve"> management actions.</w:t>
            </w:r>
          </w:p>
        </w:tc>
        <w:tc>
          <w:tcPr>
            <w:tcW w:w="3969" w:type="dxa"/>
            <w:vAlign w:val="center"/>
          </w:tcPr>
          <w:p w:rsidR="00A97080" w:rsidRPr="00133E34" w:rsidRDefault="00A97080" w:rsidP="004534CD">
            <w:pPr>
              <w:autoSpaceDE w:val="0"/>
              <w:autoSpaceDN w:val="0"/>
              <w:adjustRightInd w:val="0"/>
              <w:rPr>
                <w:sz w:val="20"/>
                <w:szCs w:val="20"/>
              </w:rPr>
            </w:pPr>
            <w:r w:rsidRPr="00133E34">
              <w:rPr>
                <w:rFonts w:cs="Calibri"/>
                <w:sz w:val="20"/>
                <w:szCs w:val="20"/>
              </w:rPr>
              <w:t xml:space="preserve">Water temp; </w:t>
            </w:r>
            <w:proofErr w:type="spellStart"/>
            <w:r w:rsidRPr="00133E34">
              <w:rPr>
                <w:rFonts w:cs="Calibri"/>
                <w:sz w:val="20"/>
                <w:szCs w:val="20"/>
              </w:rPr>
              <w:t>Secchi</w:t>
            </w:r>
            <w:proofErr w:type="spellEnd"/>
            <w:r w:rsidRPr="00133E34">
              <w:rPr>
                <w:rFonts w:cs="Calibri"/>
                <w:sz w:val="20"/>
                <w:szCs w:val="20"/>
              </w:rPr>
              <w:t xml:space="preserve"> depth; </w:t>
            </w:r>
            <w:proofErr w:type="spellStart"/>
            <w:r w:rsidRPr="00133E34">
              <w:rPr>
                <w:rFonts w:cs="Calibri"/>
                <w:sz w:val="20"/>
                <w:szCs w:val="20"/>
              </w:rPr>
              <w:t>macroalgae</w:t>
            </w:r>
            <w:proofErr w:type="spellEnd"/>
            <w:r w:rsidRPr="00133E34">
              <w:rPr>
                <w:rFonts w:cs="Calibri"/>
                <w:sz w:val="20"/>
                <w:szCs w:val="20"/>
              </w:rPr>
              <w:t xml:space="preserve"> (5 types); herbivorous fishes ( </w:t>
            </w:r>
            <w:proofErr w:type="spellStart"/>
            <w:r w:rsidRPr="00133E34">
              <w:rPr>
                <w:rFonts w:cs="Calibri"/>
                <w:sz w:val="20"/>
                <w:szCs w:val="20"/>
              </w:rPr>
              <w:t>Scarids</w:t>
            </w:r>
            <w:proofErr w:type="spellEnd"/>
            <w:r w:rsidRPr="00133E34">
              <w:rPr>
                <w:rFonts w:cs="Calibri"/>
                <w:sz w:val="20"/>
                <w:szCs w:val="20"/>
              </w:rPr>
              <w:t xml:space="preserve"> / </w:t>
            </w:r>
            <w:proofErr w:type="spellStart"/>
            <w:r w:rsidRPr="00133E34">
              <w:rPr>
                <w:rFonts w:cs="Calibri"/>
                <w:sz w:val="20"/>
                <w:szCs w:val="20"/>
              </w:rPr>
              <w:t>Acanthurids</w:t>
            </w:r>
            <w:proofErr w:type="spellEnd"/>
            <w:r w:rsidRPr="00133E34">
              <w:rPr>
                <w:rFonts w:cs="Calibri"/>
                <w:sz w:val="20"/>
                <w:szCs w:val="20"/>
              </w:rPr>
              <w:t xml:space="preserve">; number &amp; average size); corals (soft + 7 life forms); coral bleaching; bleached clams; COTS; </w:t>
            </w:r>
            <w:proofErr w:type="spellStart"/>
            <w:r w:rsidRPr="00133E34">
              <w:rPr>
                <w:rFonts w:cs="Calibri,Italic"/>
                <w:i/>
                <w:iCs/>
                <w:sz w:val="20"/>
                <w:szCs w:val="20"/>
              </w:rPr>
              <w:t>Drupella</w:t>
            </w:r>
            <w:proofErr w:type="spellEnd"/>
            <w:r w:rsidRPr="00133E34">
              <w:rPr>
                <w:rFonts w:cs="Calibri"/>
                <w:sz w:val="20"/>
                <w:szCs w:val="20"/>
              </w:rPr>
              <w:t xml:space="preserve">; coral disease (3 types); coral spawning; fish spawning; turtles (3 </w:t>
            </w:r>
            <w:proofErr w:type="spellStart"/>
            <w:r w:rsidRPr="00133E34">
              <w:rPr>
                <w:rFonts w:cs="Calibri"/>
                <w:sz w:val="20"/>
                <w:szCs w:val="20"/>
              </w:rPr>
              <w:t>spp</w:t>
            </w:r>
            <w:proofErr w:type="spellEnd"/>
            <w:r w:rsidRPr="00133E34">
              <w:rPr>
                <w:rFonts w:cs="Calibri"/>
                <w:sz w:val="20"/>
                <w:szCs w:val="20"/>
              </w:rPr>
              <w:t>); sea-snakes; iconic bony fishes (12 categories); sharks &amp; rays (5 categories); invertebrates(cuttlefish, sea cucumbers, triton shell); jellyfish (</w:t>
            </w:r>
            <w:proofErr w:type="spellStart"/>
            <w:r w:rsidRPr="00133E34">
              <w:rPr>
                <w:rFonts w:cs="Calibri"/>
                <w:sz w:val="20"/>
                <w:szCs w:val="20"/>
              </w:rPr>
              <w:t>irukanji</w:t>
            </w:r>
            <w:proofErr w:type="spellEnd"/>
            <w:r w:rsidRPr="00133E34">
              <w:rPr>
                <w:rFonts w:cs="Calibri"/>
                <w:sz w:val="20"/>
                <w:szCs w:val="20"/>
              </w:rPr>
              <w:t xml:space="preserve">, </w:t>
            </w:r>
            <w:proofErr w:type="spellStart"/>
            <w:r w:rsidRPr="00133E34">
              <w:rPr>
                <w:rFonts w:cs="Calibri"/>
                <w:sz w:val="20"/>
                <w:szCs w:val="20"/>
              </w:rPr>
              <w:t>boxjelly</w:t>
            </w:r>
            <w:proofErr w:type="spellEnd"/>
            <w:r w:rsidRPr="00133E34">
              <w:rPr>
                <w:rFonts w:cs="Calibri"/>
                <w:sz w:val="20"/>
                <w:szCs w:val="20"/>
              </w:rPr>
              <w:t xml:space="preserve">, </w:t>
            </w:r>
            <w:proofErr w:type="spellStart"/>
            <w:r w:rsidRPr="00133E34">
              <w:rPr>
                <w:rFonts w:cs="Calibri,Italic"/>
                <w:i/>
                <w:iCs/>
                <w:sz w:val="20"/>
                <w:szCs w:val="20"/>
              </w:rPr>
              <w:t>Physalia</w:t>
            </w:r>
            <w:proofErr w:type="spellEnd"/>
            <w:r w:rsidRPr="00133E34">
              <w:rPr>
                <w:rFonts w:cs="Calibri"/>
                <w:sz w:val="20"/>
                <w:szCs w:val="20"/>
              </w:rPr>
              <w:t xml:space="preserve">); </w:t>
            </w:r>
            <w:proofErr w:type="spellStart"/>
            <w:r w:rsidRPr="00133E34">
              <w:rPr>
                <w:rFonts w:cs="Calibri,Italic"/>
                <w:i/>
                <w:iCs/>
                <w:sz w:val="20"/>
                <w:szCs w:val="20"/>
              </w:rPr>
              <w:t>Trichodesmuim</w:t>
            </w:r>
            <w:proofErr w:type="spellEnd"/>
            <w:r w:rsidRPr="00133E34">
              <w:rPr>
                <w:rFonts w:cs="Calibri"/>
                <w:sz w:val="20"/>
                <w:szCs w:val="20"/>
              </w:rPr>
              <w:t>; based on 30 min swim</w:t>
            </w:r>
          </w:p>
        </w:tc>
        <w:tc>
          <w:tcPr>
            <w:tcW w:w="2127" w:type="dxa"/>
            <w:vAlign w:val="center"/>
          </w:tcPr>
          <w:p w:rsidR="00A97080" w:rsidRPr="00133E34" w:rsidRDefault="00A97080" w:rsidP="004534CD">
            <w:pPr>
              <w:rPr>
                <w:sz w:val="20"/>
                <w:szCs w:val="20"/>
              </w:rPr>
            </w:pPr>
            <w:r w:rsidRPr="00133E34">
              <w:rPr>
                <w:sz w:val="20"/>
                <w:szCs w:val="20"/>
              </w:rPr>
              <w:t>Several tourism sites in the Whitsundays</w:t>
            </w:r>
          </w:p>
        </w:tc>
        <w:tc>
          <w:tcPr>
            <w:tcW w:w="2977" w:type="dxa"/>
            <w:vAlign w:val="center"/>
          </w:tcPr>
          <w:p w:rsidR="00A97080" w:rsidRPr="00133E34" w:rsidRDefault="00FB3343" w:rsidP="004534CD">
            <w:pPr>
              <w:rPr>
                <w:sz w:val="20"/>
                <w:szCs w:val="20"/>
              </w:rPr>
            </w:pPr>
            <w:hyperlink r:id="rId98" w:history="1">
              <w:r w:rsidR="00A97080" w:rsidRPr="00133E34">
                <w:rPr>
                  <w:rStyle w:val="Hyperlink"/>
                  <w:sz w:val="20"/>
                  <w:szCs w:val="20"/>
                </w:rPr>
                <w:t>http://www.gbrmpa.gov.au/managing-the-reef/how-the-reefs-managed/eye-on-the-reef/tourism-weekly-monitoring-surveys</w:t>
              </w:r>
            </w:hyperlink>
            <w:r w:rsidR="00A97080" w:rsidRPr="00133E34">
              <w:rPr>
                <w:sz w:val="20"/>
                <w:szCs w:val="20"/>
              </w:rPr>
              <w:t xml:space="preserve"> </w:t>
            </w:r>
          </w:p>
        </w:tc>
      </w:tr>
      <w:tr w:rsidR="00A97080" w:rsidRPr="00133E34" w:rsidTr="004534CD">
        <w:tc>
          <w:tcPr>
            <w:tcW w:w="1535" w:type="dxa"/>
            <w:vAlign w:val="center"/>
          </w:tcPr>
          <w:p w:rsidR="00A97080" w:rsidRPr="00133E34" w:rsidRDefault="00A97080" w:rsidP="004534CD">
            <w:pPr>
              <w:rPr>
                <w:sz w:val="20"/>
                <w:szCs w:val="20"/>
              </w:rPr>
            </w:pPr>
            <w:proofErr w:type="spellStart"/>
            <w:r w:rsidRPr="00133E34">
              <w:rPr>
                <w:sz w:val="20"/>
                <w:szCs w:val="20"/>
              </w:rPr>
              <w:t>iEotR</w:t>
            </w:r>
            <w:proofErr w:type="spellEnd"/>
            <w:r w:rsidRPr="00133E34">
              <w:rPr>
                <w:sz w:val="20"/>
                <w:szCs w:val="20"/>
              </w:rPr>
              <w:t xml:space="preserve"> - Reef Health &amp; Impact Survey</w:t>
            </w:r>
          </w:p>
        </w:tc>
        <w:tc>
          <w:tcPr>
            <w:tcW w:w="1267" w:type="dxa"/>
            <w:vAlign w:val="center"/>
          </w:tcPr>
          <w:p w:rsidR="00A97080" w:rsidRPr="00133E34" w:rsidRDefault="00A97080" w:rsidP="004534CD">
            <w:pPr>
              <w:rPr>
                <w:sz w:val="20"/>
                <w:szCs w:val="20"/>
              </w:rPr>
            </w:pPr>
            <w:r w:rsidRPr="00133E34">
              <w:rPr>
                <w:sz w:val="20"/>
                <w:szCs w:val="20"/>
              </w:rPr>
              <w:t>GBRMPA - QPWS</w:t>
            </w:r>
          </w:p>
        </w:tc>
        <w:tc>
          <w:tcPr>
            <w:tcW w:w="2126" w:type="dxa"/>
            <w:vAlign w:val="center"/>
          </w:tcPr>
          <w:p w:rsidR="00A97080" w:rsidRPr="00133E34" w:rsidRDefault="00A97080" w:rsidP="004534CD">
            <w:pPr>
              <w:autoSpaceDE w:val="0"/>
              <w:autoSpaceDN w:val="0"/>
              <w:adjustRightInd w:val="0"/>
              <w:rPr>
                <w:rFonts w:cs="Calibri"/>
                <w:sz w:val="20"/>
                <w:szCs w:val="20"/>
              </w:rPr>
            </w:pPr>
            <w:r w:rsidRPr="00133E34">
              <w:rPr>
                <w:rFonts w:cs="Calibri"/>
                <w:sz w:val="20"/>
                <w:szCs w:val="20"/>
              </w:rPr>
              <w:t>Reef Health and Impact Survey (RHIS) is a quick and efficient way to provide a snapshot of reef</w:t>
            </w:r>
          </w:p>
          <w:p w:rsidR="00A97080" w:rsidRPr="00133E34" w:rsidRDefault="00A97080" w:rsidP="004534CD">
            <w:pPr>
              <w:rPr>
                <w:sz w:val="20"/>
                <w:szCs w:val="20"/>
              </w:rPr>
            </w:pPr>
            <w:r w:rsidRPr="00133E34">
              <w:rPr>
                <w:rFonts w:cs="Calibri"/>
                <w:sz w:val="20"/>
                <w:szCs w:val="20"/>
              </w:rPr>
              <w:t>health at any time on any reef</w:t>
            </w:r>
          </w:p>
        </w:tc>
        <w:tc>
          <w:tcPr>
            <w:tcW w:w="3969" w:type="dxa"/>
            <w:vAlign w:val="center"/>
          </w:tcPr>
          <w:p w:rsidR="00A97080" w:rsidRPr="00133E34" w:rsidRDefault="00A97080" w:rsidP="00A97080">
            <w:pPr>
              <w:pStyle w:val="ListParagraph"/>
              <w:numPr>
                <w:ilvl w:val="0"/>
                <w:numId w:val="33"/>
              </w:numPr>
              <w:autoSpaceDE w:val="0"/>
              <w:autoSpaceDN w:val="0"/>
              <w:adjustRightInd w:val="0"/>
              <w:ind w:left="175" w:hanging="141"/>
              <w:rPr>
                <w:rFonts w:cs="Calibri"/>
                <w:sz w:val="20"/>
                <w:szCs w:val="20"/>
              </w:rPr>
            </w:pPr>
            <w:proofErr w:type="spellStart"/>
            <w:r w:rsidRPr="00133E34">
              <w:rPr>
                <w:rFonts w:cs="Calibri"/>
                <w:sz w:val="20"/>
                <w:szCs w:val="20"/>
              </w:rPr>
              <w:t>Macroalgal</w:t>
            </w:r>
            <w:proofErr w:type="spellEnd"/>
            <w:r w:rsidRPr="00133E34">
              <w:rPr>
                <w:rFonts w:cs="Calibri"/>
                <w:sz w:val="20"/>
                <w:szCs w:val="20"/>
              </w:rPr>
              <w:t xml:space="preserve"> cover (5 growth forms)</w:t>
            </w:r>
          </w:p>
          <w:p w:rsidR="00A97080" w:rsidRPr="00133E34" w:rsidRDefault="00A97080" w:rsidP="004534CD">
            <w:pPr>
              <w:autoSpaceDE w:val="0"/>
              <w:autoSpaceDN w:val="0"/>
              <w:adjustRightInd w:val="0"/>
              <w:ind w:left="175" w:hanging="175"/>
              <w:rPr>
                <w:rFonts w:cs="Calibri"/>
                <w:sz w:val="20"/>
                <w:szCs w:val="20"/>
              </w:rPr>
            </w:pPr>
            <w:r w:rsidRPr="00133E34">
              <w:rPr>
                <w:rFonts w:cs="Calibri"/>
                <w:sz w:val="20"/>
                <w:szCs w:val="20"/>
              </w:rPr>
              <w:t>• Coral cover (7 growth forms + soft coral)</w:t>
            </w:r>
          </w:p>
          <w:p w:rsidR="00A97080" w:rsidRPr="00133E34" w:rsidRDefault="00A97080" w:rsidP="004534CD">
            <w:pPr>
              <w:autoSpaceDE w:val="0"/>
              <w:autoSpaceDN w:val="0"/>
              <w:adjustRightInd w:val="0"/>
              <w:ind w:left="175" w:hanging="175"/>
              <w:rPr>
                <w:rFonts w:cs="Calibri"/>
                <w:sz w:val="20"/>
                <w:szCs w:val="20"/>
              </w:rPr>
            </w:pPr>
            <w:r w:rsidRPr="00133E34">
              <w:rPr>
                <w:rFonts w:cs="Calibri"/>
                <w:sz w:val="20"/>
                <w:szCs w:val="20"/>
              </w:rPr>
              <w:t>• Coral bleaching (coral type affected)</w:t>
            </w:r>
          </w:p>
          <w:p w:rsidR="00A97080" w:rsidRPr="00133E34" w:rsidRDefault="00A97080" w:rsidP="004534CD">
            <w:pPr>
              <w:autoSpaceDE w:val="0"/>
              <w:autoSpaceDN w:val="0"/>
              <w:adjustRightInd w:val="0"/>
              <w:ind w:left="175" w:hanging="175"/>
              <w:rPr>
                <w:rFonts w:cs="Calibri"/>
                <w:sz w:val="20"/>
                <w:szCs w:val="20"/>
              </w:rPr>
            </w:pPr>
            <w:r w:rsidRPr="00133E34">
              <w:rPr>
                <w:rFonts w:cs="Calibri"/>
                <w:sz w:val="20"/>
                <w:szCs w:val="20"/>
              </w:rPr>
              <w:t>• Incidence of coral disease (3 + other); coral predation (COTS</w:t>
            </w:r>
            <w:r w:rsidRPr="00133E34">
              <w:rPr>
                <w:rFonts w:cs="Calibri,Italic"/>
                <w:i/>
                <w:iCs/>
                <w:sz w:val="20"/>
                <w:szCs w:val="20"/>
              </w:rPr>
              <w:t xml:space="preserve">, </w:t>
            </w:r>
            <w:proofErr w:type="spellStart"/>
            <w:r w:rsidRPr="00133E34">
              <w:rPr>
                <w:rFonts w:cs="Calibri,Italic"/>
                <w:i/>
                <w:iCs/>
                <w:sz w:val="20"/>
                <w:szCs w:val="20"/>
              </w:rPr>
              <w:t>Drupella</w:t>
            </w:r>
            <w:proofErr w:type="spellEnd"/>
            <w:r w:rsidRPr="00133E34">
              <w:rPr>
                <w:rFonts w:cs="Calibri,Italic"/>
                <w:i/>
                <w:iCs/>
                <w:sz w:val="20"/>
                <w:szCs w:val="20"/>
              </w:rPr>
              <w:t xml:space="preserve"> </w:t>
            </w:r>
            <w:r w:rsidRPr="00133E34">
              <w:rPr>
                <w:rFonts w:cs="Calibri"/>
                <w:sz w:val="20"/>
                <w:szCs w:val="20"/>
              </w:rPr>
              <w:t>by coral type); recent coral damage.</w:t>
            </w:r>
          </w:p>
          <w:p w:rsidR="00A97080" w:rsidRPr="00133E34" w:rsidRDefault="00A97080" w:rsidP="004534CD">
            <w:pPr>
              <w:ind w:left="175" w:hanging="175"/>
              <w:rPr>
                <w:sz w:val="20"/>
                <w:szCs w:val="20"/>
              </w:rPr>
            </w:pPr>
            <w:r w:rsidRPr="00133E34">
              <w:rPr>
                <w:rFonts w:cs="Calibri"/>
                <w:sz w:val="20"/>
                <w:szCs w:val="20"/>
              </w:rPr>
              <w:t>• Presence of garbage</w:t>
            </w:r>
          </w:p>
        </w:tc>
        <w:tc>
          <w:tcPr>
            <w:tcW w:w="2127" w:type="dxa"/>
            <w:vAlign w:val="center"/>
          </w:tcPr>
          <w:p w:rsidR="00A97080" w:rsidRPr="00133E34" w:rsidRDefault="00A97080" w:rsidP="004534CD">
            <w:pPr>
              <w:rPr>
                <w:sz w:val="20"/>
                <w:szCs w:val="20"/>
              </w:rPr>
            </w:pPr>
            <w:r w:rsidRPr="00133E34">
              <w:rPr>
                <w:sz w:val="20"/>
                <w:szCs w:val="20"/>
              </w:rPr>
              <w:t>Many sites visited opportunistically</w:t>
            </w:r>
          </w:p>
        </w:tc>
        <w:tc>
          <w:tcPr>
            <w:tcW w:w="2977" w:type="dxa"/>
            <w:vAlign w:val="center"/>
          </w:tcPr>
          <w:p w:rsidR="00A97080" w:rsidRPr="00133E34" w:rsidRDefault="00FB3343" w:rsidP="004534CD">
            <w:pPr>
              <w:rPr>
                <w:sz w:val="20"/>
                <w:szCs w:val="20"/>
              </w:rPr>
            </w:pPr>
            <w:hyperlink r:id="rId99" w:history="1">
              <w:r w:rsidR="00A97080" w:rsidRPr="00133E34">
                <w:rPr>
                  <w:rStyle w:val="Hyperlink"/>
                  <w:sz w:val="20"/>
                  <w:szCs w:val="20"/>
                </w:rPr>
                <w:t>http://www.gbrmpa.gov.au/managing-the-reef/how-the-reefs-managed/eye-on-the-reef/reef-health-and-impact-survey</w:t>
              </w:r>
            </w:hyperlink>
            <w:r w:rsidR="00A97080" w:rsidRPr="00133E34">
              <w:rPr>
                <w:sz w:val="20"/>
                <w:szCs w:val="20"/>
              </w:rPr>
              <w:t xml:space="preserve"> </w:t>
            </w:r>
          </w:p>
        </w:tc>
      </w:tr>
      <w:tr w:rsidR="00A97080" w:rsidRPr="00133E34" w:rsidTr="004534CD">
        <w:tc>
          <w:tcPr>
            <w:tcW w:w="1535" w:type="dxa"/>
            <w:vAlign w:val="center"/>
          </w:tcPr>
          <w:p w:rsidR="00A97080" w:rsidRPr="00133E34" w:rsidRDefault="00A97080" w:rsidP="004534CD">
            <w:pPr>
              <w:rPr>
                <w:sz w:val="20"/>
                <w:szCs w:val="20"/>
              </w:rPr>
            </w:pPr>
            <w:proofErr w:type="spellStart"/>
            <w:r w:rsidRPr="00133E34">
              <w:rPr>
                <w:sz w:val="20"/>
                <w:szCs w:val="20"/>
              </w:rPr>
              <w:t>iEotR</w:t>
            </w:r>
            <w:proofErr w:type="spellEnd"/>
            <w:r w:rsidRPr="00133E34">
              <w:rPr>
                <w:sz w:val="20"/>
                <w:szCs w:val="20"/>
              </w:rPr>
              <w:t xml:space="preserve"> – “Eyes &amp; ears” incident reporting</w:t>
            </w:r>
          </w:p>
        </w:tc>
        <w:tc>
          <w:tcPr>
            <w:tcW w:w="1267" w:type="dxa"/>
            <w:vAlign w:val="center"/>
          </w:tcPr>
          <w:p w:rsidR="00A97080" w:rsidRPr="00133E34" w:rsidRDefault="00A97080" w:rsidP="004534CD">
            <w:pPr>
              <w:rPr>
                <w:sz w:val="20"/>
                <w:szCs w:val="20"/>
              </w:rPr>
            </w:pPr>
          </w:p>
        </w:tc>
        <w:tc>
          <w:tcPr>
            <w:tcW w:w="2126" w:type="dxa"/>
            <w:vAlign w:val="center"/>
          </w:tcPr>
          <w:p w:rsidR="00A97080" w:rsidRPr="00133E34" w:rsidRDefault="00A97080" w:rsidP="004534CD">
            <w:pPr>
              <w:rPr>
                <w:sz w:val="20"/>
                <w:szCs w:val="20"/>
              </w:rPr>
            </w:pPr>
          </w:p>
        </w:tc>
        <w:tc>
          <w:tcPr>
            <w:tcW w:w="3969" w:type="dxa"/>
            <w:vAlign w:val="center"/>
          </w:tcPr>
          <w:p w:rsidR="00A97080" w:rsidRPr="00133E34" w:rsidRDefault="00A97080" w:rsidP="004534CD">
            <w:pPr>
              <w:rPr>
                <w:sz w:val="20"/>
                <w:szCs w:val="20"/>
              </w:rPr>
            </w:pPr>
          </w:p>
        </w:tc>
        <w:tc>
          <w:tcPr>
            <w:tcW w:w="2127" w:type="dxa"/>
            <w:vAlign w:val="center"/>
          </w:tcPr>
          <w:p w:rsidR="00A97080" w:rsidRPr="00133E34" w:rsidRDefault="00A97080" w:rsidP="004534CD">
            <w:pPr>
              <w:rPr>
                <w:sz w:val="20"/>
                <w:szCs w:val="20"/>
              </w:rPr>
            </w:pPr>
          </w:p>
        </w:tc>
        <w:tc>
          <w:tcPr>
            <w:tcW w:w="2977" w:type="dxa"/>
            <w:vAlign w:val="center"/>
          </w:tcPr>
          <w:p w:rsidR="00A97080" w:rsidRPr="00133E34" w:rsidRDefault="00A97080" w:rsidP="004534CD">
            <w:pPr>
              <w:rPr>
                <w:sz w:val="20"/>
                <w:szCs w:val="20"/>
              </w:rPr>
            </w:pPr>
          </w:p>
        </w:tc>
      </w:tr>
      <w:tr w:rsidR="00A97080" w:rsidRPr="00133E34" w:rsidTr="004534CD">
        <w:tc>
          <w:tcPr>
            <w:tcW w:w="1535" w:type="dxa"/>
            <w:vAlign w:val="center"/>
          </w:tcPr>
          <w:p w:rsidR="00A97080" w:rsidRPr="00133E34" w:rsidRDefault="00A97080" w:rsidP="004534CD">
            <w:pPr>
              <w:rPr>
                <w:sz w:val="20"/>
                <w:szCs w:val="20"/>
              </w:rPr>
            </w:pPr>
            <w:r w:rsidRPr="00133E34">
              <w:rPr>
                <w:sz w:val="20"/>
                <w:szCs w:val="20"/>
              </w:rPr>
              <w:t>Effects of rezoning on offshore coral reef systems</w:t>
            </w:r>
          </w:p>
        </w:tc>
        <w:tc>
          <w:tcPr>
            <w:tcW w:w="1267" w:type="dxa"/>
            <w:vAlign w:val="center"/>
          </w:tcPr>
          <w:p w:rsidR="00A97080" w:rsidRPr="00133E34" w:rsidRDefault="00A97080" w:rsidP="004534CD">
            <w:pPr>
              <w:rPr>
                <w:sz w:val="20"/>
                <w:szCs w:val="20"/>
              </w:rPr>
            </w:pPr>
            <w:r w:rsidRPr="00133E34">
              <w:rPr>
                <w:sz w:val="20"/>
                <w:szCs w:val="20"/>
              </w:rPr>
              <w:t>AIMS</w:t>
            </w:r>
          </w:p>
        </w:tc>
        <w:tc>
          <w:tcPr>
            <w:tcW w:w="2126" w:type="dxa"/>
            <w:vAlign w:val="center"/>
          </w:tcPr>
          <w:p w:rsidR="00A97080" w:rsidRPr="00133E34" w:rsidRDefault="00A97080" w:rsidP="004534CD">
            <w:pPr>
              <w:rPr>
                <w:sz w:val="20"/>
                <w:szCs w:val="20"/>
              </w:rPr>
            </w:pPr>
            <w:r w:rsidRPr="00133E34">
              <w:rPr>
                <w:rFonts w:cs="Calibri"/>
                <w:sz w:val="20"/>
                <w:szCs w:val="20"/>
              </w:rPr>
              <w:t xml:space="preserve">To track management effectiveness in the development of effects of rezoning the GBRMP in 2004 on offshore </w:t>
            </w:r>
            <w:r w:rsidRPr="00133E34">
              <w:rPr>
                <w:rFonts w:cs="Calibri"/>
                <w:sz w:val="20"/>
                <w:szCs w:val="20"/>
              </w:rPr>
              <w:lastRenderedPageBreak/>
              <w:t>reefs</w:t>
            </w:r>
          </w:p>
        </w:tc>
        <w:tc>
          <w:tcPr>
            <w:tcW w:w="3969" w:type="dxa"/>
            <w:vAlign w:val="center"/>
          </w:tcPr>
          <w:p w:rsidR="00A97080" w:rsidRPr="00133E34" w:rsidRDefault="00A97080" w:rsidP="004534CD">
            <w:pPr>
              <w:rPr>
                <w:sz w:val="20"/>
                <w:szCs w:val="20"/>
              </w:rPr>
            </w:pPr>
            <w:r w:rsidRPr="00133E34">
              <w:rPr>
                <w:sz w:val="20"/>
                <w:szCs w:val="20"/>
              </w:rPr>
              <w:lastRenderedPageBreak/>
              <w:t>As AIMS LTMP above</w:t>
            </w:r>
          </w:p>
        </w:tc>
        <w:tc>
          <w:tcPr>
            <w:tcW w:w="2127" w:type="dxa"/>
            <w:vAlign w:val="center"/>
          </w:tcPr>
          <w:p w:rsidR="00A97080" w:rsidRPr="00133E34" w:rsidRDefault="00A97080" w:rsidP="004534CD">
            <w:pPr>
              <w:rPr>
                <w:sz w:val="20"/>
                <w:szCs w:val="20"/>
              </w:rPr>
            </w:pPr>
            <w:r w:rsidRPr="00133E34">
              <w:rPr>
                <w:sz w:val="20"/>
                <w:szCs w:val="20"/>
              </w:rPr>
              <w:t>6 reefs (out of 56 GBR-wide) in study area</w:t>
            </w:r>
          </w:p>
        </w:tc>
        <w:tc>
          <w:tcPr>
            <w:tcW w:w="2977" w:type="dxa"/>
            <w:vAlign w:val="center"/>
          </w:tcPr>
          <w:p w:rsidR="00A97080" w:rsidRPr="00133E34" w:rsidRDefault="00FB3343" w:rsidP="004534CD">
            <w:pPr>
              <w:rPr>
                <w:sz w:val="20"/>
                <w:szCs w:val="20"/>
              </w:rPr>
            </w:pPr>
            <w:hyperlink r:id="rId100" w:history="1">
              <w:r w:rsidR="00A97080" w:rsidRPr="00133E34">
                <w:rPr>
                  <w:rStyle w:val="Hyperlink"/>
                  <w:sz w:val="20"/>
                  <w:szCs w:val="20"/>
                </w:rPr>
                <w:t>http://www.nerptropical.edu.au/sites/default/files/publications/files/8.1%20NERP%20Factsheet.pdf</w:t>
              </w:r>
            </w:hyperlink>
            <w:r w:rsidR="00A97080" w:rsidRPr="00133E34">
              <w:rPr>
                <w:sz w:val="20"/>
                <w:szCs w:val="20"/>
              </w:rPr>
              <w:t xml:space="preserve"> </w:t>
            </w:r>
          </w:p>
        </w:tc>
      </w:tr>
      <w:tr w:rsidR="00A97080" w:rsidRPr="00133E34" w:rsidTr="004534CD">
        <w:tc>
          <w:tcPr>
            <w:tcW w:w="1535" w:type="dxa"/>
            <w:vAlign w:val="center"/>
          </w:tcPr>
          <w:p w:rsidR="00A97080" w:rsidRPr="00133E34" w:rsidRDefault="00A97080" w:rsidP="004534CD">
            <w:pPr>
              <w:rPr>
                <w:sz w:val="20"/>
                <w:szCs w:val="20"/>
              </w:rPr>
            </w:pPr>
            <w:r w:rsidRPr="00133E34">
              <w:rPr>
                <w:sz w:val="20"/>
                <w:szCs w:val="20"/>
              </w:rPr>
              <w:lastRenderedPageBreak/>
              <w:t>Assessing the effects of management zoning on inshore reefs of the</w:t>
            </w:r>
            <w:r>
              <w:rPr>
                <w:sz w:val="20"/>
                <w:szCs w:val="20"/>
              </w:rPr>
              <w:t xml:space="preserve"> Great Barrier Reef Marine Park</w:t>
            </w:r>
          </w:p>
        </w:tc>
        <w:tc>
          <w:tcPr>
            <w:tcW w:w="1267" w:type="dxa"/>
            <w:vAlign w:val="center"/>
          </w:tcPr>
          <w:p w:rsidR="00A97080" w:rsidRPr="00133E34" w:rsidRDefault="00A97080" w:rsidP="004534CD">
            <w:pPr>
              <w:rPr>
                <w:sz w:val="20"/>
                <w:szCs w:val="20"/>
              </w:rPr>
            </w:pPr>
            <w:r w:rsidRPr="00133E34">
              <w:rPr>
                <w:sz w:val="20"/>
                <w:szCs w:val="20"/>
              </w:rPr>
              <w:t>JCU</w:t>
            </w:r>
          </w:p>
        </w:tc>
        <w:tc>
          <w:tcPr>
            <w:tcW w:w="2126" w:type="dxa"/>
            <w:vAlign w:val="center"/>
          </w:tcPr>
          <w:p w:rsidR="00A97080" w:rsidRPr="00133E34" w:rsidRDefault="00A97080" w:rsidP="004534CD">
            <w:pPr>
              <w:rPr>
                <w:rFonts w:cs="Calibri"/>
                <w:sz w:val="20"/>
                <w:szCs w:val="20"/>
              </w:rPr>
            </w:pPr>
            <w:r w:rsidRPr="00133E34">
              <w:rPr>
                <w:rFonts w:cs="Calibri"/>
                <w:sz w:val="20"/>
                <w:szCs w:val="20"/>
              </w:rPr>
              <w:t>To track management effectiveness in the development of effects of rezoning the GBRMP in 2004 on inshore reefs</w:t>
            </w:r>
          </w:p>
        </w:tc>
        <w:tc>
          <w:tcPr>
            <w:tcW w:w="3969" w:type="dxa"/>
            <w:vAlign w:val="center"/>
          </w:tcPr>
          <w:p w:rsidR="00A97080" w:rsidRPr="00133E34" w:rsidRDefault="00A97080" w:rsidP="004534CD">
            <w:pPr>
              <w:autoSpaceDE w:val="0"/>
              <w:autoSpaceDN w:val="0"/>
              <w:adjustRightInd w:val="0"/>
              <w:rPr>
                <w:sz w:val="20"/>
                <w:szCs w:val="20"/>
              </w:rPr>
            </w:pPr>
            <w:r w:rsidRPr="00133E34">
              <w:rPr>
                <w:rFonts w:cs="Calibri"/>
                <w:sz w:val="20"/>
                <w:szCs w:val="20"/>
              </w:rPr>
              <w:t>Underwater visual census - Although 150 species of reef fish are surveyed, the analysis has focused on coral trout (</w:t>
            </w:r>
            <w:proofErr w:type="spellStart"/>
            <w:r w:rsidRPr="00133E34">
              <w:rPr>
                <w:rFonts w:cs="Calibri,Italic"/>
                <w:i/>
                <w:iCs/>
                <w:sz w:val="20"/>
                <w:szCs w:val="20"/>
              </w:rPr>
              <w:t>Plectropomus</w:t>
            </w:r>
            <w:proofErr w:type="spellEnd"/>
            <w:r w:rsidRPr="00133E34">
              <w:rPr>
                <w:rFonts w:cs="Calibri,Italic"/>
                <w:i/>
                <w:iCs/>
                <w:sz w:val="20"/>
                <w:szCs w:val="20"/>
              </w:rPr>
              <w:t xml:space="preserve"> </w:t>
            </w:r>
            <w:r w:rsidRPr="00133E34">
              <w:rPr>
                <w:rFonts w:cs="Calibri"/>
                <w:sz w:val="20"/>
                <w:szCs w:val="20"/>
              </w:rPr>
              <w:t xml:space="preserve">spp.), fishes that are coral trout prey, and fishes of particular interest such as </w:t>
            </w:r>
            <w:proofErr w:type="spellStart"/>
            <w:r w:rsidRPr="00133E34">
              <w:rPr>
                <w:rFonts w:cs="Calibri"/>
                <w:sz w:val="20"/>
                <w:szCs w:val="20"/>
              </w:rPr>
              <w:t>stripey</w:t>
            </w:r>
            <w:proofErr w:type="spellEnd"/>
            <w:r w:rsidRPr="00133E34">
              <w:rPr>
                <w:rFonts w:cs="Calibri"/>
                <w:sz w:val="20"/>
                <w:szCs w:val="20"/>
              </w:rPr>
              <w:t xml:space="preserve"> sea perch (</w:t>
            </w:r>
            <w:proofErr w:type="spellStart"/>
            <w:r w:rsidRPr="00133E34">
              <w:rPr>
                <w:rFonts w:cs="Calibri,Italic"/>
                <w:i/>
                <w:iCs/>
                <w:sz w:val="20"/>
                <w:szCs w:val="20"/>
              </w:rPr>
              <w:t>Lutjanus</w:t>
            </w:r>
            <w:proofErr w:type="spellEnd"/>
            <w:r w:rsidRPr="00133E34">
              <w:rPr>
                <w:rFonts w:cs="Calibri,Italic"/>
                <w:i/>
                <w:iCs/>
                <w:sz w:val="20"/>
                <w:szCs w:val="20"/>
              </w:rPr>
              <w:t xml:space="preserve"> </w:t>
            </w:r>
            <w:proofErr w:type="spellStart"/>
            <w:r w:rsidRPr="00133E34">
              <w:rPr>
                <w:rFonts w:cs="Calibri,Italic"/>
                <w:i/>
                <w:iCs/>
                <w:sz w:val="20"/>
                <w:szCs w:val="20"/>
              </w:rPr>
              <w:t>carponotatus</w:t>
            </w:r>
            <w:proofErr w:type="spellEnd"/>
            <w:r w:rsidRPr="00133E34">
              <w:rPr>
                <w:rFonts w:cs="Calibri"/>
                <w:sz w:val="20"/>
                <w:szCs w:val="20"/>
              </w:rPr>
              <w:t>). The biological characteristics of the coral reef communities and incidence of coral disease are also recorded.</w:t>
            </w:r>
          </w:p>
        </w:tc>
        <w:tc>
          <w:tcPr>
            <w:tcW w:w="2127" w:type="dxa"/>
            <w:vAlign w:val="center"/>
          </w:tcPr>
          <w:p w:rsidR="00A97080" w:rsidRPr="00133E34" w:rsidRDefault="00A97080" w:rsidP="004534CD">
            <w:pPr>
              <w:rPr>
                <w:sz w:val="20"/>
                <w:szCs w:val="20"/>
              </w:rPr>
            </w:pPr>
            <w:r w:rsidRPr="00133E34">
              <w:rPr>
                <w:sz w:val="20"/>
                <w:szCs w:val="20"/>
              </w:rPr>
              <w:t>12 sites in No-take areas and 12 sites open to fishing in the Whitsundays (Hook Whitsunday &amp; Border Islands)</w:t>
            </w:r>
          </w:p>
        </w:tc>
        <w:tc>
          <w:tcPr>
            <w:tcW w:w="2977" w:type="dxa"/>
            <w:vAlign w:val="center"/>
          </w:tcPr>
          <w:p w:rsidR="00A97080" w:rsidRPr="00133E34" w:rsidRDefault="00A97080" w:rsidP="004534CD">
            <w:pPr>
              <w:rPr>
                <w:sz w:val="20"/>
                <w:szCs w:val="20"/>
              </w:rPr>
            </w:pPr>
            <w:r w:rsidRPr="00133E34">
              <w:rPr>
                <w:rFonts w:cs="Calibri"/>
                <w:color w:val="0000FF"/>
                <w:sz w:val="20"/>
                <w:szCs w:val="20"/>
              </w:rPr>
              <w:t>http://www.nerptropical.edu.au/sites/default/files/publications/files/8.2%20NERP%20Factsheet_0.pdf</w:t>
            </w:r>
          </w:p>
        </w:tc>
      </w:tr>
      <w:tr w:rsidR="00A97080" w:rsidRPr="00133E34" w:rsidTr="004534CD">
        <w:tc>
          <w:tcPr>
            <w:tcW w:w="1535" w:type="dxa"/>
            <w:vAlign w:val="center"/>
          </w:tcPr>
          <w:p w:rsidR="00A97080" w:rsidRPr="00133E34" w:rsidRDefault="00A97080" w:rsidP="004534CD">
            <w:pPr>
              <w:rPr>
                <w:sz w:val="20"/>
                <w:szCs w:val="20"/>
              </w:rPr>
            </w:pPr>
            <w:r w:rsidRPr="00133E34">
              <w:rPr>
                <w:sz w:val="20"/>
                <w:szCs w:val="20"/>
              </w:rPr>
              <w:t>Compliance – Port of Mackay</w:t>
            </w:r>
          </w:p>
        </w:tc>
        <w:tc>
          <w:tcPr>
            <w:tcW w:w="1267" w:type="dxa"/>
            <w:vAlign w:val="center"/>
          </w:tcPr>
          <w:p w:rsidR="00A97080" w:rsidRPr="00133E34" w:rsidRDefault="00A97080" w:rsidP="004534CD">
            <w:pPr>
              <w:rPr>
                <w:sz w:val="20"/>
                <w:szCs w:val="20"/>
              </w:rPr>
            </w:pPr>
            <w:r w:rsidRPr="00133E34">
              <w:rPr>
                <w:sz w:val="20"/>
                <w:szCs w:val="20"/>
              </w:rPr>
              <w:t>NQBP</w:t>
            </w:r>
          </w:p>
        </w:tc>
        <w:tc>
          <w:tcPr>
            <w:tcW w:w="2126" w:type="dxa"/>
            <w:vAlign w:val="center"/>
          </w:tcPr>
          <w:p w:rsidR="00A97080" w:rsidRPr="00133E34" w:rsidRDefault="00A97080" w:rsidP="004534CD">
            <w:pPr>
              <w:rPr>
                <w:sz w:val="20"/>
                <w:szCs w:val="20"/>
              </w:rPr>
            </w:pPr>
            <w:r w:rsidRPr="00133E34">
              <w:rPr>
                <w:rFonts w:cs="Calibri"/>
                <w:sz w:val="20"/>
                <w:szCs w:val="20"/>
              </w:rPr>
              <w:t>To assess the overall state of the port environment or to detect any changes occurring</w:t>
            </w:r>
          </w:p>
        </w:tc>
        <w:tc>
          <w:tcPr>
            <w:tcW w:w="3969" w:type="dxa"/>
            <w:vAlign w:val="center"/>
          </w:tcPr>
          <w:p w:rsidR="00A97080" w:rsidRPr="00133E34" w:rsidRDefault="00A97080" w:rsidP="004534CD">
            <w:pPr>
              <w:autoSpaceDE w:val="0"/>
              <w:autoSpaceDN w:val="0"/>
              <w:adjustRightInd w:val="0"/>
              <w:rPr>
                <w:rFonts w:cs="Calibri"/>
                <w:sz w:val="20"/>
                <w:szCs w:val="20"/>
              </w:rPr>
            </w:pPr>
            <w:r w:rsidRPr="00133E34">
              <w:rPr>
                <w:rFonts w:cs="Calibri"/>
                <w:sz w:val="20"/>
                <w:szCs w:val="20"/>
              </w:rPr>
              <w:t>Coral [near dredge spoil disposal]</w:t>
            </w:r>
          </w:p>
          <w:p w:rsidR="00A97080" w:rsidRPr="00133E34" w:rsidRDefault="00A97080" w:rsidP="004534CD">
            <w:pPr>
              <w:autoSpaceDE w:val="0"/>
              <w:autoSpaceDN w:val="0"/>
              <w:adjustRightInd w:val="0"/>
              <w:rPr>
                <w:rFonts w:cs="Calibri"/>
                <w:sz w:val="20"/>
                <w:szCs w:val="20"/>
              </w:rPr>
            </w:pPr>
            <w:r w:rsidRPr="00133E34">
              <w:rPr>
                <w:rFonts w:cs="Calibri"/>
                <w:sz w:val="20"/>
                <w:szCs w:val="20"/>
              </w:rPr>
              <w:t>Benthic macro-invertebrates</w:t>
            </w:r>
          </w:p>
          <w:p w:rsidR="00A97080" w:rsidRPr="00133E34" w:rsidRDefault="00A97080" w:rsidP="004534CD">
            <w:pPr>
              <w:autoSpaceDE w:val="0"/>
              <w:autoSpaceDN w:val="0"/>
              <w:adjustRightInd w:val="0"/>
              <w:rPr>
                <w:rFonts w:cs="Calibri"/>
                <w:sz w:val="20"/>
                <w:szCs w:val="20"/>
              </w:rPr>
            </w:pPr>
            <w:r w:rsidRPr="00133E34">
              <w:rPr>
                <w:rFonts w:cs="Calibri"/>
                <w:sz w:val="20"/>
                <w:szCs w:val="20"/>
              </w:rPr>
              <w:t>Algae</w:t>
            </w:r>
          </w:p>
          <w:p w:rsidR="00A97080" w:rsidRPr="00133E34" w:rsidRDefault="00A97080" w:rsidP="004534CD">
            <w:pPr>
              <w:autoSpaceDE w:val="0"/>
              <w:autoSpaceDN w:val="0"/>
              <w:adjustRightInd w:val="0"/>
              <w:rPr>
                <w:rFonts w:cs="Calibri"/>
                <w:sz w:val="20"/>
                <w:szCs w:val="20"/>
              </w:rPr>
            </w:pPr>
            <w:r w:rsidRPr="00133E34">
              <w:rPr>
                <w:rFonts w:cs="Calibri"/>
                <w:sz w:val="20"/>
                <w:szCs w:val="20"/>
              </w:rPr>
              <w:t>Turtles</w:t>
            </w:r>
          </w:p>
          <w:p w:rsidR="00A97080" w:rsidRPr="00133E34" w:rsidRDefault="00A97080" w:rsidP="004534CD">
            <w:pPr>
              <w:autoSpaceDE w:val="0"/>
              <w:autoSpaceDN w:val="0"/>
              <w:adjustRightInd w:val="0"/>
              <w:rPr>
                <w:rFonts w:cs="Calibri"/>
                <w:sz w:val="20"/>
                <w:szCs w:val="20"/>
              </w:rPr>
            </w:pPr>
            <w:r w:rsidRPr="00133E34">
              <w:rPr>
                <w:rFonts w:cs="Calibri"/>
                <w:sz w:val="20"/>
                <w:szCs w:val="20"/>
              </w:rPr>
              <w:t>Marine mammals</w:t>
            </w:r>
          </w:p>
          <w:p w:rsidR="00A97080" w:rsidRPr="00133E34" w:rsidRDefault="00A97080" w:rsidP="004534CD">
            <w:pPr>
              <w:autoSpaceDE w:val="0"/>
              <w:autoSpaceDN w:val="0"/>
              <w:adjustRightInd w:val="0"/>
              <w:rPr>
                <w:rFonts w:cs="Calibri"/>
                <w:sz w:val="20"/>
                <w:szCs w:val="20"/>
              </w:rPr>
            </w:pPr>
            <w:r w:rsidRPr="00133E34">
              <w:rPr>
                <w:rFonts w:cs="Calibri"/>
                <w:sz w:val="20"/>
                <w:szCs w:val="20"/>
              </w:rPr>
              <w:t>Fisheries</w:t>
            </w:r>
          </w:p>
          <w:p w:rsidR="00A97080" w:rsidRPr="00133E34" w:rsidRDefault="00A97080" w:rsidP="004534CD">
            <w:pPr>
              <w:autoSpaceDE w:val="0"/>
              <w:autoSpaceDN w:val="0"/>
              <w:adjustRightInd w:val="0"/>
              <w:rPr>
                <w:rFonts w:cs="Calibri"/>
                <w:sz w:val="20"/>
                <w:szCs w:val="20"/>
              </w:rPr>
            </w:pPr>
            <w:r w:rsidRPr="00133E34">
              <w:rPr>
                <w:rFonts w:cs="Calibri"/>
                <w:sz w:val="20"/>
                <w:szCs w:val="20"/>
              </w:rPr>
              <w:t>Marine water quality</w:t>
            </w:r>
          </w:p>
          <w:p w:rsidR="00A97080" w:rsidRPr="00133E34" w:rsidRDefault="00A97080" w:rsidP="004534CD">
            <w:pPr>
              <w:autoSpaceDE w:val="0"/>
              <w:autoSpaceDN w:val="0"/>
              <w:adjustRightInd w:val="0"/>
              <w:rPr>
                <w:rFonts w:cs="Calibri"/>
                <w:sz w:val="20"/>
                <w:szCs w:val="20"/>
              </w:rPr>
            </w:pPr>
            <w:r w:rsidRPr="00133E34">
              <w:rPr>
                <w:rFonts w:cs="Calibri"/>
                <w:sz w:val="20"/>
                <w:szCs w:val="20"/>
              </w:rPr>
              <w:t>Marine sediment quality</w:t>
            </w:r>
          </w:p>
          <w:p w:rsidR="00A97080" w:rsidRPr="00133E34" w:rsidRDefault="00A97080" w:rsidP="004534CD">
            <w:pPr>
              <w:rPr>
                <w:sz w:val="20"/>
                <w:szCs w:val="20"/>
              </w:rPr>
            </w:pPr>
            <w:r w:rsidRPr="00133E34">
              <w:rPr>
                <w:rFonts w:cs="Calibri"/>
                <w:sz w:val="20"/>
                <w:szCs w:val="20"/>
              </w:rPr>
              <w:t>Noise &amp; vibration</w:t>
            </w:r>
          </w:p>
        </w:tc>
        <w:tc>
          <w:tcPr>
            <w:tcW w:w="2127" w:type="dxa"/>
            <w:vAlign w:val="center"/>
          </w:tcPr>
          <w:p w:rsidR="00A97080" w:rsidRPr="00133E34" w:rsidRDefault="00A97080" w:rsidP="004534CD">
            <w:pPr>
              <w:rPr>
                <w:sz w:val="20"/>
                <w:szCs w:val="20"/>
              </w:rPr>
            </w:pPr>
            <w:r w:rsidRPr="00133E34">
              <w:rPr>
                <w:sz w:val="20"/>
                <w:szCs w:val="20"/>
              </w:rPr>
              <w:t>Sites around the Port</w:t>
            </w:r>
          </w:p>
        </w:tc>
        <w:tc>
          <w:tcPr>
            <w:tcW w:w="2977" w:type="dxa"/>
            <w:vAlign w:val="center"/>
          </w:tcPr>
          <w:p w:rsidR="00A97080" w:rsidRPr="00133E34" w:rsidRDefault="00A97080" w:rsidP="004534CD">
            <w:pPr>
              <w:rPr>
                <w:sz w:val="20"/>
                <w:szCs w:val="20"/>
              </w:rPr>
            </w:pPr>
          </w:p>
        </w:tc>
      </w:tr>
      <w:tr w:rsidR="00A97080" w:rsidRPr="00133E34" w:rsidTr="004534CD">
        <w:tc>
          <w:tcPr>
            <w:tcW w:w="1535" w:type="dxa"/>
            <w:vAlign w:val="center"/>
          </w:tcPr>
          <w:p w:rsidR="00A97080" w:rsidRPr="00133E34" w:rsidRDefault="00A97080" w:rsidP="004534CD">
            <w:pPr>
              <w:rPr>
                <w:sz w:val="20"/>
                <w:szCs w:val="20"/>
              </w:rPr>
            </w:pPr>
            <w:r w:rsidRPr="00133E34">
              <w:rPr>
                <w:sz w:val="20"/>
                <w:szCs w:val="20"/>
              </w:rPr>
              <w:t>Compliance – Port of Abbott Point</w:t>
            </w:r>
          </w:p>
        </w:tc>
        <w:tc>
          <w:tcPr>
            <w:tcW w:w="1267" w:type="dxa"/>
            <w:vAlign w:val="center"/>
          </w:tcPr>
          <w:p w:rsidR="00A97080" w:rsidRPr="00133E34" w:rsidRDefault="00A97080" w:rsidP="004534CD">
            <w:pPr>
              <w:rPr>
                <w:sz w:val="20"/>
                <w:szCs w:val="20"/>
              </w:rPr>
            </w:pPr>
            <w:r w:rsidRPr="00133E34">
              <w:rPr>
                <w:sz w:val="20"/>
                <w:szCs w:val="20"/>
              </w:rPr>
              <w:t>NQBP</w:t>
            </w:r>
          </w:p>
        </w:tc>
        <w:tc>
          <w:tcPr>
            <w:tcW w:w="2126" w:type="dxa"/>
            <w:vAlign w:val="center"/>
          </w:tcPr>
          <w:p w:rsidR="00A97080" w:rsidRPr="00133E34" w:rsidRDefault="00A97080" w:rsidP="004534CD">
            <w:pPr>
              <w:autoSpaceDE w:val="0"/>
              <w:autoSpaceDN w:val="0"/>
              <w:adjustRightInd w:val="0"/>
              <w:rPr>
                <w:rFonts w:cs="Calibri"/>
                <w:sz w:val="20"/>
                <w:szCs w:val="20"/>
              </w:rPr>
            </w:pPr>
            <w:r w:rsidRPr="00133E34">
              <w:rPr>
                <w:rFonts w:cs="Calibri"/>
                <w:sz w:val="20"/>
                <w:szCs w:val="20"/>
              </w:rPr>
              <w:t>To assess the overall state of the port environment or to</w:t>
            </w:r>
          </w:p>
          <w:p w:rsidR="00A97080" w:rsidRPr="00133E34" w:rsidRDefault="00A97080" w:rsidP="004534CD">
            <w:pPr>
              <w:rPr>
                <w:sz w:val="20"/>
                <w:szCs w:val="20"/>
              </w:rPr>
            </w:pPr>
            <w:r w:rsidRPr="00133E34">
              <w:rPr>
                <w:rFonts w:cs="Calibri"/>
                <w:sz w:val="20"/>
                <w:szCs w:val="20"/>
              </w:rPr>
              <w:t>detect any changes occurring</w:t>
            </w:r>
          </w:p>
        </w:tc>
        <w:tc>
          <w:tcPr>
            <w:tcW w:w="3969" w:type="dxa"/>
            <w:vAlign w:val="center"/>
          </w:tcPr>
          <w:p w:rsidR="00A97080" w:rsidRPr="00133E34" w:rsidRDefault="00A97080" w:rsidP="004534CD">
            <w:pPr>
              <w:autoSpaceDE w:val="0"/>
              <w:autoSpaceDN w:val="0"/>
              <w:adjustRightInd w:val="0"/>
              <w:rPr>
                <w:rFonts w:cs="Calibri"/>
                <w:sz w:val="20"/>
                <w:szCs w:val="20"/>
              </w:rPr>
            </w:pPr>
            <w:proofErr w:type="spellStart"/>
            <w:r w:rsidRPr="00133E34">
              <w:rPr>
                <w:rFonts w:cs="Calibri"/>
                <w:sz w:val="20"/>
                <w:szCs w:val="20"/>
              </w:rPr>
              <w:t>Seagrass</w:t>
            </w:r>
            <w:proofErr w:type="spellEnd"/>
            <w:r w:rsidRPr="00133E34">
              <w:rPr>
                <w:rFonts w:cs="Calibri"/>
                <w:sz w:val="20"/>
                <w:szCs w:val="20"/>
              </w:rPr>
              <w:t xml:space="preserve"> communities</w:t>
            </w:r>
          </w:p>
          <w:p w:rsidR="00A97080" w:rsidRPr="00133E34" w:rsidRDefault="00A97080" w:rsidP="004534CD">
            <w:pPr>
              <w:autoSpaceDE w:val="0"/>
              <w:autoSpaceDN w:val="0"/>
              <w:adjustRightInd w:val="0"/>
              <w:rPr>
                <w:rFonts w:cs="Calibri"/>
                <w:sz w:val="20"/>
                <w:szCs w:val="20"/>
              </w:rPr>
            </w:pPr>
            <w:r w:rsidRPr="00133E34">
              <w:rPr>
                <w:rFonts w:cs="Calibri"/>
                <w:sz w:val="20"/>
                <w:szCs w:val="20"/>
              </w:rPr>
              <w:t>Coral communities</w:t>
            </w:r>
          </w:p>
          <w:p w:rsidR="00A97080" w:rsidRPr="00133E34" w:rsidRDefault="00A97080" w:rsidP="004534CD">
            <w:pPr>
              <w:autoSpaceDE w:val="0"/>
              <w:autoSpaceDN w:val="0"/>
              <w:adjustRightInd w:val="0"/>
              <w:rPr>
                <w:rFonts w:cs="Calibri"/>
                <w:sz w:val="20"/>
                <w:szCs w:val="20"/>
              </w:rPr>
            </w:pPr>
            <w:r w:rsidRPr="00133E34">
              <w:rPr>
                <w:rFonts w:cs="Calibri"/>
                <w:sz w:val="20"/>
                <w:szCs w:val="20"/>
              </w:rPr>
              <w:t>Benthic macro-invertebrates</w:t>
            </w:r>
          </w:p>
          <w:p w:rsidR="00A97080" w:rsidRPr="00133E34" w:rsidRDefault="00A97080" w:rsidP="004534CD">
            <w:pPr>
              <w:autoSpaceDE w:val="0"/>
              <w:autoSpaceDN w:val="0"/>
              <w:adjustRightInd w:val="0"/>
              <w:rPr>
                <w:rFonts w:cs="Calibri"/>
                <w:sz w:val="20"/>
                <w:szCs w:val="20"/>
              </w:rPr>
            </w:pPr>
            <w:r w:rsidRPr="00133E34">
              <w:rPr>
                <w:rFonts w:cs="Calibri"/>
                <w:sz w:val="20"/>
                <w:szCs w:val="20"/>
              </w:rPr>
              <w:t>Algae</w:t>
            </w:r>
          </w:p>
          <w:p w:rsidR="00A97080" w:rsidRPr="00133E34" w:rsidRDefault="00A97080" w:rsidP="004534CD">
            <w:pPr>
              <w:autoSpaceDE w:val="0"/>
              <w:autoSpaceDN w:val="0"/>
              <w:adjustRightInd w:val="0"/>
              <w:rPr>
                <w:rFonts w:cs="Calibri"/>
                <w:sz w:val="20"/>
                <w:szCs w:val="20"/>
              </w:rPr>
            </w:pPr>
            <w:r w:rsidRPr="00133E34">
              <w:rPr>
                <w:rFonts w:cs="Calibri"/>
                <w:sz w:val="20"/>
                <w:szCs w:val="20"/>
              </w:rPr>
              <w:t>Turtles</w:t>
            </w:r>
          </w:p>
          <w:p w:rsidR="00A97080" w:rsidRPr="00133E34" w:rsidRDefault="00A97080" w:rsidP="004534CD">
            <w:pPr>
              <w:autoSpaceDE w:val="0"/>
              <w:autoSpaceDN w:val="0"/>
              <w:adjustRightInd w:val="0"/>
              <w:rPr>
                <w:rFonts w:cs="Calibri"/>
                <w:sz w:val="20"/>
                <w:szCs w:val="20"/>
              </w:rPr>
            </w:pPr>
            <w:r w:rsidRPr="00133E34">
              <w:rPr>
                <w:rFonts w:cs="Calibri"/>
                <w:sz w:val="20"/>
                <w:szCs w:val="20"/>
              </w:rPr>
              <w:t>Marine mammals</w:t>
            </w:r>
          </w:p>
          <w:p w:rsidR="00A97080" w:rsidRPr="00133E34" w:rsidRDefault="00A97080" w:rsidP="004534CD">
            <w:pPr>
              <w:autoSpaceDE w:val="0"/>
              <w:autoSpaceDN w:val="0"/>
              <w:adjustRightInd w:val="0"/>
              <w:rPr>
                <w:rFonts w:cs="Calibri"/>
                <w:sz w:val="20"/>
                <w:szCs w:val="20"/>
              </w:rPr>
            </w:pPr>
            <w:r w:rsidRPr="00133E34">
              <w:rPr>
                <w:rFonts w:cs="Calibri"/>
                <w:sz w:val="20"/>
                <w:szCs w:val="20"/>
              </w:rPr>
              <w:t>Fisheries</w:t>
            </w:r>
          </w:p>
          <w:p w:rsidR="00A97080" w:rsidRPr="00133E34" w:rsidRDefault="00A97080" w:rsidP="004534CD">
            <w:pPr>
              <w:autoSpaceDE w:val="0"/>
              <w:autoSpaceDN w:val="0"/>
              <w:adjustRightInd w:val="0"/>
              <w:rPr>
                <w:rFonts w:cs="Calibri"/>
                <w:sz w:val="20"/>
                <w:szCs w:val="20"/>
              </w:rPr>
            </w:pPr>
            <w:r w:rsidRPr="00133E34">
              <w:rPr>
                <w:rFonts w:cs="Calibri"/>
                <w:sz w:val="20"/>
                <w:szCs w:val="20"/>
              </w:rPr>
              <w:t>Marine water quality</w:t>
            </w:r>
          </w:p>
          <w:p w:rsidR="00A97080" w:rsidRPr="00133E34" w:rsidRDefault="00A97080" w:rsidP="004534CD">
            <w:pPr>
              <w:autoSpaceDE w:val="0"/>
              <w:autoSpaceDN w:val="0"/>
              <w:adjustRightInd w:val="0"/>
              <w:rPr>
                <w:rFonts w:cs="Calibri"/>
                <w:sz w:val="20"/>
                <w:szCs w:val="20"/>
              </w:rPr>
            </w:pPr>
            <w:r w:rsidRPr="00133E34">
              <w:rPr>
                <w:rFonts w:cs="Calibri"/>
                <w:sz w:val="20"/>
                <w:szCs w:val="20"/>
              </w:rPr>
              <w:t>Marine sediment quality</w:t>
            </w:r>
          </w:p>
          <w:p w:rsidR="00A97080" w:rsidRPr="00133E34" w:rsidRDefault="00A97080" w:rsidP="004534CD">
            <w:pPr>
              <w:rPr>
                <w:rFonts w:cs="Calibri"/>
                <w:sz w:val="20"/>
                <w:szCs w:val="20"/>
              </w:rPr>
            </w:pPr>
            <w:r w:rsidRPr="00133E34">
              <w:rPr>
                <w:rFonts w:cs="Calibri"/>
                <w:sz w:val="20"/>
                <w:szCs w:val="20"/>
              </w:rPr>
              <w:t>Noise &amp; vibration</w:t>
            </w:r>
          </w:p>
          <w:p w:rsidR="00A97080" w:rsidRPr="00133E34" w:rsidRDefault="00A97080" w:rsidP="004534CD">
            <w:pPr>
              <w:rPr>
                <w:sz w:val="20"/>
                <w:szCs w:val="20"/>
              </w:rPr>
            </w:pPr>
            <w:r w:rsidRPr="00133E34">
              <w:rPr>
                <w:rFonts w:cs="Calibri"/>
                <w:sz w:val="20"/>
                <w:szCs w:val="20"/>
              </w:rPr>
              <w:t xml:space="preserve">Migratory birds &amp; </w:t>
            </w:r>
            <w:proofErr w:type="spellStart"/>
            <w:r w:rsidRPr="00133E34">
              <w:rPr>
                <w:rFonts w:cs="Calibri"/>
                <w:sz w:val="20"/>
                <w:szCs w:val="20"/>
              </w:rPr>
              <w:t>waterbirds</w:t>
            </w:r>
            <w:proofErr w:type="spellEnd"/>
          </w:p>
        </w:tc>
        <w:tc>
          <w:tcPr>
            <w:tcW w:w="2127" w:type="dxa"/>
            <w:vAlign w:val="center"/>
          </w:tcPr>
          <w:p w:rsidR="00A97080" w:rsidRPr="00133E34" w:rsidRDefault="00A97080" w:rsidP="004534CD">
            <w:pPr>
              <w:rPr>
                <w:sz w:val="20"/>
                <w:szCs w:val="20"/>
              </w:rPr>
            </w:pPr>
            <w:r w:rsidRPr="00133E34">
              <w:rPr>
                <w:sz w:val="20"/>
                <w:szCs w:val="20"/>
              </w:rPr>
              <w:t>Sites around the Port</w:t>
            </w:r>
          </w:p>
        </w:tc>
        <w:tc>
          <w:tcPr>
            <w:tcW w:w="2977" w:type="dxa"/>
            <w:vAlign w:val="center"/>
          </w:tcPr>
          <w:p w:rsidR="00A97080" w:rsidRPr="00133E34" w:rsidRDefault="00FB3343" w:rsidP="004534CD">
            <w:pPr>
              <w:rPr>
                <w:sz w:val="20"/>
                <w:szCs w:val="20"/>
              </w:rPr>
            </w:pPr>
            <w:hyperlink r:id="rId101" w:history="1">
              <w:r w:rsidR="00A97080" w:rsidRPr="00133E34">
                <w:rPr>
                  <w:rStyle w:val="Hyperlink"/>
                  <w:sz w:val="20"/>
                  <w:szCs w:val="20"/>
                </w:rPr>
                <w:t>http://www.nqbp.com.au/abbot-point/</w:t>
              </w:r>
            </w:hyperlink>
            <w:r w:rsidR="00A97080" w:rsidRPr="00133E34">
              <w:rPr>
                <w:sz w:val="20"/>
                <w:szCs w:val="20"/>
              </w:rPr>
              <w:t xml:space="preserve">  (with links to Abbott Point cumulative impact assessment reports)</w:t>
            </w:r>
          </w:p>
        </w:tc>
      </w:tr>
      <w:tr w:rsidR="00A97080" w:rsidRPr="00133E34" w:rsidTr="004534CD">
        <w:tc>
          <w:tcPr>
            <w:tcW w:w="1535" w:type="dxa"/>
            <w:vAlign w:val="center"/>
          </w:tcPr>
          <w:p w:rsidR="00A97080" w:rsidRPr="00133E34" w:rsidRDefault="00A97080" w:rsidP="004534CD">
            <w:pPr>
              <w:rPr>
                <w:sz w:val="20"/>
                <w:szCs w:val="20"/>
              </w:rPr>
            </w:pPr>
            <w:r w:rsidRPr="00133E34">
              <w:rPr>
                <w:sz w:val="20"/>
                <w:szCs w:val="20"/>
              </w:rPr>
              <w:t>Compliance – Port of Hay Point</w:t>
            </w:r>
          </w:p>
        </w:tc>
        <w:tc>
          <w:tcPr>
            <w:tcW w:w="1267" w:type="dxa"/>
            <w:vAlign w:val="center"/>
          </w:tcPr>
          <w:p w:rsidR="00A97080" w:rsidRPr="00133E34" w:rsidRDefault="00A97080" w:rsidP="004534CD">
            <w:pPr>
              <w:rPr>
                <w:sz w:val="20"/>
                <w:szCs w:val="20"/>
              </w:rPr>
            </w:pPr>
            <w:r w:rsidRPr="00133E34">
              <w:rPr>
                <w:sz w:val="20"/>
                <w:szCs w:val="20"/>
              </w:rPr>
              <w:t>NQBP</w:t>
            </w:r>
          </w:p>
        </w:tc>
        <w:tc>
          <w:tcPr>
            <w:tcW w:w="2126" w:type="dxa"/>
            <w:vAlign w:val="center"/>
          </w:tcPr>
          <w:p w:rsidR="00A97080" w:rsidRPr="00133E34" w:rsidRDefault="00A97080" w:rsidP="004534CD">
            <w:pPr>
              <w:autoSpaceDE w:val="0"/>
              <w:autoSpaceDN w:val="0"/>
              <w:adjustRightInd w:val="0"/>
              <w:rPr>
                <w:rFonts w:cs="Calibri"/>
                <w:sz w:val="20"/>
                <w:szCs w:val="20"/>
              </w:rPr>
            </w:pPr>
            <w:r w:rsidRPr="00133E34">
              <w:rPr>
                <w:rFonts w:cs="Calibri"/>
                <w:sz w:val="20"/>
                <w:szCs w:val="20"/>
              </w:rPr>
              <w:t>To assess the overall state of the port environment or to</w:t>
            </w:r>
          </w:p>
          <w:p w:rsidR="00A97080" w:rsidRPr="00133E34" w:rsidRDefault="00A97080" w:rsidP="004534CD">
            <w:pPr>
              <w:rPr>
                <w:sz w:val="20"/>
                <w:szCs w:val="20"/>
              </w:rPr>
            </w:pPr>
            <w:r w:rsidRPr="00133E34">
              <w:rPr>
                <w:rFonts w:cs="Calibri"/>
                <w:sz w:val="20"/>
                <w:szCs w:val="20"/>
              </w:rPr>
              <w:t>detect any changes occurring</w:t>
            </w:r>
          </w:p>
        </w:tc>
        <w:tc>
          <w:tcPr>
            <w:tcW w:w="3969" w:type="dxa"/>
            <w:vAlign w:val="center"/>
          </w:tcPr>
          <w:p w:rsidR="00A97080" w:rsidRPr="00133E34" w:rsidRDefault="00A97080" w:rsidP="004534CD">
            <w:pPr>
              <w:autoSpaceDE w:val="0"/>
              <w:autoSpaceDN w:val="0"/>
              <w:adjustRightInd w:val="0"/>
              <w:rPr>
                <w:rFonts w:cs="Calibri"/>
                <w:sz w:val="20"/>
                <w:szCs w:val="20"/>
              </w:rPr>
            </w:pPr>
            <w:proofErr w:type="spellStart"/>
            <w:r w:rsidRPr="00133E34">
              <w:rPr>
                <w:rFonts w:cs="Calibri"/>
                <w:sz w:val="20"/>
                <w:szCs w:val="20"/>
              </w:rPr>
              <w:t>Seagrass</w:t>
            </w:r>
            <w:proofErr w:type="spellEnd"/>
            <w:r w:rsidRPr="00133E34">
              <w:rPr>
                <w:rFonts w:cs="Calibri"/>
                <w:sz w:val="20"/>
                <w:szCs w:val="20"/>
              </w:rPr>
              <w:t xml:space="preserve"> communities</w:t>
            </w:r>
          </w:p>
          <w:p w:rsidR="00A97080" w:rsidRPr="00133E34" w:rsidRDefault="00A97080" w:rsidP="004534CD">
            <w:pPr>
              <w:autoSpaceDE w:val="0"/>
              <w:autoSpaceDN w:val="0"/>
              <w:adjustRightInd w:val="0"/>
              <w:rPr>
                <w:rFonts w:cs="Calibri"/>
                <w:sz w:val="20"/>
                <w:szCs w:val="20"/>
              </w:rPr>
            </w:pPr>
            <w:r w:rsidRPr="00133E34">
              <w:rPr>
                <w:rFonts w:cs="Calibri"/>
                <w:sz w:val="20"/>
                <w:szCs w:val="20"/>
              </w:rPr>
              <w:t>Coral communities</w:t>
            </w:r>
          </w:p>
          <w:p w:rsidR="00A97080" w:rsidRPr="00133E34" w:rsidRDefault="00A97080" w:rsidP="004534CD">
            <w:pPr>
              <w:autoSpaceDE w:val="0"/>
              <w:autoSpaceDN w:val="0"/>
              <w:adjustRightInd w:val="0"/>
              <w:rPr>
                <w:rFonts w:cs="Calibri"/>
                <w:sz w:val="20"/>
                <w:szCs w:val="20"/>
              </w:rPr>
            </w:pPr>
            <w:r w:rsidRPr="00133E34">
              <w:rPr>
                <w:rFonts w:cs="Calibri"/>
                <w:sz w:val="20"/>
                <w:szCs w:val="20"/>
              </w:rPr>
              <w:t>Benthic macro-invertebrates</w:t>
            </w:r>
          </w:p>
          <w:p w:rsidR="00A97080" w:rsidRPr="00133E34" w:rsidRDefault="00A97080" w:rsidP="004534CD">
            <w:pPr>
              <w:autoSpaceDE w:val="0"/>
              <w:autoSpaceDN w:val="0"/>
              <w:adjustRightInd w:val="0"/>
              <w:rPr>
                <w:rFonts w:cs="Calibri"/>
                <w:sz w:val="20"/>
                <w:szCs w:val="20"/>
              </w:rPr>
            </w:pPr>
            <w:r w:rsidRPr="00133E34">
              <w:rPr>
                <w:rFonts w:cs="Calibri"/>
                <w:sz w:val="20"/>
                <w:szCs w:val="20"/>
              </w:rPr>
              <w:t>Algae</w:t>
            </w:r>
          </w:p>
          <w:p w:rsidR="00A97080" w:rsidRPr="00133E34" w:rsidRDefault="00A97080" w:rsidP="004534CD">
            <w:pPr>
              <w:autoSpaceDE w:val="0"/>
              <w:autoSpaceDN w:val="0"/>
              <w:adjustRightInd w:val="0"/>
              <w:rPr>
                <w:rFonts w:cs="Calibri"/>
                <w:sz w:val="20"/>
                <w:szCs w:val="20"/>
              </w:rPr>
            </w:pPr>
            <w:r w:rsidRPr="00133E34">
              <w:rPr>
                <w:rFonts w:cs="Calibri"/>
                <w:sz w:val="20"/>
                <w:szCs w:val="20"/>
              </w:rPr>
              <w:t>Turtles</w:t>
            </w:r>
          </w:p>
          <w:p w:rsidR="00A97080" w:rsidRPr="00133E34" w:rsidRDefault="00A97080" w:rsidP="004534CD">
            <w:pPr>
              <w:autoSpaceDE w:val="0"/>
              <w:autoSpaceDN w:val="0"/>
              <w:adjustRightInd w:val="0"/>
              <w:rPr>
                <w:rFonts w:cs="Calibri"/>
                <w:sz w:val="20"/>
                <w:szCs w:val="20"/>
              </w:rPr>
            </w:pPr>
            <w:r w:rsidRPr="00133E34">
              <w:rPr>
                <w:rFonts w:cs="Calibri"/>
                <w:sz w:val="20"/>
                <w:szCs w:val="20"/>
              </w:rPr>
              <w:lastRenderedPageBreak/>
              <w:t>Marine mammals</w:t>
            </w:r>
          </w:p>
          <w:p w:rsidR="00A97080" w:rsidRPr="00133E34" w:rsidRDefault="00A97080" w:rsidP="004534CD">
            <w:pPr>
              <w:autoSpaceDE w:val="0"/>
              <w:autoSpaceDN w:val="0"/>
              <w:adjustRightInd w:val="0"/>
              <w:rPr>
                <w:rFonts w:cs="Calibri"/>
                <w:sz w:val="20"/>
                <w:szCs w:val="20"/>
              </w:rPr>
            </w:pPr>
            <w:r w:rsidRPr="00133E34">
              <w:rPr>
                <w:rFonts w:cs="Calibri"/>
                <w:sz w:val="20"/>
                <w:szCs w:val="20"/>
              </w:rPr>
              <w:t>Fisheries</w:t>
            </w:r>
          </w:p>
          <w:p w:rsidR="00A97080" w:rsidRPr="00133E34" w:rsidRDefault="00A97080" w:rsidP="004534CD">
            <w:pPr>
              <w:autoSpaceDE w:val="0"/>
              <w:autoSpaceDN w:val="0"/>
              <w:adjustRightInd w:val="0"/>
              <w:rPr>
                <w:rFonts w:cs="Calibri"/>
                <w:sz w:val="20"/>
                <w:szCs w:val="20"/>
              </w:rPr>
            </w:pPr>
            <w:r w:rsidRPr="00133E34">
              <w:rPr>
                <w:rFonts w:cs="Calibri"/>
                <w:sz w:val="20"/>
                <w:szCs w:val="20"/>
              </w:rPr>
              <w:t>Marine water quality</w:t>
            </w:r>
          </w:p>
          <w:p w:rsidR="00A97080" w:rsidRPr="00133E34" w:rsidRDefault="00A97080" w:rsidP="004534CD">
            <w:pPr>
              <w:autoSpaceDE w:val="0"/>
              <w:autoSpaceDN w:val="0"/>
              <w:adjustRightInd w:val="0"/>
              <w:rPr>
                <w:rFonts w:cs="Calibri"/>
                <w:sz w:val="20"/>
                <w:szCs w:val="20"/>
              </w:rPr>
            </w:pPr>
            <w:r w:rsidRPr="00133E34">
              <w:rPr>
                <w:rFonts w:cs="Calibri"/>
                <w:sz w:val="20"/>
                <w:szCs w:val="20"/>
              </w:rPr>
              <w:t>Marine sediment quality</w:t>
            </w:r>
          </w:p>
          <w:p w:rsidR="00A97080" w:rsidRPr="00133E34" w:rsidRDefault="00A97080" w:rsidP="004534CD">
            <w:pPr>
              <w:rPr>
                <w:sz w:val="20"/>
                <w:szCs w:val="20"/>
              </w:rPr>
            </w:pPr>
            <w:r w:rsidRPr="00133E34">
              <w:rPr>
                <w:rFonts w:cs="Calibri"/>
                <w:sz w:val="20"/>
                <w:szCs w:val="20"/>
              </w:rPr>
              <w:t>Noise &amp; vibration</w:t>
            </w:r>
          </w:p>
        </w:tc>
        <w:tc>
          <w:tcPr>
            <w:tcW w:w="2127" w:type="dxa"/>
            <w:vAlign w:val="center"/>
          </w:tcPr>
          <w:p w:rsidR="00A97080" w:rsidRPr="00133E34" w:rsidRDefault="00A97080" w:rsidP="004534CD">
            <w:pPr>
              <w:rPr>
                <w:sz w:val="20"/>
                <w:szCs w:val="20"/>
              </w:rPr>
            </w:pPr>
            <w:r w:rsidRPr="00133E34">
              <w:rPr>
                <w:sz w:val="20"/>
                <w:szCs w:val="20"/>
              </w:rPr>
              <w:lastRenderedPageBreak/>
              <w:t>Sites around the Port</w:t>
            </w:r>
          </w:p>
        </w:tc>
        <w:tc>
          <w:tcPr>
            <w:tcW w:w="2977" w:type="dxa"/>
            <w:vAlign w:val="center"/>
          </w:tcPr>
          <w:p w:rsidR="00A97080" w:rsidRPr="00133E34" w:rsidRDefault="00A97080" w:rsidP="004534CD">
            <w:pPr>
              <w:rPr>
                <w:sz w:val="20"/>
                <w:szCs w:val="20"/>
              </w:rPr>
            </w:pPr>
          </w:p>
        </w:tc>
      </w:tr>
      <w:tr w:rsidR="00A97080" w:rsidRPr="00133E34" w:rsidTr="004534CD">
        <w:tc>
          <w:tcPr>
            <w:tcW w:w="1535" w:type="dxa"/>
            <w:vAlign w:val="center"/>
          </w:tcPr>
          <w:p w:rsidR="00A97080" w:rsidRPr="00133E34" w:rsidRDefault="00A97080" w:rsidP="004534CD">
            <w:pPr>
              <w:rPr>
                <w:sz w:val="20"/>
                <w:szCs w:val="20"/>
              </w:rPr>
            </w:pPr>
            <w:r w:rsidRPr="002103D7">
              <w:rPr>
                <w:sz w:val="20"/>
                <w:szCs w:val="20"/>
              </w:rPr>
              <w:lastRenderedPageBreak/>
              <w:t xml:space="preserve">Port of Mackay </w:t>
            </w:r>
            <w:r>
              <w:rPr>
                <w:sz w:val="20"/>
                <w:szCs w:val="20"/>
              </w:rPr>
              <w:t>&amp;</w:t>
            </w:r>
            <w:r w:rsidRPr="002103D7">
              <w:rPr>
                <w:sz w:val="20"/>
                <w:szCs w:val="20"/>
              </w:rPr>
              <w:t xml:space="preserve"> Hay Point Ambient Marine Water Quality Monitoring Program</w:t>
            </w:r>
          </w:p>
        </w:tc>
        <w:tc>
          <w:tcPr>
            <w:tcW w:w="1267" w:type="dxa"/>
            <w:vAlign w:val="center"/>
          </w:tcPr>
          <w:p w:rsidR="00A97080" w:rsidRPr="00133E34" w:rsidRDefault="00A97080" w:rsidP="004534CD">
            <w:pPr>
              <w:rPr>
                <w:sz w:val="20"/>
                <w:szCs w:val="20"/>
              </w:rPr>
            </w:pPr>
            <w:r>
              <w:rPr>
                <w:sz w:val="20"/>
                <w:szCs w:val="20"/>
              </w:rPr>
              <w:t>NQBP</w:t>
            </w:r>
          </w:p>
        </w:tc>
        <w:tc>
          <w:tcPr>
            <w:tcW w:w="2126" w:type="dxa"/>
          </w:tcPr>
          <w:p w:rsidR="00A97080" w:rsidRDefault="00A97080" w:rsidP="004534CD">
            <w:pPr>
              <w:rPr>
                <w:sz w:val="18"/>
                <w:szCs w:val="18"/>
                <w:lang w:eastAsia="en-AU"/>
              </w:rPr>
            </w:pPr>
            <w:r>
              <w:rPr>
                <w:sz w:val="18"/>
                <w:szCs w:val="18"/>
                <w:lang w:eastAsia="en-AU"/>
              </w:rPr>
              <w:t>Monitor ambient marine water quality in regional area surrounding port. Offer reference to impact monitoring programs and provide environmental indicator for ongoing port operations</w:t>
            </w:r>
          </w:p>
        </w:tc>
        <w:tc>
          <w:tcPr>
            <w:tcW w:w="3969" w:type="dxa"/>
            <w:vAlign w:val="center"/>
          </w:tcPr>
          <w:p w:rsidR="00A97080" w:rsidRPr="00133E34" w:rsidRDefault="00A97080" w:rsidP="004534CD">
            <w:pPr>
              <w:rPr>
                <w:rFonts w:cs="Calibri"/>
                <w:sz w:val="20"/>
                <w:szCs w:val="20"/>
              </w:rPr>
            </w:pPr>
            <w:r>
              <w:rPr>
                <w:sz w:val="18"/>
                <w:szCs w:val="18"/>
              </w:rPr>
              <w:t xml:space="preserve">pH, DO, Salinity, Turbidity, Temperature, ORP, </w:t>
            </w:r>
            <w:r w:rsidRPr="00531EE9">
              <w:rPr>
                <w:sz w:val="18"/>
                <w:szCs w:val="18"/>
              </w:rPr>
              <w:t>PAR</w:t>
            </w:r>
            <w:r>
              <w:rPr>
                <w:sz w:val="18"/>
                <w:szCs w:val="18"/>
              </w:rPr>
              <w:t xml:space="preserve">, </w:t>
            </w:r>
            <w:r w:rsidRPr="00531EE9">
              <w:rPr>
                <w:sz w:val="18"/>
                <w:szCs w:val="18"/>
              </w:rPr>
              <w:t>Dissolv</w:t>
            </w:r>
            <w:r>
              <w:rPr>
                <w:sz w:val="18"/>
                <w:szCs w:val="18"/>
              </w:rPr>
              <w:t xml:space="preserve">ed Metals, TSS, Nutrients, Chlorophyll-a, </w:t>
            </w:r>
            <w:r w:rsidRPr="00531EE9">
              <w:rPr>
                <w:sz w:val="18"/>
                <w:szCs w:val="18"/>
              </w:rPr>
              <w:t>Pesticides (select locations)</w:t>
            </w:r>
            <w:r>
              <w:rPr>
                <w:sz w:val="18"/>
                <w:szCs w:val="18"/>
              </w:rPr>
              <w:t xml:space="preserve"> and sedimentation (selected locations) + MODIS satellite imagery and </w:t>
            </w:r>
            <w:proofErr w:type="spellStart"/>
            <w:r>
              <w:rPr>
                <w:sz w:val="18"/>
                <w:szCs w:val="18"/>
              </w:rPr>
              <w:t>Terravision</w:t>
            </w:r>
            <w:proofErr w:type="spellEnd"/>
            <w:r>
              <w:rPr>
                <w:sz w:val="18"/>
                <w:szCs w:val="18"/>
              </w:rPr>
              <w:t xml:space="preserve"> surface turbidity </w:t>
            </w:r>
            <w:proofErr w:type="spellStart"/>
            <w:r>
              <w:rPr>
                <w:sz w:val="18"/>
                <w:szCs w:val="18"/>
              </w:rPr>
              <w:t>modelling</w:t>
            </w:r>
            <w:proofErr w:type="spellEnd"/>
            <w:r>
              <w:rPr>
                <w:sz w:val="18"/>
                <w:szCs w:val="18"/>
              </w:rPr>
              <w:t xml:space="preserve"> (periodically)</w:t>
            </w:r>
          </w:p>
        </w:tc>
        <w:tc>
          <w:tcPr>
            <w:tcW w:w="2127" w:type="dxa"/>
          </w:tcPr>
          <w:p w:rsidR="00A97080" w:rsidRDefault="00A97080" w:rsidP="004534CD">
            <w:pPr>
              <w:rPr>
                <w:rFonts w:cstheme="minorHAnsi"/>
                <w:sz w:val="18"/>
                <w:szCs w:val="18"/>
              </w:rPr>
            </w:pPr>
            <w:r>
              <w:rPr>
                <w:rFonts w:cstheme="minorHAnsi"/>
                <w:sz w:val="18"/>
                <w:szCs w:val="18"/>
              </w:rPr>
              <w:t>Freshwater Point to the south of Hay Point to Slade Point to the North of Mackay extending seaward approximately 3 nautical miles</w:t>
            </w:r>
          </w:p>
          <w:p w:rsidR="00A97080" w:rsidRDefault="00A97080" w:rsidP="004534CD">
            <w:pPr>
              <w:rPr>
                <w:rFonts w:cstheme="minorHAnsi"/>
                <w:sz w:val="18"/>
                <w:szCs w:val="18"/>
              </w:rPr>
            </w:pPr>
          </w:p>
          <w:p w:rsidR="00A97080" w:rsidRDefault="00A97080" w:rsidP="004534CD">
            <w:pPr>
              <w:rPr>
                <w:rFonts w:cstheme="minorHAnsi"/>
                <w:sz w:val="18"/>
                <w:szCs w:val="18"/>
              </w:rPr>
            </w:pPr>
            <w:r>
              <w:rPr>
                <w:rFonts w:cstheme="minorHAnsi"/>
                <w:sz w:val="18"/>
                <w:szCs w:val="18"/>
              </w:rPr>
              <w:t>11 monitoring locations</w:t>
            </w:r>
          </w:p>
          <w:p w:rsidR="00A97080" w:rsidRDefault="00A97080" w:rsidP="004534CD">
            <w:pPr>
              <w:rPr>
                <w:rFonts w:cstheme="minorHAnsi"/>
                <w:sz w:val="18"/>
                <w:szCs w:val="18"/>
              </w:rPr>
            </w:pPr>
            <w:r>
              <w:rPr>
                <w:rFonts w:cstheme="minorHAnsi"/>
                <w:sz w:val="18"/>
                <w:szCs w:val="18"/>
              </w:rPr>
              <w:t>11 WQ loggers</w:t>
            </w:r>
          </w:p>
          <w:p w:rsidR="00A97080" w:rsidRPr="00992B2D" w:rsidRDefault="00A97080" w:rsidP="004534CD">
            <w:pPr>
              <w:rPr>
                <w:rFonts w:cstheme="minorHAnsi"/>
                <w:sz w:val="18"/>
                <w:szCs w:val="18"/>
              </w:rPr>
            </w:pPr>
            <w:r>
              <w:rPr>
                <w:rFonts w:cstheme="minorHAnsi"/>
                <w:sz w:val="18"/>
                <w:szCs w:val="18"/>
              </w:rPr>
              <w:t>1 current meter</w:t>
            </w:r>
          </w:p>
        </w:tc>
        <w:tc>
          <w:tcPr>
            <w:tcW w:w="2977" w:type="dxa"/>
            <w:vAlign w:val="center"/>
          </w:tcPr>
          <w:p w:rsidR="00A97080" w:rsidRPr="00133E34" w:rsidRDefault="00A97080" w:rsidP="004534CD">
            <w:pPr>
              <w:rPr>
                <w:sz w:val="20"/>
                <w:szCs w:val="20"/>
              </w:rPr>
            </w:pPr>
          </w:p>
        </w:tc>
      </w:tr>
      <w:tr w:rsidR="00A97080" w:rsidRPr="00133E34" w:rsidTr="004534CD">
        <w:tc>
          <w:tcPr>
            <w:tcW w:w="1535" w:type="dxa"/>
            <w:vAlign w:val="center"/>
          </w:tcPr>
          <w:p w:rsidR="00A97080" w:rsidRPr="00133E34" w:rsidRDefault="00A97080" w:rsidP="004534CD">
            <w:pPr>
              <w:rPr>
                <w:sz w:val="20"/>
                <w:szCs w:val="20"/>
              </w:rPr>
            </w:pPr>
            <w:r w:rsidRPr="002103D7">
              <w:rPr>
                <w:sz w:val="20"/>
                <w:szCs w:val="20"/>
              </w:rPr>
              <w:t>Port of Abbot Point Ambient Marine Water Quality Monitoring Program</w:t>
            </w:r>
          </w:p>
        </w:tc>
        <w:tc>
          <w:tcPr>
            <w:tcW w:w="1267" w:type="dxa"/>
            <w:vAlign w:val="center"/>
          </w:tcPr>
          <w:p w:rsidR="00A97080" w:rsidRPr="00133E34" w:rsidRDefault="00A97080" w:rsidP="004534CD">
            <w:pPr>
              <w:rPr>
                <w:sz w:val="20"/>
                <w:szCs w:val="20"/>
              </w:rPr>
            </w:pPr>
            <w:r>
              <w:rPr>
                <w:sz w:val="20"/>
                <w:szCs w:val="20"/>
              </w:rPr>
              <w:t>NQBP</w:t>
            </w:r>
          </w:p>
        </w:tc>
        <w:tc>
          <w:tcPr>
            <w:tcW w:w="2126" w:type="dxa"/>
          </w:tcPr>
          <w:p w:rsidR="00A97080" w:rsidRDefault="00A97080" w:rsidP="004534CD">
            <w:pPr>
              <w:rPr>
                <w:sz w:val="18"/>
                <w:szCs w:val="18"/>
                <w:lang w:eastAsia="en-AU"/>
              </w:rPr>
            </w:pPr>
            <w:r>
              <w:rPr>
                <w:sz w:val="18"/>
                <w:szCs w:val="18"/>
                <w:lang w:eastAsia="en-AU"/>
              </w:rPr>
              <w:t>Monitor ambient marine water quality in regional area surrounding port. Offer reference to impact monitoring programs and provide environmental indicator for ongoing port operations</w:t>
            </w:r>
          </w:p>
        </w:tc>
        <w:tc>
          <w:tcPr>
            <w:tcW w:w="3969" w:type="dxa"/>
          </w:tcPr>
          <w:p w:rsidR="00A97080" w:rsidRDefault="00A97080" w:rsidP="004534CD">
            <w:pPr>
              <w:rPr>
                <w:sz w:val="18"/>
                <w:szCs w:val="18"/>
              </w:rPr>
            </w:pPr>
            <w:r>
              <w:rPr>
                <w:sz w:val="18"/>
                <w:szCs w:val="18"/>
              </w:rPr>
              <w:t xml:space="preserve">pH, DO, Salinity, Turbidity, Temperature, ORP, </w:t>
            </w:r>
            <w:r w:rsidRPr="00531EE9">
              <w:rPr>
                <w:sz w:val="18"/>
                <w:szCs w:val="18"/>
              </w:rPr>
              <w:t>PAR</w:t>
            </w:r>
            <w:r>
              <w:rPr>
                <w:sz w:val="18"/>
                <w:szCs w:val="18"/>
              </w:rPr>
              <w:t xml:space="preserve">, </w:t>
            </w:r>
            <w:r w:rsidRPr="00531EE9">
              <w:rPr>
                <w:sz w:val="18"/>
                <w:szCs w:val="18"/>
              </w:rPr>
              <w:t>Dissolv</w:t>
            </w:r>
            <w:r>
              <w:rPr>
                <w:sz w:val="18"/>
                <w:szCs w:val="18"/>
              </w:rPr>
              <w:t xml:space="preserve">ed Metals, TSS, Nutrients, Chlorophyll-a, </w:t>
            </w:r>
            <w:r w:rsidRPr="00531EE9">
              <w:rPr>
                <w:sz w:val="18"/>
                <w:szCs w:val="18"/>
              </w:rPr>
              <w:t>Pesticides (select locations)</w:t>
            </w:r>
          </w:p>
        </w:tc>
        <w:tc>
          <w:tcPr>
            <w:tcW w:w="2127" w:type="dxa"/>
          </w:tcPr>
          <w:p w:rsidR="00A97080" w:rsidRDefault="00A97080" w:rsidP="004534CD">
            <w:pPr>
              <w:rPr>
                <w:rFonts w:cstheme="minorHAnsi"/>
                <w:sz w:val="18"/>
                <w:szCs w:val="18"/>
              </w:rPr>
            </w:pPr>
            <w:r>
              <w:rPr>
                <w:rFonts w:cstheme="minorHAnsi"/>
                <w:sz w:val="18"/>
                <w:szCs w:val="18"/>
              </w:rPr>
              <w:t>12 monitoring locations</w:t>
            </w:r>
          </w:p>
          <w:p w:rsidR="00A97080" w:rsidRDefault="00A97080" w:rsidP="004534CD">
            <w:pPr>
              <w:rPr>
                <w:rFonts w:cstheme="minorHAnsi"/>
                <w:sz w:val="18"/>
                <w:szCs w:val="18"/>
              </w:rPr>
            </w:pPr>
            <w:r>
              <w:rPr>
                <w:rFonts w:cstheme="minorHAnsi"/>
                <w:sz w:val="18"/>
                <w:szCs w:val="18"/>
              </w:rPr>
              <w:t>5 WQ loggers</w:t>
            </w:r>
          </w:p>
          <w:p w:rsidR="00A97080" w:rsidRDefault="00A97080" w:rsidP="004534CD">
            <w:pPr>
              <w:rPr>
                <w:rFonts w:cstheme="minorHAnsi"/>
                <w:sz w:val="18"/>
                <w:szCs w:val="18"/>
              </w:rPr>
            </w:pPr>
            <w:r>
              <w:rPr>
                <w:rFonts w:cstheme="minorHAnsi"/>
                <w:sz w:val="18"/>
                <w:szCs w:val="18"/>
              </w:rPr>
              <w:t>+ current meters</w:t>
            </w:r>
          </w:p>
          <w:p w:rsidR="00A97080" w:rsidRPr="00992B2D" w:rsidRDefault="00A97080" w:rsidP="004534CD">
            <w:pPr>
              <w:rPr>
                <w:rFonts w:cstheme="minorHAnsi"/>
                <w:sz w:val="18"/>
                <w:szCs w:val="18"/>
              </w:rPr>
            </w:pPr>
          </w:p>
        </w:tc>
        <w:tc>
          <w:tcPr>
            <w:tcW w:w="2977" w:type="dxa"/>
            <w:vAlign w:val="center"/>
          </w:tcPr>
          <w:p w:rsidR="00A97080" w:rsidRPr="00133E34" w:rsidRDefault="00A97080" w:rsidP="004534CD">
            <w:pPr>
              <w:rPr>
                <w:sz w:val="20"/>
                <w:szCs w:val="20"/>
              </w:rPr>
            </w:pPr>
          </w:p>
        </w:tc>
      </w:tr>
      <w:tr w:rsidR="00A97080" w:rsidRPr="00133E34" w:rsidTr="004534CD">
        <w:tc>
          <w:tcPr>
            <w:tcW w:w="1535" w:type="dxa"/>
            <w:vAlign w:val="center"/>
          </w:tcPr>
          <w:p w:rsidR="00A97080" w:rsidRPr="00133E34" w:rsidRDefault="00A97080" w:rsidP="004534CD">
            <w:pPr>
              <w:rPr>
                <w:sz w:val="20"/>
                <w:szCs w:val="20"/>
              </w:rPr>
            </w:pPr>
            <w:proofErr w:type="spellStart"/>
            <w:r w:rsidRPr="00133E34">
              <w:rPr>
                <w:sz w:val="20"/>
                <w:szCs w:val="20"/>
              </w:rPr>
              <w:t>Seagrasswatch</w:t>
            </w:r>
            <w:proofErr w:type="spellEnd"/>
          </w:p>
        </w:tc>
        <w:tc>
          <w:tcPr>
            <w:tcW w:w="1267" w:type="dxa"/>
            <w:vAlign w:val="center"/>
          </w:tcPr>
          <w:p w:rsidR="00A97080" w:rsidRPr="00133E34" w:rsidRDefault="00A97080" w:rsidP="004534CD">
            <w:pPr>
              <w:rPr>
                <w:sz w:val="20"/>
                <w:szCs w:val="20"/>
              </w:rPr>
            </w:pPr>
            <w:r w:rsidRPr="00133E34">
              <w:rPr>
                <w:sz w:val="20"/>
                <w:szCs w:val="20"/>
              </w:rPr>
              <w:t xml:space="preserve">JCU - </w:t>
            </w:r>
            <w:proofErr w:type="spellStart"/>
            <w:r w:rsidRPr="00133E34">
              <w:rPr>
                <w:sz w:val="20"/>
                <w:szCs w:val="20"/>
              </w:rPr>
              <w:t>TropWater</w:t>
            </w:r>
            <w:proofErr w:type="spellEnd"/>
          </w:p>
        </w:tc>
        <w:tc>
          <w:tcPr>
            <w:tcW w:w="2126" w:type="dxa"/>
            <w:vAlign w:val="center"/>
          </w:tcPr>
          <w:p w:rsidR="00A97080" w:rsidRPr="00133E34" w:rsidRDefault="00A97080" w:rsidP="004534CD">
            <w:pPr>
              <w:autoSpaceDE w:val="0"/>
              <w:autoSpaceDN w:val="0"/>
              <w:adjustRightInd w:val="0"/>
              <w:rPr>
                <w:rFonts w:cs="Calibri"/>
                <w:sz w:val="20"/>
                <w:szCs w:val="20"/>
              </w:rPr>
            </w:pPr>
            <w:r w:rsidRPr="00133E34">
              <w:rPr>
                <w:rFonts w:cs="Calibri"/>
                <w:sz w:val="20"/>
                <w:szCs w:val="20"/>
              </w:rPr>
              <w:t xml:space="preserve">To educate the wider community on the importance of </w:t>
            </w:r>
            <w:proofErr w:type="spellStart"/>
            <w:r w:rsidRPr="00133E34">
              <w:rPr>
                <w:rFonts w:cs="Calibri"/>
                <w:sz w:val="20"/>
                <w:szCs w:val="20"/>
              </w:rPr>
              <w:t>seagrass</w:t>
            </w:r>
            <w:proofErr w:type="spellEnd"/>
            <w:r w:rsidRPr="00133E34">
              <w:rPr>
                <w:rFonts w:cs="Calibri"/>
                <w:sz w:val="20"/>
                <w:szCs w:val="20"/>
              </w:rPr>
              <w:t xml:space="preserve"> resources.</w:t>
            </w:r>
          </w:p>
          <w:p w:rsidR="00A97080" w:rsidRPr="00133E34" w:rsidRDefault="00A97080" w:rsidP="004534CD">
            <w:pPr>
              <w:autoSpaceDE w:val="0"/>
              <w:autoSpaceDN w:val="0"/>
              <w:adjustRightInd w:val="0"/>
              <w:rPr>
                <w:rFonts w:cs="Calibri"/>
                <w:sz w:val="20"/>
                <w:szCs w:val="20"/>
              </w:rPr>
            </w:pPr>
            <w:r w:rsidRPr="00133E34">
              <w:rPr>
                <w:rFonts w:cs="Calibri"/>
                <w:sz w:val="20"/>
                <w:szCs w:val="20"/>
              </w:rPr>
              <w:t>- To raise awareness of coastal management issues.</w:t>
            </w:r>
          </w:p>
          <w:p w:rsidR="00A97080" w:rsidRPr="00133E34" w:rsidRDefault="00A97080" w:rsidP="004534CD">
            <w:pPr>
              <w:autoSpaceDE w:val="0"/>
              <w:autoSpaceDN w:val="0"/>
              <w:adjustRightInd w:val="0"/>
              <w:rPr>
                <w:rFonts w:cs="Calibri"/>
                <w:sz w:val="20"/>
                <w:szCs w:val="20"/>
              </w:rPr>
            </w:pPr>
            <w:r w:rsidRPr="00133E34">
              <w:rPr>
                <w:rFonts w:cs="Calibri"/>
                <w:sz w:val="20"/>
                <w:szCs w:val="20"/>
              </w:rPr>
              <w:t xml:space="preserve">- To build the capacity of local stakeholders in the use of </w:t>
            </w:r>
            <w:proofErr w:type="spellStart"/>
            <w:r w:rsidRPr="00133E34">
              <w:rPr>
                <w:rFonts w:cs="Calibri"/>
                <w:sz w:val="20"/>
                <w:szCs w:val="20"/>
              </w:rPr>
              <w:t>standardised</w:t>
            </w:r>
            <w:proofErr w:type="spellEnd"/>
            <w:r w:rsidRPr="00133E34">
              <w:rPr>
                <w:rFonts w:cs="Calibri"/>
                <w:sz w:val="20"/>
                <w:szCs w:val="20"/>
              </w:rPr>
              <w:t xml:space="preserve"> scientific methodologies.</w:t>
            </w:r>
          </w:p>
          <w:p w:rsidR="00A97080" w:rsidRPr="00133E34" w:rsidRDefault="00A97080" w:rsidP="004534CD">
            <w:pPr>
              <w:autoSpaceDE w:val="0"/>
              <w:autoSpaceDN w:val="0"/>
              <w:adjustRightInd w:val="0"/>
              <w:rPr>
                <w:rFonts w:cs="Calibri"/>
                <w:sz w:val="20"/>
                <w:szCs w:val="20"/>
              </w:rPr>
            </w:pPr>
            <w:r w:rsidRPr="00133E34">
              <w:rPr>
                <w:rFonts w:cs="Calibri"/>
                <w:sz w:val="20"/>
                <w:szCs w:val="20"/>
              </w:rPr>
              <w:t xml:space="preserve">- To conduct long-term monitoring of </w:t>
            </w:r>
            <w:proofErr w:type="spellStart"/>
            <w:r w:rsidRPr="00133E34">
              <w:rPr>
                <w:rFonts w:cs="Calibri"/>
                <w:sz w:val="20"/>
                <w:szCs w:val="20"/>
              </w:rPr>
              <w:t>seagrass</w:t>
            </w:r>
            <w:proofErr w:type="spellEnd"/>
            <w:r w:rsidRPr="00133E34">
              <w:rPr>
                <w:rFonts w:cs="Calibri"/>
                <w:sz w:val="20"/>
                <w:szCs w:val="20"/>
              </w:rPr>
              <w:t xml:space="preserve"> </w:t>
            </w:r>
            <w:r w:rsidRPr="00133E34">
              <w:rPr>
                <w:rFonts w:cs="Calibri"/>
                <w:sz w:val="20"/>
                <w:szCs w:val="20"/>
              </w:rPr>
              <w:lastRenderedPageBreak/>
              <w:t>&amp; coastal habitat condition.</w:t>
            </w:r>
          </w:p>
          <w:p w:rsidR="00A97080" w:rsidRPr="00133E34" w:rsidRDefault="00A97080" w:rsidP="004534CD">
            <w:pPr>
              <w:autoSpaceDE w:val="0"/>
              <w:autoSpaceDN w:val="0"/>
              <w:adjustRightInd w:val="0"/>
              <w:rPr>
                <w:rFonts w:cs="Calibri"/>
                <w:sz w:val="20"/>
                <w:szCs w:val="20"/>
              </w:rPr>
            </w:pPr>
            <w:r w:rsidRPr="00133E34">
              <w:rPr>
                <w:rFonts w:cs="Calibri"/>
                <w:sz w:val="20"/>
                <w:szCs w:val="20"/>
              </w:rPr>
              <w:t>- To provide an early warning system of coastal environment changes for management.</w:t>
            </w:r>
          </w:p>
          <w:p w:rsidR="00A97080" w:rsidRPr="00133E34" w:rsidRDefault="00A97080" w:rsidP="004534CD">
            <w:pPr>
              <w:autoSpaceDE w:val="0"/>
              <w:autoSpaceDN w:val="0"/>
              <w:adjustRightInd w:val="0"/>
              <w:rPr>
                <w:rFonts w:cs="Calibri"/>
                <w:sz w:val="20"/>
                <w:szCs w:val="20"/>
              </w:rPr>
            </w:pPr>
            <w:r w:rsidRPr="00133E34">
              <w:rPr>
                <w:rFonts w:cs="Calibri"/>
                <w:sz w:val="20"/>
                <w:szCs w:val="20"/>
              </w:rPr>
              <w:t xml:space="preserve">- To support conservation measures which ensure the long-term resilience of </w:t>
            </w:r>
            <w:proofErr w:type="spellStart"/>
            <w:r w:rsidRPr="00133E34">
              <w:rPr>
                <w:rFonts w:cs="Calibri"/>
                <w:sz w:val="20"/>
                <w:szCs w:val="20"/>
              </w:rPr>
              <w:t>seagrass</w:t>
            </w:r>
            <w:proofErr w:type="spellEnd"/>
          </w:p>
          <w:p w:rsidR="00A97080" w:rsidRPr="00133E34" w:rsidRDefault="00A97080" w:rsidP="004534CD">
            <w:pPr>
              <w:rPr>
                <w:sz w:val="20"/>
                <w:szCs w:val="20"/>
              </w:rPr>
            </w:pPr>
            <w:r w:rsidRPr="00133E34">
              <w:rPr>
                <w:rFonts w:cs="Calibri"/>
                <w:sz w:val="20"/>
                <w:szCs w:val="20"/>
              </w:rPr>
              <w:t>ecosystems</w:t>
            </w:r>
          </w:p>
        </w:tc>
        <w:tc>
          <w:tcPr>
            <w:tcW w:w="3969" w:type="dxa"/>
            <w:vAlign w:val="center"/>
          </w:tcPr>
          <w:p w:rsidR="00A97080" w:rsidRPr="00133E34" w:rsidRDefault="00A97080" w:rsidP="004534CD">
            <w:pPr>
              <w:autoSpaceDE w:val="0"/>
              <w:autoSpaceDN w:val="0"/>
              <w:adjustRightInd w:val="0"/>
              <w:rPr>
                <w:rFonts w:cs="Calibri"/>
                <w:sz w:val="20"/>
                <w:szCs w:val="20"/>
              </w:rPr>
            </w:pPr>
            <w:r w:rsidRPr="00133E34">
              <w:rPr>
                <w:rFonts w:cs="Calibri"/>
                <w:sz w:val="20"/>
                <w:szCs w:val="20"/>
              </w:rPr>
              <w:lastRenderedPageBreak/>
              <w:t xml:space="preserve">Extent of coverage, species composition, estimates of abundance, presence of epiphytes and </w:t>
            </w:r>
            <w:proofErr w:type="spellStart"/>
            <w:r w:rsidRPr="00133E34">
              <w:rPr>
                <w:rFonts w:cs="Calibri"/>
                <w:sz w:val="20"/>
                <w:szCs w:val="20"/>
              </w:rPr>
              <w:t>macroalgae</w:t>
            </w:r>
            <w:proofErr w:type="spellEnd"/>
            <w:r w:rsidRPr="00133E34">
              <w:rPr>
                <w:rFonts w:cs="Calibri"/>
                <w:sz w:val="20"/>
                <w:szCs w:val="20"/>
              </w:rPr>
              <w:t>,</w:t>
            </w:r>
          </w:p>
          <w:p w:rsidR="00A97080" w:rsidRPr="00133E34" w:rsidRDefault="00A97080" w:rsidP="004534CD">
            <w:pPr>
              <w:rPr>
                <w:sz w:val="20"/>
                <w:szCs w:val="20"/>
              </w:rPr>
            </w:pPr>
            <w:proofErr w:type="gramStart"/>
            <w:r w:rsidRPr="00133E34">
              <w:rPr>
                <w:rFonts w:cs="Calibri"/>
                <w:sz w:val="20"/>
                <w:szCs w:val="20"/>
              </w:rPr>
              <w:t>presence</w:t>
            </w:r>
            <w:proofErr w:type="gramEnd"/>
            <w:r w:rsidRPr="00133E34">
              <w:rPr>
                <w:rFonts w:cs="Calibri"/>
                <w:sz w:val="20"/>
                <w:szCs w:val="20"/>
              </w:rPr>
              <w:t xml:space="preserve"> of dugong feeding trails.</w:t>
            </w:r>
          </w:p>
        </w:tc>
        <w:tc>
          <w:tcPr>
            <w:tcW w:w="2127" w:type="dxa"/>
            <w:vAlign w:val="center"/>
          </w:tcPr>
          <w:p w:rsidR="00A97080" w:rsidRPr="00133E34" w:rsidRDefault="00A97080" w:rsidP="004534CD">
            <w:pPr>
              <w:rPr>
                <w:sz w:val="20"/>
                <w:szCs w:val="20"/>
              </w:rPr>
            </w:pPr>
            <w:r w:rsidRPr="00133E34">
              <w:rPr>
                <w:sz w:val="20"/>
                <w:szCs w:val="20"/>
              </w:rPr>
              <w:t xml:space="preserve">St Helen’s Beach, </w:t>
            </w:r>
            <w:proofErr w:type="spellStart"/>
            <w:r w:rsidRPr="00133E34">
              <w:rPr>
                <w:sz w:val="20"/>
                <w:szCs w:val="20"/>
              </w:rPr>
              <w:t>Seaforth</w:t>
            </w:r>
            <w:proofErr w:type="spellEnd"/>
            <w:r w:rsidRPr="00133E34">
              <w:rPr>
                <w:sz w:val="20"/>
                <w:szCs w:val="20"/>
              </w:rPr>
              <w:t>, Sarina Inlet</w:t>
            </w:r>
          </w:p>
        </w:tc>
        <w:tc>
          <w:tcPr>
            <w:tcW w:w="2977" w:type="dxa"/>
            <w:vAlign w:val="center"/>
          </w:tcPr>
          <w:p w:rsidR="00A97080" w:rsidRPr="00133E34" w:rsidRDefault="00A97080" w:rsidP="004534CD">
            <w:pPr>
              <w:rPr>
                <w:sz w:val="20"/>
                <w:szCs w:val="20"/>
              </w:rPr>
            </w:pPr>
            <w:r w:rsidRPr="00133E34">
              <w:rPr>
                <w:rFonts w:cs="Calibri"/>
                <w:color w:val="0000FF"/>
                <w:sz w:val="20"/>
                <w:szCs w:val="20"/>
              </w:rPr>
              <w:t>http://seagrasswatch.org/home.html</w:t>
            </w:r>
          </w:p>
        </w:tc>
      </w:tr>
      <w:tr w:rsidR="00A97080" w:rsidRPr="00133E34" w:rsidTr="004534CD">
        <w:tc>
          <w:tcPr>
            <w:tcW w:w="1535" w:type="dxa"/>
            <w:vAlign w:val="center"/>
          </w:tcPr>
          <w:p w:rsidR="00A97080" w:rsidRPr="00133E34" w:rsidRDefault="00A97080" w:rsidP="004534CD">
            <w:pPr>
              <w:rPr>
                <w:sz w:val="20"/>
                <w:szCs w:val="20"/>
              </w:rPr>
            </w:pPr>
            <w:r w:rsidRPr="00133E34">
              <w:rPr>
                <w:sz w:val="20"/>
                <w:szCs w:val="20"/>
              </w:rPr>
              <w:lastRenderedPageBreak/>
              <w:t>Coral reef health monitoring</w:t>
            </w:r>
          </w:p>
        </w:tc>
        <w:tc>
          <w:tcPr>
            <w:tcW w:w="1267" w:type="dxa"/>
            <w:vAlign w:val="center"/>
          </w:tcPr>
          <w:p w:rsidR="00A97080" w:rsidRPr="00133E34" w:rsidRDefault="00A97080" w:rsidP="004534CD">
            <w:pPr>
              <w:rPr>
                <w:sz w:val="20"/>
                <w:szCs w:val="20"/>
              </w:rPr>
            </w:pPr>
            <w:proofErr w:type="spellStart"/>
            <w:r w:rsidRPr="00133E34">
              <w:rPr>
                <w:sz w:val="20"/>
                <w:szCs w:val="20"/>
              </w:rPr>
              <w:t>Reefcheck</w:t>
            </w:r>
            <w:proofErr w:type="spellEnd"/>
            <w:r w:rsidRPr="00133E34">
              <w:rPr>
                <w:sz w:val="20"/>
                <w:szCs w:val="20"/>
              </w:rPr>
              <w:t xml:space="preserve"> Australia</w:t>
            </w:r>
          </w:p>
        </w:tc>
        <w:tc>
          <w:tcPr>
            <w:tcW w:w="2126" w:type="dxa"/>
            <w:vAlign w:val="center"/>
          </w:tcPr>
          <w:p w:rsidR="00A97080" w:rsidRPr="00133E34" w:rsidRDefault="00A97080" w:rsidP="004534CD">
            <w:pPr>
              <w:autoSpaceDE w:val="0"/>
              <w:autoSpaceDN w:val="0"/>
              <w:adjustRightInd w:val="0"/>
              <w:rPr>
                <w:rFonts w:cs="Calibri"/>
                <w:sz w:val="20"/>
                <w:szCs w:val="20"/>
              </w:rPr>
            </w:pPr>
            <w:r w:rsidRPr="00133E34">
              <w:rPr>
                <w:rFonts w:cs="Calibri"/>
                <w:sz w:val="20"/>
                <w:szCs w:val="20"/>
              </w:rPr>
              <w:t>To protect and help to rehabilitate Australia's valuable coral reefs through:</w:t>
            </w:r>
          </w:p>
          <w:p w:rsidR="00A97080" w:rsidRPr="00133E34" w:rsidRDefault="00A97080" w:rsidP="004534CD">
            <w:pPr>
              <w:autoSpaceDE w:val="0"/>
              <w:autoSpaceDN w:val="0"/>
              <w:adjustRightInd w:val="0"/>
              <w:rPr>
                <w:rFonts w:cs="Calibri"/>
                <w:sz w:val="20"/>
                <w:szCs w:val="20"/>
              </w:rPr>
            </w:pPr>
            <w:r w:rsidRPr="00133E34">
              <w:rPr>
                <w:rFonts w:cs="Calibri"/>
                <w:sz w:val="20"/>
                <w:szCs w:val="20"/>
              </w:rPr>
              <w:t>1) community education, to raise awareness of the key issues</w:t>
            </w:r>
          </w:p>
          <w:p w:rsidR="00A97080" w:rsidRPr="00133E34" w:rsidRDefault="00A97080" w:rsidP="004534CD">
            <w:pPr>
              <w:rPr>
                <w:sz w:val="20"/>
                <w:szCs w:val="20"/>
              </w:rPr>
            </w:pPr>
            <w:r w:rsidRPr="00133E34">
              <w:rPr>
                <w:rFonts w:cs="Calibri"/>
                <w:sz w:val="20"/>
                <w:szCs w:val="20"/>
              </w:rPr>
              <w:t xml:space="preserve">2) </w:t>
            </w:r>
            <w:proofErr w:type="gramStart"/>
            <w:r w:rsidRPr="00133E34">
              <w:rPr>
                <w:rFonts w:cs="Calibri"/>
                <w:sz w:val="20"/>
                <w:szCs w:val="20"/>
              </w:rPr>
              <w:t>scientific</w:t>
            </w:r>
            <w:proofErr w:type="gramEnd"/>
            <w:r w:rsidRPr="00133E34">
              <w:rPr>
                <w:rFonts w:cs="Calibri"/>
                <w:sz w:val="20"/>
                <w:szCs w:val="20"/>
              </w:rPr>
              <w:t xml:space="preserve"> research, to collect data that contributes to solutions.</w:t>
            </w:r>
          </w:p>
        </w:tc>
        <w:tc>
          <w:tcPr>
            <w:tcW w:w="3969" w:type="dxa"/>
            <w:vAlign w:val="center"/>
          </w:tcPr>
          <w:p w:rsidR="00A97080" w:rsidRPr="00133E34" w:rsidRDefault="00A97080" w:rsidP="004534CD">
            <w:pPr>
              <w:rPr>
                <w:sz w:val="20"/>
                <w:szCs w:val="20"/>
              </w:rPr>
            </w:pPr>
            <w:r w:rsidRPr="00133E34">
              <w:rPr>
                <w:rFonts w:cs="Calibri"/>
                <w:sz w:val="20"/>
                <w:szCs w:val="20"/>
              </w:rPr>
              <w:t>Coral cover, algae, target organisms</w:t>
            </w:r>
          </w:p>
        </w:tc>
        <w:tc>
          <w:tcPr>
            <w:tcW w:w="2127" w:type="dxa"/>
            <w:vAlign w:val="center"/>
          </w:tcPr>
          <w:p w:rsidR="00A97080" w:rsidRPr="00133E34" w:rsidRDefault="00A97080" w:rsidP="004534CD">
            <w:pPr>
              <w:rPr>
                <w:sz w:val="20"/>
                <w:szCs w:val="20"/>
              </w:rPr>
            </w:pPr>
            <w:r w:rsidRPr="00133E34">
              <w:rPr>
                <w:sz w:val="20"/>
                <w:szCs w:val="20"/>
              </w:rPr>
              <w:t>Hardy Reef, Daydream Is, Hook Is, Knuckle Reef</w:t>
            </w:r>
          </w:p>
        </w:tc>
        <w:tc>
          <w:tcPr>
            <w:tcW w:w="2977" w:type="dxa"/>
            <w:vAlign w:val="center"/>
          </w:tcPr>
          <w:p w:rsidR="00A97080" w:rsidRPr="00133E34" w:rsidRDefault="00FB3343" w:rsidP="004534CD">
            <w:pPr>
              <w:rPr>
                <w:sz w:val="20"/>
                <w:szCs w:val="20"/>
              </w:rPr>
            </w:pPr>
            <w:hyperlink r:id="rId102" w:history="1">
              <w:r w:rsidR="00A97080" w:rsidRPr="00A15A4E">
                <w:rPr>
                  <w:rStyle w:val="Hyperlink"/>
                  <w:sz w:val="20"/>
                  <w:szCs w:val="20"/>
                </w:rPr>
                <w:t>http://www.reefcheckaustralia.org/#</w:t>
              </w:r>
            </w:hyperlink>
            <w:r w:rsidR="00A97080">
              <w:rPr>
                <w:sz w:val="20"/>
                <w:szCs w:val="20"/>
              </w:rPr>
              <w:t xml:space="preserve"> </w:t>
            </w:r>
          </w:p>
        </w:tc>
      </w:tr>
      <w:tr w:rsidR="00A97080" w:rsidRPr="00133E34" w:rsidTr="004534CD">
        <w:tc>
          <w:tcPr>
            <w:tcW w:w="1535" w:type="dxa"/>
            <w:vAlign w:val="center"/>
          </w:tcPr>
          <w:p w:rsidR="00A97080" w:rsidRPr="00133E34" w:rsidRDefault="00A97080" w:rsidP="004534CD">
            <w:pPr>
              <w:rPr>
                <w:sz w:val="20"/>
                <w:szCs w:val="20"/>
              </w:rPr>
            </w:pPr>
            <w:r w:rsidRPr="00133E34">
              <w:rPr>
                <w:sz w:val="20"/>
                <w:szCs w:val="20"/>
              </w:rPr>
              <w:t>Dugong population surveys</w:t>
            </w:r>
          </w:p>
        </w:tc>
        <w:tc>
          <w:tcPr>
            <w:tcW w:w="1267" w:type="dxa"/>
            <w:vAlign w:val="center"/>
          </w:tcPr>
          <w:p w:rsidR="00A97080" w:rsidRPr="00133E34" w:rsidRDefault="00A97080" w:rsidP="004534CD">
            <w:pPr>
              <w:rPr>
                <w:sz w:val="20"/>
                <w:szCs w:val="20"/>
              </w:rPr>
            </w:pPr>
            <w:r w:rsidRPr="00133E34">
              <w:rPr>
                <w:sz w:val="20"/>
                <w:szCs w:val="20"/>
              </w:rPr>
              <w:t>JCU</w:t>
            </w:r>
          </w:p>
        </w:tc>
        <w:tc>
          <w:tcPr>
            <w:tcW w:w="2126" w:type="dxa"/>
            <w:vAlign w:val="center"/>
          </w:tcPr>
          <w:p w:rsidR="00A97080" w:rsidRPr="00133E34" w:rsidRDefault="00A97080" w:rsidP="004534CD">
            <w:pPr>
              <w:rPr>
                <w:sz w:val="20"/>
                <w:szCs w:val="20"/>
              </w:rPr>
            </w:pPr>
            <w:r w:rsidRPr="00133E34">
              <w:rPr>
                <w:rFonts w:cs="Calibri"/>
                <w:sz w:val="20"/>
                <w:szCs w:val="20"/>
              </w:rPr>
              <w:t xml:space="preserve">Spatial distribution (relative abundance), status &amp; trends in dugong populations on East Coast of </w:t>
            </w:r>
            <w:proofErr w:type="spellStart"/>
            <w:r w:rsidRPr="00133E34">
              <w:rPr>
                <w:rFonts w:cs="Calibri"/>
                <w:sz w:val="20"/>
                <w:szCs w:val="20"/>
              </w:rPr>
              <w:t>Qld</w:t>
            </w:r>
            <w:proofErr w:type="spellEnd"/>
          </w:p>
        </w:tc>
        <w:tc>
          <w:tcPr>
            <w:tcW w:w="3969" w:type="dxa"/>
            <w:vAlign w:val="center"/>
          </w:tcPr>
          <w:p w:rsidR="00A97080" w:rsidRPr="00133E34" w:rsidRDefault="00A97080" w:rsidP="004534CD">
            <w:pPr>
              <w:rPr>
                <w:sz w:val="20"/>
                <w:szCs w:val="20"/>
              </w:rPr>
            </w:pPr>
            <w:r w:rsidRPr="00133E34">
              <w:rPr>
                <w:rFonts w:cs="Calibri"/>
                <w:sz w:val="20"/>
                <w:szCs w:val="20"/>
              </w:rPr>
              <w:t>Dugong abundance (and turtles) by stratified aerial surveys</w:t>
            </w:r>
          </w:p>
        </w:tc>
        <w:tc>
          <w:tcPr>
            <w:tcW w:w="2127" w:type="dxa"/>
            <w:vAlign w:val="center"/>
          </w:tcPr>
          <w:p w:rsidR="00A97080" w:rsidRPr="00133E34" w:rsidRDefault="00A97080" w:rsidP="004534CD">
            <w:pPr>
              <w:rPr>
                <w:sz w:val="20"/>
                <w:szCs w:val="20"/>
              </w:rPr>
            </w:pPr>
            <w:r w:rsidRPr="00133E34">
              <w:rPr>
                <w:sz w:val="20"/>
                <w:szCs w:val="20"/>
              </w:rPr>
              <w:t>General aerial surveys (Torres Strait to NSW border)</w:t>
            </w:r>
          </w:p>
        </w:tc>
        <w:tc>
          <w:tcPr>
            <w:tcW w:w="2977" w:type="dxa"/>
            <w:vAlign w:val="center"/>
          </w:tcPr>
          <w:p w:rsidR="00A97080" w:rsidRPr="00133E34" w:rsidRDefault="00A97080" w:rsidP="004534CD">
            <w:pPr>
              <w:rPr>
                <w:sz w:val="20"/>
                <w:szCs w:val="20"/>
              </w:rPr>
            </w:pPr>
          </w:p>
        </w:tc>
      </w:tr>
      <w:tr w:rsidR="00A97080" w:rsidRPr="00133E34" w:rsidTr="004534CD">
        <w:tc>
          <w:tcPr>
            <w:tcW w:w="1535" w:type="dxa"/>
            <w:vAlign w:val="center"/>
          </w:tcPr>
          <w:p w:rsidR="00A97080" w:rsidRPr="00133E34" w:rsidRDefault="00A97080" w:rsidP="004534CD">
            <w:pPr>
              <w:rPr>
                <w:sz w:val="20"/>
                <w:szCs w:val="20"/>
              </w:rPr>
            </w:pPr>
            <w:proofErr w:type="spellStart"/>
            <w:r w:rsidRPr="00133E34">
              <w:rPr>
                <w:sz w:val="20"/>
                <w:szCs w:val="20"/>
              </w:rPr>
              <w:t>Qld</w:t>
            </w:r>
            <w:proofErr w:type="spellEnd"/>
            <w:r w:rsidRPr="00133E34">
              <w:rPr>
                <w:sz w:val="20"/>
                <w:szCs w:val="20"/>
              </w:rPr>
              <w:t xml:space="preserve"> shark control program</w:t>
            </w:r>
          </w:p>
        </w:tc>
        <w:tc>
          <w:tcPr>
            <w:tcW w:w="1267" w:type="dxa"/>
            <w:vAlign w:val="center"/>
          </w:tcPr>
          <w:p w:rsidR="00A97080" w:rsidRPr="00133E34" w:rsidRDefault="00A97080" w:rsidP="004534CD">
            <w:pPr>
              <w:rPr>
                <w:sz w:val="20"/>
                <w:szCs w:val="20"/>
              </w:rPr>
            </w:pPr>
            <w:r w:rsidRPr="00133E34">
              <w:rPr>
                <w:sz w:val="20"/>
                <w:szCs w:val="20"/>
              </w:rPr>
              <w:t>QDAFF</w:t>
            </w:r>
          </w:p>
        </w:tc>
        <w:tc>
          <w:tcPr>
            <w:tcW w:w="2126" w:type="dxa"/>
            <w:vAlign w:val="center"/>
          </w:tcPr>
          <w:p w:rsidR="00A97080" w:rsidRPr="00133E34" w:rsidRDefault="00A97080" w:rsidP="004534CD">
            <w:pPr>
              <w:autoSpaceDE w:val="0"/>
              <w:autoSpaceDN w:val="0"/>
              <w:adjustRightInd w:val="0"/>
              <w:rPr>
                <w:rFonts w:cs="Calibri"/>
                <w:sz w:val="20"/>
                <w:szCs w:val="20"/>
              </w:rPr>
            </w:pPr>
            <w:r w:rsidRPr="00133E34">
              <w:rPr>
                <w:rFonts w:cs="Calibri"/>
                <w:sz w:val="20"/>
                <w:szCs w:val="20"/>
              </w:rPr>
              <w:t xml:space="preserve">To reduce populations of large sharks to </w:t>
            </w:r>
            <w:proofErr w:type="spellStart"/>
            <w:r w:rsidRPr="00133E34">
              <w:rPr>
                <w:rFonts w:cs="Calibri"/>
                <w:sz w:val="20"/>
                <w:szCs w:val="20"/>
              </w:rPr>
              <w:t>minimise</w:t>
            </w:r>
            <w:proofErr w:type="spellEnd"/>
            <w:r w:rsidRPr="00133E34">
              <w:rPr>
                <w:rFonts w:cs="Calibri"/>
                <w:sz w:val="20"/>
                <w:szCs w:val="20"/>
              </w:rPr>
              <w:t xml:space="preserve"> the threat of shark attack on humans in particular</w:t>
            </w:r>
          </w:p>
          <w:p w:rsidR="00A97080" w:rsidRPr="00133E34" w:rsidRDefault="00A97080" w:rsidP="004534CD">
            <w:pPr>
              <w:rPr>
                <w:sz w:val="20"/>
                <w:szCs w:val="20"/>
              </w:rPr>
            </w:pPr>
            <w:r w:rsidRPr="00133E34">
              <w:rPr>
                <w:rFonts w:cs="Calibri"/>
                <w:sz w:val="20"/>
                <w:szCs w:val="20"/>
              </w:rPr>
              <w:lastRenderedPageBreak/>
              <w:t>locations</w:t>
            </w:r>
          </w:p>
        </w:tc>
        <w:tc>
          <w:tcPr>
            <w:tcW w:w="3969" w:type="dxa"/>
            <w:vAlign w:val="center"/>
          </w:tcPr>
          <w:p w:rsidR="00A97080" w:rsidRPr="00133E34" w:rsidRDefault="00A97080" w:rsidP="004534CD">
            <w:pPr>
              <w:rPr>
                <w:sz w:val="20"/>
                <w:szCs w:val="20"/>
              </w:rPr>
            </w:pPr>
            <w:r w:rsidRPr="00133E34">
              <w:rPr>
                <w:rFonts w:cs="Calibri"/>
                <w:sz w:val="20"/>
                <w:szCs w:val="20"/>
              </w:rPr>
              <w:lastRenderedPageBreak/>
              <w:t xml:space="preserve">Records of sharks caught (and </w:t>
            </w:r>
            <w:proofErr w:type="spellStart"/>
            <w:r w:rsidRPr="00133E34">
              <w:rPr>
                <w:rFonts w:cs="Calibri"/>
                <w:sz w:val="20"/>
                <w:szCs w:val="20"/>
              </w:rPr>
              <w:t>bycatch</w:t>
            </w:r>
            <w:proofErr w:type="spellEnd"/>
            <w:r w:rsidRPr="00133E34">
              <w:rPr>
                <w:rFonts w:cs="Calibri"/>
                <w:sz w:val="20"/>
                <w:szCs w:val="20"/>
              </w:rPr>
              <w:t>)</w:t>
            </w:r>
          </w:p>
        </w:tc>
        <w:tc>
          <w:tcPr>
            <w:tcW w:w="2127" w:type="dxa"/>
            <w:vAlign w:val="center"/>
          </w:tcPr>
          <w:p w:rsidR="00A97080" w:rsidRPr="00133E34" w:rsidRDefault="00A97080" w:rsidP="004534CD">
            <w:pPr>
              <w:rPr>
                <w:sz w:val="20"/>
                <w:szCs w:val="20"/>
              </w:rPr>
            </w:pPr>
            <w:r w:rsidRPr="00133E34">
              <w:rPr>
                <w:sz w:val="20"/>
                <w:szCs w:val="20"/>
              </w:rPr>
              <w:t xml:space="preserve">In Mackay region, at Blacks Beach, </w:t>
            </w:r>
            <w:proofErr w:type="spellStart"/>
            <w:r w:rsidRPr="00133E34">
              <w:rPr>
                <w:sz w:val="20"/>
                <w:szCs w:val="20"/>
              </w:rPr>
              <w:t>Bucasia</w:t>
            </w:r>
            <w:proofErr w:type="spellEnd"/>
            <w:r w:rsidRPr="00133E34">
              <w:rPr>
                <w:sz w:val="20"/>
                <w:szCs w:val="20"/>
              </w:rPr>
              <w:t xml:space="preserve"> Beach, </w:t>
            </w:r>
            <w:proofErr w:type="spellStart"/>
            <w:r w:rsidRPr="00133E34">
              <w:rPr>
                <w:sz w:val="20"/>
                <w:szCs w:val="20"/>
              </w:rPr>
              <w:t>Eimeo</w:t>
            </w:r>
            <w:proofErr w:type="spellEnd"/>
            <w:r w:rsidRPr="00133E34">
              <w:rPr>
                <w:sz w:val="20"/>
                <w:szCs w:val="20"/>
              </w:rPr>
              <w:t xml:space="preserve"> Beach, </w:t>
            </w:r>
            <w:proofErr w:type="spellStart"/>
            <w:r w:rsidRPr="00133E34">
              <w:rPr>
                <w:sz w:val="20"/>
                <w:szCs w:val="20"/>
              </w:rPr>
              <w:t>Harbour</w:t>
            </w:r>
            <w:proofErr w:type="spellEnd"/>
            <w:r w:rsidRPr="00133E34">
              <w:rPr>
                <w:sz w:val="20"/>
                <w:szCs w:val="20"/>
              </w:rPr>
              <w:t xml:space="preserve"> Beach, Lamberts Beach</w:t>
            </w:r>
          </w:p>
        </w:tc>
        <w:tc>
          <w:tcPr>
            <w:tcW w:w="2977" w:type="dxa"/>
            <w:vAlign w:val="center"/>
          </w:tcPr>
          <w:p w:rsidR="00A97080" w:rsidRPr="00133E34" w:rsidRDefault="00FB3343" w:rsidP="004534CD">
            <w:pPr>
              <w:rPr>
                <w:sz w:val="20"/>
                <w:szCs w:val="20"/>
              </w:rPr>
            </w:pPr>
            <w:hyperlink r:id="rId103" w:history="1">
              <w:r w:rsidR="00A97080" w:rsidRPr="00133E34">
                <w:rPr>
                  <w:rStyle w:val="Hyperlink"/>
                  <w:sz w:val="20"/>
                  <w:szCs w:val="20"/>
                </w:rPr>
                <w:t>https://www.daff.qld.gov.au/fisheries/services/shark-control-program</w:t>
              </w:r>
            </w:hyperlink>
            <w:r w:rsidR="00A97080" w:rsidRPr="00133E34">
              <w:rPr>
                <w:sz w:val="20"/>
                <w:szCs w:val="20"/>
              </w:rPr>
              <w:t xml:space="preserve"> </w:t>
            </w:r>
          </w:p>
        </w:tc>
      </w:tr>
      <w:tr w:rsidR="00A97080" w:rsidRPr="00133E34" w:rsidTr="004534CD">
        <w:tc>
          <w:tcPr>
            <w:tcW w:w="1535" w:type="dxa"/>
            <w:vAlign w:val="center"/>
          </w:tcPr>
          <w:p w:rsidR="00A97080" w:rsidRPr="00133E34" w:rsidRDefault="00A97080" w:rsidP="004534CD">
            <w:pPr>
              <w:rPr>
                <w:sz w:val="20"/>
                <w:szCs w:val="20"/>
              </w:rPr>
            </w:pPr>
            <w:proofErr w:type="spellStart"/>
            <w:r w:rsidRPr="00133E34">
              <w:rPr>
                <w:sz w:val="20"/>
                <w:szCs w:val="20"/>
              </w:rPr>
              <w:lastRenderedPageBreak/>
              <w:t>Qld</w:t>
            </w:r>
            <w:proofErr w:type="spellEnd"/>
            <w:r w:rsidRPr="00133E34">
              <w:rPr>
                <w:sz w:val="20"/>
                <w:szCs w:val="20"/>
              </w:rPr>
              <w:t xml:space="preserve"> </w:t>
            </w:r>
            <w:proofErr w:type="spellStart"/>
            <w:r w:rsidRPr="00133E34">
              <w:rPr>
                <w:sz w:val="20"/>
                <w:szCs w:val="20"/>
              </w:rPr>
              <w:t>strandings</w:t>
            </w:r>
            <w:proofErr w:type="spellEnd"/>
            <w:r w:rsidRPr="00133E34">
              <w:rPr>
                <w:sz w:val="20"/>
                <w:szCs w:val="20"/>
              </w:rPr>
              <w:t xml:space="preserve"> network</w:t>
            </w:r>
          </w:p>
        </w:tc>
        <w:tc>
          <w:tcPr>
            <w:tcW w:w="1267" w:type="dxa"/>
            <w:vAlign w:val="center"/>
          </w:tcPr>
          <w:p w:rsidR="00A97080" w:rsidRPr="00133E34" w:rsidRDefault="00A97080" w:rsidP="004534CD">
            <w:pPr>
              <w:rPr>
                <w:sz w:val="20"/>
                <w:szCs w:val="20"/>
              </w:rPr>
            </w:pPr>
            <w:r w:rsidRPr="00133E34">
              <w:rPr>
                <w:sz w:val="20"/>
                <w:szCs w:val="20"/>
              </w:rPr>
              <w:t>QEHP</w:t>
            </w:r>
          </w:p>
        </w:tc>
        <w:tc>
          <w:tcPr>
            <w:tcW w:w="2126" w:type="dxa"/>
            <w:vAlign w:val="center"/>
          </w:tcPr>
          <w:p w:rsidR="00A97080" w:rsidRPr="00133E34" w:rsidRDefault="00A97080" w:rsidP="004534CD">
            <w:pPr>
              <w:autoSpaceDE w:val="0"/>
              <w:autoSpaceDN w:val="0"/>
              <w:adjustRightInd w:val="0"/>
              <w:rPr>
                <w:sz w:val="20"/>
                <w:szCs w:val="20"/>
              </w:rPr>
            </w:pPr>
            <w:proofErr w:type="gramStart"/>
            <w:r w:rsidRPr="00133E34">
              <w:rPr>
                <w:rFonts w:cs="Calibri"/>
                <w:sz w:val="20"/>
                <w:szCs w:val="20"/>
              </w:rPr>
              <w:t>record</w:t>
            </w:r>
            <w:proofErr w:type="gramEnd"/>
            <w:r w:rsidRPr="00133E34">
              <w:rPr>
                <w:rFonts w:cs="Calibri"/>
                <w:sz w:val="20"/>
                <w:szCs w:val="20"/>
              </w:rPr>
              <w:t xml:space="preserve"> information on where sick, injured, dying and dead marine animals have been found in Queensland and assess causes of injury and death where possible. </w:t>
            </w:r>
          </w:p>
        </w:tc>
        <w:tc>
          <w:tcPr>
            <w:tcW w:w="3969" w:type="dxa"/>
            <w:vAlign w:val="center"/>
          </w:tcPr>
          <w:p w:rsidR="00A97080" w:rsidRPr="00133E34" w:rsidRDefault="00A97080" w:rsidP="004534CD">
            <w:pPr>
              <w:rPr>
                <w:sz w:val="20"/>
                <w:szCs w:val="20"/>
              </w:rPr>
            </w:pPr>
            <w:r w:rsidRPr="00133E34">
              <w:rPr>
                <w:rFonts w:cs="Calibri"/>
                <w:sz w:val="20"/>
                <w:szCs w:val="20"/>
              </w:rPr>
              <w:t xml:space="preserve">Animals that are stranded on </w:t>
            </w:r>
            <w:proofErr w:type="spellStart"/>
            <w:r w:rsidRPr="00133E34">
              <w:rPr>
                <w:rFonts w:cs="Calibri"/>
                <w:sz w:val="20"/>
                <w:szCs w:val="20"/>
              </w:rPr>
              <w:t>Qld</w:t>
            </w:r>
            <w:proofErr w:type="spellEnd"/>
            <w:r w:rsidRPr="00133E34">
              <w:rPr>
                <w:rFonts w:cs="Calibri"/>
                <w:sz w:val="20"/>
                <w:szCs w:val="20"/>
              </w:rPr>
              <w:t xml:space="preserve"> shores are recorded and examined and sometimes autopsied</w:t>
            </w:r>
          </w:p>
        </w:tc>
        <w:tc>
          <w:tcPr>
            <w:tcW w:w="2127" w:type="dxa"/>
            <w:vAlign w:val="center"/>
          </w:tcPr>
          <w:p w:rsidR="00A97080" w:rsidRPr="00133E34" w:rsidRDefault="00A97080" w:rsidP="004534CD">
            <w:pPr>
              <w:rPr>
                <w:sz w:val="20"/>
                <w:szCs w:val="20"/>
              </w:rPr>
            </w:pPr>
            <w:r w:rsidRPr="00133E34">
              <w:rPr>
                <w:sz w:val="20"/>
                <w:szCs w:val="20"/>
              </w:rPr>
              <w:t>Ad hoc state-wide</w:t>
            </w:r>
          </w:p>
        </w:tc>
        <w:tc>
          <w:tcPr>
            <w:tcW w:w="2977" w:type="dxa"/>
            <w:vAlign w:val="center"/>
          </w:tcPr>
          <w:p w:rsidR="00A97080" w:rsidRPr="00133E34" w:rsidRDefault="00FB3343" w:rsidP="004534CD">
            <w:pPr>
              <w:rPr>
                <w:sz w:val="20"/>
                <w:szCs w:val="20"/>
              </w:rPr>
            </w:pPr>
            <w:hyperlink r:id="rId104" w:anchor="dugong" w:history="1">
              <w:r w:rsidR="00A97080" w:rsidRPr="00133E34">
                <w:rPr>
                  <w:rStyle w:val="Hyperlink"/>
                  <w:sz w:val="20"/>
                  <w:szCs w:val="20"/>
                </w:rPr>
                <w:t>http://www.ehp.qld.gov.au/wildlife/caring-for-wildlife/strandnet-reports.html#dugong</w:t>
              </w:r>
            </w:hyperlink>
            <w:r w:rsidR="00A97080" w:rsidRPr="00133E34">
              <w:rPr>
                <w:sz w:val="20"/>
                <w:szCs w:val="20"/>
              </w:rPr>
              <w:t xml:space="preserve"> </w:t>
            </w:r>
          </w:p>
        </w:tc>
      </w:tr>
      <w:tr w:rsidR="00A97080" w:rsidRPr="00133E34" w:rsidTr="004534CD">
        <w:tc>
          <w:tcPr>
            <w:tcW w:w="1535" w:type="dxa"/>
            <w:vAlign w:val="center"/>
          </w:tcPr>
          <w:p w:rsidR="00A97080" w:rsidRPr="00133E34" w:rsidRDefault="00A97080" w:rsidP="004534CD">
            <w:pPr>
              <w:rPr>
                <w:sz w:val="20"/>
                <w:szCs w:val="20"/>
              </w:rPr>
            </w:pPr>
            <w:r w:rsidRPr="00133E34">
              <w:rPr>
                <w:sz w:val="20"/>
                <w:szCs w:val="20"/>
              </w:rPr>
              <w:t>Coral Reef Watch</w:t>
            </w:r>
          </w:p>
        </w:tc>
        <w:tc>
          <w:tcPr>
            <w:tcW w:w="1267" w:type="dxa"/>
            <w:vAlign w:val="center"/>
          </w:tcPr>
          <w:p w:rsidR="00A97080" w:rsidRPr="00133E34" w:rsidRDefault="00A97080" w:rsidP="004534CD">
            <w:pPr>
              <w:rPr>
                <w:sz w:val="20"/>
                <w:szCs w:val="20"/>
              </w:rPr>
            </w:pPr>
            <w:r w:rsidRPr="00133E34">
              <w:rPr>
                <w:sz w:val="20"/>
                <w:szCs w:val="20"/>
              </w:rPr>
              <w:t>NOAA (USA)</w:t>
            </w:r>
          </w:p>
        </w:tc>
        <w:tc>
          <w:tcPr>
            <w:tcW w:w="2126" w:type="dxa"/>
            <w:vAlign w:val="center"/>
          </w:tcPr>
          <w:p w:rsidR="00A97080" w:rsidRPr="00133E34" w:rsidRDefault="00A97080" w:rsidP="004534CD">
            <w:pPr>
              <w:rPr>
                <w:sz w:val="20"/>
                <w:szCs w:val="20"/>
              </w:rPr>
            </w:pPr>
            <w:r w:rsidRPr="00133E34">
              <w:rPr>
                <w:sz w:val="20"/>
                <w:szCs w:val="20"/>
              </w:rPr>
              <w:t>To identify onset of conditions for coral bleaching</w:t>
            </w:r>
          </w:p>
        </w:tc>
        <w:tc>
          <w:tcPr>
            <w:tcW w:w="3969" w:type="dxa"/>
            <w:vAlign w:val="center"/>
          </w:tcPr>
          <w:p w:rsidR="00A97080" w:rsidRPr="00133E34" w:rsidRDefault="00A97080" w:rsidP="004534CD">
            <w:pPr>
              <w:autoSpaceDE w:val="0"/>
              <w:autoSpaceDN w:val="0"/>
              <w:adjustRightInd w:val="0"/>
              <w:rPr>
                <w:sz w:val="20"/>
                <w:szCs w:val="20"/>
              </w:rPr>
            </w:pPr>
            <w:r w:rsidRPr="00133E34">
              <w:rPr>
                <w:rFonts w:cs="Calibri"/>
                <w:sz w:val="20"/>
                <w:szCs w:val="20"/>
              </w:rPr>
              <w:t>Sea surface temperature from remote sensing</w:t>
            </w:r>
          </w:p>
        </w:tc>
        <w:tc>
          <w:tcPr>
            <w:tcW w:w="2127" w:type="dxa"/>
            <w:vAlign w:val="center"/>
          </w:tcPr>
          <w:p w:rsidR="00A97080" w:rsidRPr="00133E34" w:rsidRDefault="00A97080" w:rsidP="004534CD">
            <w:pPr>
              <w:rPr>
                <w:sz w:val="20"/>
                <w:szCs w:val="20"/>
              </w:rPr>
            </w:pPr>
            <w:r w:rsidRPr="00133E34">
              <w:rPr>
                <w:sz w:val="20"/>
                <w:szCs w:val="20"/>
              </w:rPr>
              <w:t>General (Remote sensing)</w:t>
            </w:r>
          </w:p>
        </w:tc>
        <w:tc>
          <w:tcPr>
            <w:tcW w:w="2977" w:type="dxa"/>
            <w:vAlign w:val="center"/>
          </w:tcPr>
          <w:p w:rsidR="00A97080" w:rsidRPr="00133E34" w:rsidRDefault="00A97080" w:rsidP="004534CD">
            <w:pPr>
              <w:rPr>
                <w:rFonts w:cs="Calibri"/>
                <w:color w:val="0000FF"/>
                <w:sz w:val="20"/>
                <w:szCs w:val="20"/>
              </w:rPr>
            </w:pPr>
            <w:r w:rsidRPr="00133E34">
              <w:rPr>
                <w:rFonts w:cs="Calibri"/>
                <w:color w:val="0000FF"/>
                <w:sz w:val="20"/>
                <w:szCs w:val="20"/>
              </w:rPr>
              <w:t>http://coralreefwatch.noaa.gov/satellite/product_overview.html</w:t>
            </w:r>
          </w:p>
        </w:tc>
      </w:tr>
      <w:tr w:rsidR="00A97080" w:rsidRPr="00133E34" w:rsidTr="004534CD">
        <w:tc>
          <w:tcPr>
            <w:tcW w:w="1535" w:type="dxa"/>
            <w:vAlign w:val="center"/>
          </w:tcPr>
          <w:p w:rsidR="00A97080" w:rsidRPr="00133E34" w:rsidRDefault="00A97080" w:rsidP="004534CD">
            <w:pPr>
              <w:rPr>
                <w:sz w:val="20"/>
                <w:szCs w:val="20"/>
              </w:rPr>
            </w:pPr>
            <w:proofErr w:type="spellStart"/>
            <w:r w:rsidRPr="00133E34">
              <w:rPr>
                <w:sz w:val="20"/>
                <w:szCs w:val="20"/>
              </w:rPr>
              <w:t>ReefTemp</w:t>
            </w:r>
            <w:proofErr w:type="spellEnd"/>
          </w:p>
        </w:tc>
        <w:tc>
          <w:tcPr>
            <w:tcW w:w="1267" w:type="dxa"/>
            <w:vAlign w:val="center"/>
          </w:tcPr>
          <w:p w:rsidR="00A97080" w:rsidRPr="00133E34" w:rsidRDefault="00A97080" w:rsidP="004534CD">
            <w:pPr>
              <w:rPr>
                <w:sz w:val="20"/>
                <w:szCs w:val="20"/>
              </w:rPr>
            </w:pPr>
            <w:r w:rsidRPr="00133E34">
              <w:rPr>
                <w:sz w:val="20"/>
                <w:szCs w:val="20"/>
              </w:rPr>
              <w:t>GBRMPA, CSIRO-CMAR, BoM</w:t>
            </w:r>
          </w:p>
        </w:tc>
        <w:tc>
          <w:tcPr>
            <w:tcW w:w="2126" w:type="dxa"/>
            <w:vAlign w:val="center"/>
          </w:tcPr>
          <w:p w:rsidR="00A97080" w:rsidRPr="00133E34" w:rsidRDefault="00A97080" w:rsidP="004534CD">
            <w:pPr>
              <w:rPr>
                <w:sz w:val="20"/>
                <w:szCs w:val="20"/>
              </w:rPr>
            </w:pPr>
            <w:r w:rsidRPr="00133E34">
              <w:rPr>
                <w:rFonts w:cs="Calibri"/>
                <w:sz w:val="20"/>
                <w:szCs w:val="20"/>
              </w:rPr>
              <w:t>Map bleaching risk on the GBR using AVHRR</w:t>
            </w:r>
          </w:p>
        </w:tc>
        <w:tc>
          <w:tcPr>
            <w:tcW w:w="3969" w:type="dxa"/>
            <w:vAlign w:val="center"/>
          </w:tcPr>
          <w:p w:rsidR="00A97080" w:rsidRPr="00133E34" w:rsidRDefault="00A97080" w:rsidP="004534CD">
            <w:pPr>
              <w:rPr>
                <w:sz w:val="20"/>
                <w:szCs w:val="20"/>
              </w:rPr>
            </w:pPr>
            <w:r w:rsidRPr="00133E34">
              <w:rPr>
                <w:rFonts w:cs="Calibri"/>
                <w:sz w:val="20"/>
                <w:szCs w:val="20"/>
              </w:rPr>
              <w:t>Sea surface temperature from remote sensing</w:t>
            </w:r>
          </w:p>
        </w:tc>
        <w:tc>
          <w:tcPr>
            <w:tcW w:w="2127" w:type="dxa"/>
            <w:vAlign w:val="center"/>
          </w:tcPr>
          <w:p w:rsidR="00A97080" w:rsidRPr="00133E34" w:rsidRDefault="00A97080" w:rsidP="004534CD">
            <w:pPr>
              <w:rPr>
                <w:sz w:val="20"/>
                <w:szCs w:val="20"/>
              </w:rPr>
            </w:pPr>
            <w:r w:rsidRPr="00133E34">
              <w:rPr>
                <w:sz w:val="20"/>
                <w:szCs w:val="20"/>
              </w:rPr>
              <w:t>General (Remote sensing)</w:t>
            </w:r>
          </w:p>
        </w:tc>
        <w:tc>
          <w:tcPr>
            <w:tcW w:w="2977" w:type="dxa"/>
            <w:vAlign w:val="center"/>
          </w:tcPr>
          <w:p w:rsidR="00A97080" w:rsidRPr="00133E34" w:rsidRDefault="00FB3343" w:rsidP="004534CD">
            <w:pPr>
              <w:rPr>
                <w:sz w:val="20"/>
                <w:szCs w:val="20"/>
              </w:rPr>
            </w:pPr>
            <w:hyperlink r:id="rId105" w:history="1">
              <w:r w:rsidR="00A97080" w:rsidRPr="00133E34">
                <w:rPr>
                  <w:rStyle w:val="Hyperlink"/>
                  <w:sz w:val="20"/>
                  <w:szCs w:val="20"/>
                </w:rPr>
                <w:t>http://www.cmar.csiro.au/remotesensing/reeftemp/web/ReefTemp.htm</w:t>
              </w:r>
            </w:hyperlink>
            <w:r w:rsidR="00A97080" w:rsidRPr="00133E34">
              <w:rPr>
                <w:sz w:val="20"/>
                <w:szCs w:val="20"/>
              </w:rPr>
              <w:t xml:space="preserve"> </w:t>
            </w:r>
          </w:p>
        </w:tc>
      </w:tr>
      <w:tr w:rsidR="00A97080" w:rsidRPr="00133E34" w:rsidTr="004534CD">
        <w:tc>
          <w:tcPr>
            <w:tcW w:w="1535" w:type="dxa"/>
            <w:vAlign w:val="center"/>
          </w:tcPr>
          <w:p w:rsidR="00A97080" w:rsidRPr="00133E34" w:rsidRDefault="00A97080" w:rsidP="004534CD">
            <w:pPr>
              <w:rPr>
                <w:sz w:val="20"/>
                <w:szCs w:val="20"/>
              </w:rPr>
            </w:pPr>
            <w:r w:rsidRPr="00133E34">
              <w:rPr>
                <w:sz w:val="20"/>
                <w:szCs w:val="20"/>
              </w:rPr>
              <w:t>Sea temperature monitoring</w:t>
            </w:r>
          </w:p>
        </w:tc>
        <w:tc>
          <w:tcPr>
            <w:tcW w:w="1267" w:type="dxa"/>
            <w:vAlign w:val="center"/>
          </w:tcPr>
          <w:p w:rsidR="00A97080" w:rsidRPr="00133E34" w:rsidRDefault="00A97080" w:rsidP="004534CD">
            <w:pPr>
              <w:rPr>
                <w:sz w:val="20"/>
                <w:szCs w:val="20"/>
              </w:rPr>
            </w:pPr>
            <w:r w:rsidRPr="00133E34">
              <w:rPr>
                <w:rFonts w:cs="Calibri"/>
                <w:sz w:val="20"/>
                <w:szCs w:val="20"/>
              </w:rPr>
              <w:t>AIMS / GBRMPA</w:t>
            </w:r>
          </w:p>
        </w:tc>
        <w:tc>
          <w:tcPr>
            <w:tcW w:w="2126" w:type="dxa"/>
            <w:vAlign w:val="center"/>
          </w:tcPr>
          <w:p w:rsidR="00A97080" w:rsidRPr="00133E34" w:rsidRDefault="00A97080" w:rsidP="004534CD">
            <w:pPr>
              <w:autoSpaceDE w:val="0"/>
              <w:autoSpaceDN w:val="0"/>
              <w:adjustRightInd w:val="0"/>
              <w:rPr>
                <w:sz w:val="20"/>
                <w:szCs w:val="20"/>
              </w:rPr>
            </w:pPr>
            <w:r w:rsidRPr="00133E34">
              <w:rPr>
                <w:rFonts w:cs="Calibri"/>
                <w:sz w:val="20"/>
                <w:szCs w:val="20"/>
              </w:rPr>
              <w:t>Continuous measurement of sea temperature over a wide area of the GBR as a physical covariate for biological changes, and ground truth for remote sensing</w:t>
            </w:r>
          </w:p>
        </w:tc>
        <w:tc>
          <w:tcPr>
            <w:tcW w:w="3969" w:type="dxa"/>
            <w:vAlign w:val="center"/>
          </w:tcPr>
          <w:p w:rsidR="00A97080" w:rsidRPr="00133E34" w:rsidRDefault="00A97080" w:rsidP="004534CD">
            <w:pPr>
              <w:autoSpaceDE w:val="0"/>
              <w:autoSpaceDN w:val="0"/>
              <w:adjustRightInd w:val="0"/>
              <w:rPr>
                <w:sz w:val="20"/>
                <w:szCs w:val="20"/>
              </w:rPr>
            </w:pPr>
            <w:r w:rsidRPr="00133E34">
              <w:rPr>
                <w:rFonts w:cs="Calibri"/>
                <w:sz w:val="20"/>
                <w:szCs w:val="20"/>
              </w:rPr>
              <w:t>Data loggers instantaneously record sea temperatures every 30 minutes and are exchanged and downloaded approximately every 12 months</w:t>
            </w:r>
          </w:p>
        </w:tc>
        <w:tc>
          <w:tcPr>
            <w:tcW w:w="2127" w:type="dxa"/>
            <w:vAlign w:val="center"/>
          </w:tcPr>
          <w:p w:rsidR="00A97080" w:rsidRPr="00133E34" w:rsidRDefault="00A97080" w:rsidP="004534CD">
            <w:pPr>
              <w:rPr>
                <w:sz w:val="20"/>
                <w:szCs w:val="20"/>
              </w:rPr>
            </w:pPr>
            <w:r w:rsidRPr="00133E34">
              <w:rPr>
                <w:sz w:val="20"/>
                <w:szCs w:val="20"/>
              </w:rPr>
              <w:t>18 reefs in the study area</w:t>
            </w:r>
          </w:p>
        </w:tc>
        <w:tc>
          <w:tcPr>
            <w:tcW w:w="2977" w:type="dxa"/>
            <w:vAlign w:val="center"/>
          </w:tcPr>
          <w:p w:rsidR="00A97080" w:rsidRPr="00133E34" w:rsidRDefault="00A97080" w:rsidP="004534CD">
            <w:pPr>
              <w:rPr>
                <w:sz w:val="20"/>
                <w:szCs w:val="20"/>
              </w:rPr>
            </w:pPr>
            <w:r w:rsidRPr="00133E34">
              <w:rPr>
                <w:rFonts w:cs="Calibri"/>
                <w:color w:val="0000FF"/>
                <w:sz w:val="20"/>
                <w:szCs w:val="20"/>
              </w:rPr>
              <w:t>http://www.aims.gov.au/docs/research/climate-change/climate-monitoring/sst.html</w:t>
            </w:r>
          </w:p>
        </w:tc>
      </w:tr>
      <w:tr w:rsidR="00A97080" w:rsidRPr="00133E34" w:rsidTr="004534CD">
        <w:tc>
          <w:tcPr>
            <w:tcW w:w="1535" w:type="dxa"/>
            <w:vAlign w:val="center"/>
          </w:tcPr>
          <w:p w:rsidR="00A97080" w:rsidRPr="00133E34" w:rsidRDefault="00A97080" w:rsidP="004534CD">
            <w:pPr>
              <w:rPr>
                <w:sz w:val="20"/>
                <w:szCs w:val="20"/>
              </w:rPr>
            </w:pPr>
            <w:r w:rsidRPr="00133E34">
              <w:rPr>
                <w:sz w:val="20"/>
                <w:szCs w:val="20"/>
              </w:rPr>
              <w:t>AIMS weather stations</w:t>
            </w:r>
          </w:p>
        </w:tc>
        <w:tc>
          <w:tcPr>
            <w:tcW w:w="1267" w:type="dxa"/>
            <w:vAlign w:val="center"/>
          </w:tcPr>
          <w:p w:rsidR="00A97080" w:rsidRPr="00133E34" w:rsidRDefault="00A97080" w:rsidP="004534CD">
            <w:pPr>
              <w:rPr>
                <w:sz w:val="20"/>
                <w:szCs w:val="20"/>
              </w:rPr>
            </w:pPr>
            <w:r w:rsidRPr="00133E34">
              <w:rPr>
                <w:sz w:val="20"/>
                <w:szCs w:val="20"/>
              </w:rPr>
              <w:t>AIMS</w:t>
            </w:r>
          </w:p>
        </w:tc>
        <w:tc>
          <w:tcPr>
            <w:tcW w:w="2126" w:type="dxa"/>
            <w:vAlign w:val="center"/>
          </w:tcPr>
          <w:p w:rsidR="00A97080" w:rsidRPr="00133E34" w:rsidRDefault="00A97080" w:rsidP="004534CD">
            <w:pPr>
              <w:autoSpaceDE w:val="0"/>
              <w:autoSpaceDN w:val="0"/>
              <w:adjustRightInd w:val="0"/>
              <w:rPr>
                <w:rFonts w:cs="Calibri"/>
                <w:sz w:val="20"/>
                <w:szCs w:val="20"/>
              </w:rPr>
            </w:pPr>
            <w:r w:rsidRPr="00133E34">
              <w:rPr>
                <w:rFonts w:cs="Calibri"/>
                <w:sz w:val="20"/>
                <w:szCs w:val="20"/>
              </w:rPr>
              <w:t>To provide near real time weather data for sites across the GBR</w:t>
            </w:r>
          </w:p>
          <w:p w:rsidR="00A97080" w:rsidRPr="00133E34" w:rsidRDefault="00A97080" w:rsidP="004534CD">
            <w:pPr>
              <w:rPr>
                <w:sz w:val="20"/>
                <w:szCs w:val="20"/>
              </w:rPr>
            </w:pPr>
            <w:r w:rsidRPr="00133E34">
              <w:rPr>
                <w:rFonts w:cs="Calibri"/>
                <w:sz w:val="20"/>
                <w:szCs w:val="20"/>
              </w:rPr>
              <w:t>Ground truth for remotely sensed sea temperatures, and other variables</w:t>
            </w:r>
          </w:p>
        </w:tc>
        <w:tc>
          <w:tcPr>
            <w:tcW w:w="3969" w:type="dxa"/>
            <w:vAlign w:val="center"/>
          </w:tcPr>
          <w:p w:rsidR="00A97080" w:rsidRPr="00133E34" w:rsidRDefault="00A97080" w:rsidP="004534CD">
            <w:pPr>
              <w:rPr>
                <w:sz w:val="20"/>
                <w:szCs w:val="20"/>
              </w:rPr>
            </w:pPr>
            <w:r w:rsidRPr="00133E34">
              <w:rPr>
                <w:rFonts w:cs="Calibri"/>
                <w:sz w:val="20"/>
                <w:szCs w:val="20"/>
              </w:rPr>
              <w:t>Air pressure, air temperature, humidity, light, wind direction, wind speed, rain, sea temperature at one or more depths, updates every 10-30 min.</w:t>
            </w:r>
          </w:p>
        </w:tc>
        <w:tc>
          <w:tcPr>
            <w:tcW w:w="2127" w:type="dxa"/>
            <w:vAlign w:val="center"/>
          </w:tcPr>
          <w:p w:rsidR="00A97080" w:rsidRPr="00133E34" w:rsidRDefault="00A97080" w:rsidP="004534CD">
            <w:pPr>
              <w:rPr>
                <w:sz w:val="20"/>
                <w:szCs w:val="20"/>
              </w:rPr>
            </w:pPr>
            <w:r w:rsidRPr="00133E34">
              <w:rPr>
                <w:sz w:val="20"/>
                <w:szCs w:val="20"/>
              </w:rPr>
              <w:t>Hardy Reef</w:t>
            </w:r>
          </w:p>
        </w:tc>
        <w:tc>
          <w:tcPr>
            <w:tcW w:w="2977" w:type="dxa"/>
            <w:vAlign w:val="center"/>
          </w:tcPr>
          <w:p w:rsidR="00A97080" w:rsidRPr="00133E34" w:rsidRDefault="00A97080" w:rsidP="004534CD">
            <w:pPr>
              <w:rPr>
                <w:sz w:val="20"/>
                <w:szCs w:val="20"/>
              </w:rPr>
            </w:pPr>
            <w:r w:rsidRPr="00133E34">
              <w:rPr>
                <w:rFonts w:cs="Calibri"/>
                <w:color w:val="0000FF"/>
                <w:sz w:val="20"/>
                <w:szCs w:val="20"/>
              </w:rPr>
              <w:t>http://data.aims.gov.au/aimsrtds/latestreadings.xhtml</w:t>
            </w:r>
          </w:p>
        </w:tc>
      </w:tr>
      <w:tr w:rsidR="00A97080" w:rsidRPr="00133E34" w:rsidTr="004534CD">
        <w:tc>
          <w:tcPr>
            <w:tcW w:w="1535" w:type="dxa"/>
            <w:vAlign w:val="center"/>
          </w:tcPr>
          <w:p w:rsidR="00A97080" w:rsidRPr="00133E34" w:rsidRDefault="00A97080" w:rsidP="004534CD">
            <w:pPr>
              <w:rPr>
                <w:sz w:val="20"/>
                <w:szCs w:val="20"/>
              </w:rPr>
            </w:pPr>
            <w:r w:rsidRPr="00133E34">
              <w:rPr>
                <w:sz w:val="20"/>
                <w:szCs w:val="20"/>
              </w:rPr>
              <w:t>Wave height monitoring</w:t>
            </w:r>
          </w:p>
        </w:tc>
        <w:tc>
          <w:tcPr>
            <w:tcW w:w="1267" w:type="dxa"/>
            <w:vAlign w:val="center"/>
          </w:tcPr>
          <w:p w:rsidR="00A97080" w:rsidRPr="00133E34" w:rsidRDefault="00A97080" w:rsidP="004534CD">
            <w:pPr>
              <w:rPr>
                <w:sz w:val="20"/>
                <w:szCs w:val="20"/>
              </w:rPr>
            </w:pPr>
            <w:r w:rsidRPr="00133E34">
              <w:rPr>
                <w:sz w:val="20"/>
                <w:szCs w:val="20"/>
              </w:rPr>
              <w:t>QDEHP</w:t>
            </w:r>
          </w:p>
        </w:tc>
        <w:tc>
          <w:tcPr>
            <w:tcW w:w="2126" w:type="dxa"/>
            <w:vAlign w:val="center"/>
          </w:tcPr>
          <w:p w:rsidR="00A97080" w:rsidRPr="00133E34" w:rsidRDefault="00A97080" w:rsidP="004534CD">
            <w:pPr>
              <w:autoSpaceDE w:val="0"/>
              <w:autoSpaceDN w:val="0"/>
              <w:adjustRightInd w:val="0"/>
              <w:rPr>
                <w:sz w:val="20"/>
                <w:szCs w:val="20"/>
              </w:rPr>
            </w:pPr>
            <w:r w:rsidRPr="00133E34">
              <w:rPr>
                <w:rFonts w:cs="Calibri"/>
                <w:sz w:val="20"/>
                <w:szCs w:val="20"/>
              </w:rPr>
              <w:t xml:space="preserve">Wave information is used in the design and construction of coastal structures and in investigations of </w:t>
            </w:r>
            <w:r w:rsidRPr="00133E34">
              <w:rPr>
                <w:rFonts w:cs="Calibri"/>
                <w:sz w:val="20"/>
                <w:szCs w:val="20"/>
              </w:rPr>
              <w:lastRenderedPageBreak/>
              <w:t>natural coastal processes including accretion and erosion.</w:t>
            </w:r>
          </w:p>
        </w:tc>
        <w:tc>
          <w:tcPr>
            <w:tcW w:w="3969" w:type="dxa"/>
            <w:vAlign w:val="center"/>
          </w:tcPr>
          <w:p w:rsidR="00A97080" w:rsidRPr="00133E34" w:rsidRDefault="00A97080" w:rsidP="004534CD">
            <w:pPr>
              <w:rPr>
                <w:sz w:val="20"/>
                <w:szCs w:val="20"/>
              </w:rPr>
            </w:pPr>
            <w:r w:rsidRPr="00133E34">
              <w:rPr>
                <w:rFonts w:cs="Calibri"/>
                <w:sz w:val="20"/>
                <w:szCs w:val="20"/>
              </w:rPr>
              <w:lastRenderedPageBreak/>
              <w:t>Wave height, wave direction and sea surface temperature</w:t>
            </w:r>
          </w:p>
        </w:tc>
        <w:tc>
          <w:tcPr>
            <w:tcW w:w="2127" w:type="dxa"/>
            <w:vAlign w:val="center"/>
          </w:tcPr>
          <w:p w:rsidR="00A97080" w:rsidRPr="00133E34" w:rsidRDefault="00A97080" w:rsidP="004534CD">
            <w:pPr>
              <w:rPr>
                <w:sz w:val="20"/>
                <w:szCs w:val="20"/>
              </w:rPr>
            </w:pPr>
            <w:r w:rsidRPr="00133E34">
              <w:rPr>
                <w:sz w:val="20"/>
                <w:szCs w:val="20"/>
              </w:rPr>
              <w:t>Abbot Pt, Hay Pt, Mackay</w:t>
            </w:r>
          </w:p>
        </w:tc>
        <w:tc>
          <w:tcPr>
            <w:tcW w:w="2977" w:type="dxa"/>
            <w:vAlign w:val="center"/>
          </w:tcPr>
          <w:p w:rsidR="00A97080" w:rsidRPr="00133E34" w:rsidRDefault="00FB3343" w:rsidP="004534CD">
            <w:pPr>
              <w:rPr>
                <w:sz w:val="20"/>
                <w:szCs w:val="20"/>
              </w:rPr>
            </w:pPr>
            <w:hyperlink r:id="rId106" w:history="1">
              <w:r w:rsidR="00A97080" w:rsidRPr="00133E34">
                <w:rPr>
                  <w:rStyle w:val="Hyperlink"/>
                  <w:rFonts w:cs="Calibri"/>
                  <w:sz w:val="20"/>
                  <w:szCs w:val="20"/>
                </w:rPr>
                <w:t>http://www.ehp.qld.gov.au/coastal/monitoring/waves/index.php</w:t>
              </w:r>
            </w:hyperlink>
            <w:r w:rsidR="00A97080" w:rsidRPr="00133E34">
              <w:rPr>
                <w:rFonts w:cs="Calibri"/>
                <w:sz w:val="20"/>
                <w:szCs w:val="20"/>
              </w:rPr>
              <w:t xml:space="preserve"> </w:t>
            </w:r>
          </w:p>
        </w:tc>
      </w:tr>
      <w:tr w:rsidR="00A97080" w:rsidRPr="00133E34" w:rsidTr="004534CD">
        <w:tc>
          <w:tcPr>
            <w:tcW w:w="1535" w:type="dxa"/>
            <w:vAlign w:val="center"/>
          </w:tcPr>
          <w:p w:rsidR="00A97080" w:rsidRPr="00133E34" w:rsidRDefault="00A97080" w:rsidP="004534CD">
            <w:pPr>
              <w:rPr>
                <w:sz w:val="20"/>
                <w:szCs w:val="20"/>
              </w:rPr>
            </w:pPr>
            <w:r w:rsidRPr="00133E34">
              <w:rPr>
                <w:sz w:val="20"/>
                <w:szCs w:val="20"/>
              </w:rPr>
              <w:lastRenderedPageBreak/>
              <w:t>Storm-tide monitoring</w:t>
            </w:r>
          </w:p>
        </w:tc>
        <w:tc>
          <w:tcPr>
            <w:tcW w:w="1267" w:type="dxa"/>
            <w:vAlign w:val="center"/>
          </w:tcPr>
          <w:p w:rsidR="00A97080" w:rsidRPr="00133E34" w:rsidRDefault="00A97080" w:rsidP="004534CD">
            <w:pPr>
              <w:rPr>
                <w:sz w:val="20"/>
                <w:szCs w:val="20"/>
              </w:rPr>
            </w:pPr>
            <w:r w:rsidRPr="00133E34">
              <w:rPr>
                <w:sz w:val="20"/>
                <w:szCs w:val="20"/>
              </w:rPr>
              <w:t>QDEHP</w:t>
            </w:r>
          </w:p>
        </w:tc>
        <w:tc>
          <w:tcPr>
            <w:tcW w:w="2126" w:type="dxa"/>
            <w:vAlign w:val="center"/>
          </w:tcPr>
          <w:p w:rsidR="00A97080" w:rsidRPr="00133E34" w:rsidRDefault="00A97080" w:rsidP="004534CD">
            <w:pPr>
              <w:rPr>
                <w:sz w:val="20"/>
                <w:szCs w:val="20"/>
              </w:rPr>
            </w:pPr>
            <w:r w:rsidRPr="00133E34">
              <w:rPr>
                <w:sz w:val="20"/>
                <w:szCs w:val="20"/>
              </w:rPr>
              <w:t>To monitor coastal flooding from the sea, usually because of storm surge during tropical cyclones</w:t>
            </w:r>
          </w:p>
        </w:tc>
        <w:tc>
          <w:tcPr>
            <w:tcW w:w="3969" w:type="dxa"/>
            <w:vAlign w:val="center"/>
          </w:tcPr>
          <w:p w:rsidR="00A97080" w:rsidRPr="00133E34" w:rsidRDefault="00A97080" w:rsidP="004534CD">
            <w:pPr>
              <w:rPr>
                <w:sz w:val="20"/>
                <w:szCs w:val="20"/>
              </w:rPr>
            </w:pPr>
            <w:r w:rsidRPr="00133E34">
              <w:rPr>
                <w:rFonts w:cs="Calibri"/>
                <w:sz w:val="20"/>
                <w:szCs w:val="20"/>
              </w:rPr>
              <w:t>Tide height</w:t>
            </w:r>
          </w:p>
        </w:tc>
        <w:tc>
          <w:tcPr>
            <w:tcW w:w="2127" w:type="dxa"/>
            <w:vAlign w:val="center"/>
          </w:tcPr>
          <w:p w:rsidR="00A97080" w:rsidRPr="00133E34" w:rsidRDefault="00A97080" w:rsidP="004534CD">
            <w:pPr>
              <w:rPr>
                <w:sz w:val="20"/>
                <w:szCs w:val="20"/>
              </w:rPr>
            </w:pPr>
            <w:r w:rsidRPr="00133E34">
              <w:rPr>
                <w:sz w:val="20"/>
                <w:szCs w:val="20"/>
              </w:rPr>
              <w:t xml:space="preserve">Bowen, Shute </w:t>
            </w:r>
            <w:proofErr w:type="spellStart"/>
            <w:r w:rsidRPr="00133E34">
              <w:rPr>
                <w:sz w:val="20"/>
                <w:szCs w:val="20"/>
              </w:rPr>
              <w:t>Harbour</w:t>
            </w:r>
            <w:proofErr w:type="spellEnd"/>
            <w:r w:rsidRPr="00133E34">
              <w:rPr>
                <w:sz w:val="20"/>
                <w:szCs w:val="20"/>
              </w:rPr>
              <w:t xml:space="preserve">, Laguna Quays, Mackay, </w:t>
            </w:r>
            <w:proofErr w:type="spellStart"/>
            <w:r w:rsidRPr="00133E34">
              <w:rPr>
                <w:sz w:val="20"/>
                <w:szCs w:val="20"/>
              </w:rPr>
              <w:t>Dalrymple</w:t>
            </w:r>
            <w:proofErr w:type="spellEnd"/>
            <w:r w:rsidRPr="00133E34">
              <w:rPr>
                <w:sz w:val="20"/>
                <w:szCs w:val="20"/>
              </w:rPr>
              <w:t xml:space="preserve"> Bay</w:t>
            </w:r>
          </w:p>
        </w:tc>
        <w:tc>
          <w:tcPr>
            <w:tcW w:w="2977" w:type="dxa"/>
            <w:vAlign w:val="center"/>
          </w:tcPr>
          <w:p w:rsidR="00A97080" w:rsidRPr="00133E34" w:rsidRDefault="00FB3343" w:rsidP="004534CD">
            <w:pPr>
              <w:rPr>
                <w:sz w:val="20"/>
                <w:szCs w:val="20"/>
              </w:rPr>
            </w:pPr>
            <w:hyperlink r:id="rId107" w:history="1">
              <w:r w:rsidR="00A97080" w:rsidRPr="00133E34">
                <w:rPr>
                  <w:rStyle w:val="Hyperlink"/>
                  <w:sz w:val="20"/>
                  <w:szCs w:val="20"/>
                </w:rPr>
                <w:t>http://www.qld.gov.au/environment/coasts-waterways/beach/storm/</w:t>
              </w:r>
            </w:hyperlink>
            <w:r w:rsidR="00A97080" w:rsidRPr="00133E34">
              <w:rPr>
                <w:sz w:val="20"/>
                <w:szCs w:val="20"/>
              </w:rPr>
              <w:t xml:space="preserve"> </w:t>
            </w:r>
          </w:p>
        </w:tc>
      </w:tr>
      <w:tr w:rsidR="00A97080" w:rsidRPr="00133E34" w:rsidTr="004534CD">
        <w:tc>
          <w:tcPr>
            <w:tcW w:w="1535" w:type="dxa"/>
            <w:vAlign w:val="center"/>
          </w:tcPr>
          <w:p w:rsidR="00A97080" w:rsidRPr="00133E34" w:rsidRDefault="00A97080" w:rsidP="004534CD">
            <w:pPr>
              <w:rPr>
                <w:sz w:val="20"/>
                <w:szCs w:val="20"/>
              </w:rPr>
            </w:pPr>
            <w:proofErr w:type="spellStart"/>
            <w:r>
              <w:rPr>
                <w:sz w:val="20"/>
                <w:szCs w:val="20"/>
              </w:rPr>
              <w:t>Qld</w:t>
            </w:r>
            <w:proofErr w:type="spellEnd"/>
            <w:r>
              <w:rPr>
                <w:sz w:val="20"/>
                <w:szCs w:val="20"/>
              </w:rPr>
              <w:t xml:space="preserve"> Turtle Conservation Project</w:t>
            </w:r>
          </w:p>
        </w:tc>
        <w:tc>
          <w:tcPr>
            <w:tcW w:w="1267" w:type="dxa"/>
            <w:vAlign w:val="center"/>
          </w:tcPr>
          <w:p w:rsidR="00A97080" w:rsidRPr="00133E34" w:rsidRDefault="00A97080" w:rsidP="004534CD">
            <w:pPr>
              <w:rPr>
                <w:sz w:val="20"/>
                <w:szCs w:val="20"/>
              </w:rPr>
            </w:pPr>
            <w:r w:rsidRPr="00133E34">
              <w:rPr>
                <w:sz w:val="20"/>
                <w:szCs w:val="20"/>
              </w:rPr>
              <w:t>QDEHP</w:t>
            </w:r>
          </w:p>
        </w:tc>
        <w:tc>
          <w:tcPr>
            <w:tcW w:w="2126" w:type="dxa"/>
            <w:vAlign w:val="center"/>
          </w:tcPr>
          <w:p w:rsidR="00A97080" w:rsidRPr="00133E34" w:rsidRDefault="00A97080" w:rsidP="004534CD">
            <w:pPr>
              <w:autoSpaceDE w:val="0"/>
              <w:autoSpaceDN w:val="0"/>
              <w:adjustRightInd w:val="0"/>
              <w:rPr>
                <w:rFonts w:cs="Calibri"/>
                <w:sz w:val="20"/>
                <w:szCs w:val="20"/>
              </w:rPr>
            </w:pPr>
            <w:r w:rsidRPr="00133E34">
              <w:rPr>
                <w:rFonts w:cs="Calibri"/>
                <w:sz w:val="20"/>
                <w:szCs w:val="20"/>
              </w:rPr>
              <w:t>Monitor populations of turtles on East Coast of Queensland:</w:t>
            </w:r>
          </w:p>
          <w:p w:rsidR="00A97080" w:rsidRPr="00133E34" w:rsidRDefault="00A97080" w:rsidP="004534CD">
            <w:pPr>
              <w:autoSpaceDE w:val="0"/>
              <w:autoSpaceDN w:val="0"/>
              <w:adjustRightInd w:val="0"/>
              <w:rPr>
                <w:rFonts w:cs="Calibri"/>
                <w:sz w:val="20"/>
                <w:szCs w:val="20"/>
              </w:rPr>
            </w:pPr>
            <w:r w:rsidRPr="00133E34">
              <w:rPr>
                <w:rFonts w:cs="Calibri"/>
                <w:sz w:val="20"/>
                <w:szCs w:val="20"/>
              </w:rPr>
              <w:t>a) assess breeding on nesting beaches,</w:t>
            </w:r>
          </w:p>
          <w:p w:rsidR="00A97080" w:rsidRPr="00133E34" w:rsidRDefault="00A97080" w:rsidP="004534CD">
            <w:pPr>
              <w:rPr>
                <w:sz w:val="20"/>
                <w:szCs w:val="20"/>
              </w:rPr>
            </w:pPr>
            <w:r w:rsidRPr="00133E34">
              <w:rPr>
                <w:rFonts w:cs="Calibri"/>
                <w:sz w:val="20"/>
                <w:szCs w:val="20"/>
              </w:rPr>
              <w:t>b) survey feeding areas (and assess condition of individuals)</w:t>
            </w:r>
          </w:p>
        </w:tc>
        <w:tc>
          <w:tcPr>
            <w:tcW w:w="3969" w:type="dxa"/>
            <w:vAlign w:val="center"/>
          </w:tcPr>
          <w:p w:rsidR="00A97080" w:rsidRPr="00133E34" w:rsidRDefault="00A97080" w:rsidP="004534CD">
            <w:pPr>
              <w:autoSpaceDE w:val="0"/>
              <w:autoSpaceDN w:val="0"/>
              <w:adjustRightInd w:val="0"/>
              <w:rPr>
                <w:rFonts w:cs="Calibri"/>
                <w:sz w:val="20"/>
                <w:szCs w:val="20"/>
              </w:rPr>
            </w:pPr>
            <w:r w:rsidRPr="00133E34">
              <w:rPr>
                <w:rFonts w:cs="Calibri"/>
                <w:sz w:val="20"/>
                <w:szCs w:val="20"/>
              </w:rPr>
              <w:t>Recording, measuring and tagging nesting populations of marine turtles at index beaches within each genetic stock for each species in Queensland</w:t>
            </w:r>
          </w:p>
          <w:p w:rsidR="00A97080" w:rsidRPr="00133E34" w:rsidRDefault="00A97080" w:rsidP="004534CD">
            <w:pPr>
              <w:autoSpaceDE w:val="0"/>
              <w:autoSpaceDN w:val="0"/>
              <w:adjustRightInd w:val="0"/>
              <w:rPr>
                <w:sz w:val="20"/>
                <w:szCs w:val="20"/>
              </w:rPr>
            </w:pPr>
            <w:r w:rsidRPr="00133E34">
              <w:rPr>
                <w:rFonts w:cs="Calibri"/>
                <w:sz w:val="20"/>
                <w:szCs w:val="20"/>
              </w:rPr>
              <w:t>Recording population size, condition, reproductive condition and breeding history of individuals at marine turtle feeding grounds along the Queensland coast</w:t>
            </w:r>
          </w:p>
        </w:tc>
        <w:tc>
          <w:tcPr>
            <w:tcW w:w="2127" w:type="dxa"/>
            <w:vAlign w:val="center"/>
          </w:tcPr>
          <w:p w:rsidR="00A97080" w:rsidRPr="00133E34" w:rsidRDefault="00A97080" w:rsidP="004534CD">
            <w:pPr>
              <w:rPr>
                <w:sz w:val="20"/>
                <w:szCs w:val="20"/>
              </w:rPr>
            </w:pPr>
            <w:r>
              <w:rPr>
                <w:sz w:val="20"/>
                <w:szCs w:val="20"/>
              </w:rPr>
              <w:t xml:space="preserve">Long-term study sites in </w:t>
            </w:r>
            <w:proofErr w:type="spellStart"/>
            <w:r>
              <w:rPr>
                <w:rFonts w:eastAsia="Times New Roman" w:cstheme="minorHAnsi"/>
                <w:sz w:val="18"/>
                <w:szCs w:val="18"/>
                <w:lang w:eastAsia="en-AU"/>
              </w:rPr>
              <w:t>Edgecumbe</w:t>
            </w:r>
            <w:proofErr w:type="spellEnd"/>
            <w:r>
              <w:rPr>
                <w:rFonts w:eastAsia="Times New Roman" w:cstheme="minorHAnsi"/>
                <w:sz w:val="18"/>
                <w:szCs w:val="18"/>
                <w:lang w:eastAsia="en-AU"/>
              </w:rPr>
              <w:t xml:space="preserve"> Bay</w:t>
            </w:r>
          </w:p>
        </w:tc>
        <w:tc>
          <w:tcPr>
            <w:tcW w:w="2977" w:type="dxa"/>
            <w:vAlign w:val="center"/>
          </w:tcPr>
          <w:p w:rsidR="00A97080" w:rsidRPr="00133E34" w:rsidRDefault="00A97080" w:rsidP="004534CD">
            <w:pPr>
              <w:rPr>
                <w:sz w:val="20"/>
                <w:szCs w:val="20"/>
              </w:rPr>
            </w:pPr>
          </w:p>
        </w:tc>
      </w:tr>
      <w:tr w:rsidR="00A97080" w:rsidRPr="00133E34" w:rsidTr="004534CD">
        <w:tc>
          <w:tcPr>
            <w:tcW w:w="1535" w:type="dxa"/>
            <w:vAlign w:val="center"/>
          </w:tcPr>
          <w:p w:rsidR="00A97080" w:rsidRPr="00133E34" w:rsidRDefault="00A97080" w:rsidP="004534CD">
            <w:pPr>
              <w:rPr>
                <w:sz w:val="20"/>
                <w:szCs w:val="20"/>
              </w:rPr>
            </w:pPr>
            <w:r w:rsidRPr="00133E34">
              <w:rPr>
                <w:sz w:val="20"/>
                <w:szCs w:val="20"/>
              </w:rPr>
              <w:t>Seabird monitoring</w:t>
            </w:r>
          </w:p>
        </w:tc>
        <w:tc>
          <w:tcPr>
            <w:tcW w:w="1267" w:type="dxa"/>
            <w:vAlign w:val="center"/>
          </w:tcPr>
          <w:p w:rsidR="00A97080" w:rsidRPr="00133E34" w:rsidRDefault="00A97080" w:rsidP="004534CD">
            <w:pPr>
              <w:rPr>
                <w:sz w:val="20"/>
                <w:szCs w:val="20"/>
              </w:rPr>
            </w:pPr>
            <w:r>
              <w:rPr>
                <w:sz w:val="20"/>
                <w:szCs w:val="20"/>
              </w:rPr>
              <w:t>GBRMPA /</w:t>
            </w:r>
            <w:r w:rsidRPr="00133E34">
              <w:rPr>
                <w:sz w:val="20"/>
                <w:szCs w:val="20"/>
              </w:rPr>
              <w:t xml:space="preserve"> QPWS FMT</w:t>
            </w:r>
          </w:p>
        </w:tc>
        <w:tc>
          <w:tcPr>
            <w:tcW w:w="2126" w:type="dxa"/>
            <w:vAlign w:val="center"/>
          </w:tcPr>
          <w:p w:rsidR="00A97080" w:rsidRPr="00133E34" w:rsidRDefault="00A97080" w:rsidP="004534CD">
            <w:pPr>
              <w:autoSpaceDE w:val="0"/>
              <w:autoSpaceDN w:val="0"/>
              <w:adjustRightInd w:val="0"/>
              <w:rPr>
                <w:rFonts w:cs="Calibri"/>
                <w:sz w:val="20"/>
                <w:szCs w:val="20"/>
              </w:rPr>
            </w:pPr>
            <w:r w:rsidRPr="00133E34">
              <w:rPr>
                <w:rFonts w:cs="Calibri"/>
                <w:sz w:val="20"/>
                <w:szCs w:val="20"/>
              </w:rPr>
              <w:t xml:space="preserve">To track population sizes of shorebird and seabird species </w:t>
            </w:r>
          </w:p>
          <w:p w:rsidR="00A97080" w:rsidRPr="00133E34" w:rsidRDefault="00A97080" w:rsidP="004534CD">
            <w:pPr>
              <w:autoSpaceDE w:val="0"/>
              <w:autoSpaceDN w:val="0"/>
              <w:adjustRightInd w:val="0"/>
              <w:rPr>
                <w:rFonts w:cs="Calibri"/>
                <w:sz w:val="20"/>
                <w:szCs w:val="20"/>
              </w:rPr>
            </w:pPr>
            <w:r w:rsidRPr="00133E34">
              <w:rPr>
                <w:rFonts w:cs="Calibri"/>
                <w:sz w:val="20"/>
                <w:szCs w:val="20"/>
              </w:rPr>
              <w:t>based on breeding effort &amp; breeding success</w:t>
            </w:r>
          </w:p>
        </w:tc>
        <w:tc>
          <w:tcPr>
            <w:tcW w:w="3969" w:type="dxa"/>
            <w:vAlign w:val="center"/>
          </w:tcPr>
          <w:p w:rsidR="00A97080" w:rsidRPr="00133E34" w:rsidRDefault="00A97080" w:rsidP="004534CD">
            <w:pPr>
              <w:rPr>
                <w:sz w:val="20"/>
                <w:szCs w:val="20"/>
              </w:rPr>
            </w:pPr>
            <w:r w:rsidRPr="00133E34">
              <w:rPr>
                <w:sz w:val="20"/>
                <w:szCs w:val="20"/>
              </w:rPr>
              <w:t>Seabird and shore bird abundance and breeding</w:t>
            </w:r>
          </w:p>
        </w:tc>
        <w:tc>
          <w:tcPr>
            <w:tcW w:w="2127" w:type="dxa"/>
            <w:vAlign w:val="center"/>
          </w:tcPr>
          <w:p w:rsidR="00A97080" w:rsidRPr="00133E34" w:rsidRDefault="00A97080" w:rsidP="004534CD">
            <w:pPr>
              <w:rPr>
                <w:sz w:val="20"/>
                <w:szCs w:val="20"/>
              </w:rPr>
            </w:pPr>
          </w:p>
        </w:tc>
        <w:tc>
          <w:tcPr>
            <w:tcW w:w="2977" w:type="dxa"/>
            <w:vAlign w:val="center"/>
          </w:tcPr>
          <w:p w:rsidR="00A97080" w:rsidRPr="00133E34" w:rsidRDefault="00A97080" w:rsidP="004534CD">
            <w:pPr>
              <w:autoSpaceDE w:val="0"/>
              <w:autoSpaceDN w:val="0"/>
              <w:adjustRightInd w:val="0"/>
              <w:rPr>
                <w:rFonts w:cs="Calibri"/>
                <w:color w:val="0000FF"/>
                <w:sz w:val="20"/>
                <w:szCs w:val="20"/>
              </w:rPr>
            </w:pPr>
            <w:r w:rsidRPr="00133E34">
              <w:rPr>
                <w:rFonts w:cs="Calibri"/>
                <w:color w:val="0000FF"/>
                <w:sz w:val="20"/>
                <w:szCs w:val="20"/>
              </w:rPr>
              <w:t>http://www.gbrmpa.gov.au/__data/assets/pdf_file/0003/4818/gbrmpa_coastalbirdmonitoringstrat</w:t>
            </w:r>
          </w:p>
          <w:p w:rsidR="00A97080" w:rsidRPr="00133E34" w:rsidRDefault="00A97080" w:rsidP="004534CD">
            <w:pPr>
              <w:rPr>
                <w:sz w:val="20"/>
                <w:szCs w:val="20"/>
              </w:rPr>
            </w:pPr>
            <w:r w:rsidRPr="00133E34">
              <w:rPr>
                <w:rFonts w:cs="Calibri"/>
                <w:color w:val="0000FF"/>
                <w:sz w:val="20"/>
                <w:szCs w:val="20"/>
              </w:rPr>
              <w:t>egy.pdf</w:t>
            </w:r>
          </w:p>
        </w:tc>
      </w:tr>
    </w:tbl>
    <w:p w:rsidR="00A97080" w:rsidRPr="00133E34" w:rsidRDefault="00A97080" w:rsidP="00A97080">
      <w:pPr>
        <w:rPr>
          <w:sz w:val="20"/>
          <w:szCs w:val="20"/>
        </w:rPr>
      </w:pPr>
    </w:p>
    <w:p w:rsidR="00A97080" w:rsidRPr="00A97080" w:rsidRDefault="00A97080" w:rsidP="00A97080"/>
    <w:sectPr w:rsidR="00A97080" w:rsidRPr="00A97080" w:rsidSect="00A97080">
      <w:pgSz w:w="16838" w:h="11906" w:orient="landscape"/>
      <w:pgMar w:top="1440" w:right="1440" w:bottom="1274"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79CB" w:rsidRDefault="00C679CB" w:rsidP="00BD4CEE">
      <w:pPr>
        <w:spacing w:after="0" w:line="240" w:lineRule="auto"/>
      </w:pPr>
      <w:r>
        <w:separator/>
      </w:r>
    </w:p>
  </w:endnote>
  <w:endnote w:type="continuationSeparator" w:id="0">
    <w:p w:rsidR="00C679CB" w:rsidRDefault="00C679CB" w:rsidP="00BD4CEE">
      <w:pPr>
        <w:spacing w:after="0" w:line="240" w:lineRule="auto"/>
      </w:pPr>
      <w:r>
        <w:continuationSeparator/>
      </w:r>
    </w:p>
  </w:endnote>
  <w:endnote w:type="continuationNotice" w:id="1">
    <w:p w:rsidR="00C679CB" w:rsidRDefault="00C679CB">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Neue">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1-gul-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dvPSFT-BC">
    <w:panose1 w:val="00000000000000000000"/>
    <w:charset w:val="00"/>
    <w:family w:val="swiss"/>
    <w:notTrueType/>
    <w:pitch w:val="default"/>
    <w:sig w:usb0="00000003" w:usb1="00000000" w:usb2="00000000" w:usb3="00000000" w:csb0="00000001" w:csb1="00000000"/>
  </w:font>
  <w:font w:name="AdvPSFT-R">
    <w:panose1 w:val="00000000000000000000"/>
    <w:charset w:val="00"/>
    <w:family w:val="swiss"/>
    <w:notTrueType/>
    <w:pitch w:val="default"/>
    <w:sig w:usb0="00000003" w:usb1="00000000" w:usb2="00000000" w:usb3="00000000" w:csb0="00000001" w:csb1="00000000"/>
  </w:font>
  <w:font w:name="AdvPSFT-I">
    <w:panose1 w:val="00000000000000000000"/>
    <w:charset w:val="00"/>
    <w:family w:val="swiss"/>
    <w:notTrueType/>
    <w:pitch w:val="default"/>
    <w:sig w:usb0="00000003" w:usb1="00000000" w:usb2="00000000" w:usb3="00000000" w:csb0="00000001" w:csb1="00000000"/>
  </w:font>
  <w:font w:name="AdvPSFT-B">
    <w:panose1 w:val="00000000000000000000"/>
    <w:charset w:val="00"/>
    <w:family w:val="swiss"/>
    <w:notTrueType/>
    <w:pitch w:val="default"/>
    <w:sig w:usb0="00000003" w:usb1="00000000" w:usb2="00000000" w:usb3="00000000" w:csb0="00000001" w:csb1="00000000"/>
  </w:font>
  <w:font w:name="AdvTT80548492">
    <w:panose1 w:val="00000000000000000000"/>
    <w:charset w:val="00"/>
    <w:family w:val="swiss"/>
    <w:notTrueType/>
    <w:pitch w:val="default"/>
    <w:sig w:usb0="00000003" w:usb1="00000000" w:usb2="00000000" w:usb3="00000000" w:csb0="00000001" w:csb1="00000000"/>
  </w:font>
  <w:font w:name="AdvPAC3E">
    <w:panose1 w:val="00000000000000000000"/>
    <w:charset w:val="00"/>
    <w:family w:val="swiss"/>
    <w:notTrueType/>
    <w:pitch w:val="default"/>
    <w:sig w:usb0="00000003" w:usb1="00000000" w:usb2="00000000" w:usb3="00000000" w:csb0="00000001" w:csb1="00000000"/>
  </w:font>
  <w:font w:name="AdvPAC3D">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9CB" w:rsidRDefault="00C679CB" w:rsidP="000143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C679CB" w:rsidRDefault="00C679CB" w:rsidP="0001430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9CB" w:rsidRDefault="00C679CB">
    <w:pPr>
      <w:pStyle w:val="Footer"/>
      <w:jc w:val="right"/>
    </w:pPr>
  </w:p>
  <w:p w:rsidR="00C679CB" w:rsidRDefault="00C679C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648597"/>
      <w:docPartObj>
        <w:docPartGallery w:val="Page Numbers (Bottom of Page)"/>
        <w:docPartUnique/>
      </w:docPartObj>
    </w:sdtPr>
    <w:sdtEndPr>
      <w:rPr>
        <w:noProof/>
      </w:rPr>
    </w:sdtEndPr>
    <w:sdtContent>
      <w:p w:rsidR="00C679CB" w:rsidRDefault="00C679CB">
        <w:pPr>
          <w:pStyle w:val="Footer"/>
          <w:jc w:val="right"/>
        </w:pPr>
        <w:fldSimple w:instr=" PAGE   \* MERGEFORMAT ">
          <w:r>
            <w:rPr>
              <w:noProof/>
            </w:rPr>
            <w:t>1</w:t>
          </w:r>
        </w:fldSimple>
      </w:p>
    </w:sdtContent>
  </w:sdt>
  <w:p w:rsidR="00C679CB" w:rsidRDefault="00C679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79CB" w:rsidRDefault="00C679CB" w:rsidP="00BD4CEE">
      <w:pPr>
        <w:spacing w:after="0" w:line="240" w:lineRule="auto"/>
      </w:pPr>
      <w:r>
        <w:separator/>
      </w:r>
    </w:p>
  </w:footnote>
  <w:footnote w:type="continuationSeparator" w:id="0">
    <w:p w:rsidR="00C679CB" w:rsidRDefault="00C679CB" w:rsidP="00BD4CEE">
      <w:pPr>
        <w:spacing w:after="0" w:line="240" w:lineRule="auto"/>
      </w:pPr>
      <w:r>
        <w:continuationSeparator/>
      </w:r>
    </w:p>
  </w:footnote>
  <w:footnote w:type="continuationNotice" w:id="1">
    <w:p w:rsidR="00C679CB" w:rsidRDefault="00C679CB">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9CB" w:rsidRDefault="00C679C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000D0F1A"/>
    <w:multiLevelType w:val="hybridMultilevel"/>
    <w:tmpl w:val="F0904BA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55B2B27"/>
    <w:multiLevelType w:val="hybridMultilevel"/>
    <w:tmpl w:val="6748A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6E6695"/>
    <w:multiLevelType w:val="hybridMultilevel"/>
    <w:tmpl w:val="46B621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0B70008C"/>
    <w:multiLevelType w:val="hybridMultilevel"/>
    <w:tmpl w:val="3FBED2E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nsid w:val="0BC11B43"/>
    <w:multiLevelType w:val="hybridMultilevel"/>
    <w:tmpl w:val="024095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0CFA77F1"/>
    <w:multiLevelType w:val="hybridMultilevel"/>
    <w:tmpl w:val="4956BE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120B534C"/>
    <w:multiLevelType w:val="hybridMultilevel"/>
    <w:tmpl w:val="9AE4B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32A6737"/>
    <w:multiLevelType w:val="hybridMultilevel"/>
    <w:tmpl w:val="3F3EC2F8"/>
    <w:lvl w:ilvl="0" w:tplc="8E084C52">
      <w:start w:val="1"/>
      <w:numFmt w:val="lowerLetter"/>
      <w:lvlText w:val="(%1)"/>
      <w:lvlJc w:val="left"/>
      <w:pPr>
        <w:ind w:left="615" w:hanging="360"/>
      </w:pPr>
      <w:rPr>
        <w:rFonts w:hint="default"/>
      </w:rPr>
    </w:lvl>
    <w:lvl w:ilvl="1" w:tplc="0C090019" w:tentative="1">
      <w:start w:val="1"/>
      <w:numFmt w:val="lowerLetter"/>
      <w:lvlText w:val="%2."/>
      <w:lvlJc w:val="left"/>
      <w:pPr>
        <w:ind w:left="1335" w:hanging="360"/>
      </w:pPr>
    </w:lvl>
    <w:lvl w:ilvl="2" w:tplc="0C09001B" w:tentative="1">
      <w:start w:val="1"/>
      <w:numFmt w:val="lowerRoman"/>
      <w:lvlText w:val="%3."/>
      <w:lvlJc w:val="right"/>
      <w:pPr>
        <w:ind w:left="2055" w:hanging="180"/>
      </w:pPr>
    </w:lvl>
    <w:lvl w:ilvl="3" w:tplc="0C09000F" w:tentative="1">
      <w:start w:val="1"/>
      <w:numFmt w:val="decimal"/>
      <w:lvlText w:val="%4."/>
      <w:lvlJc w:val="left"/>
      <w:pPr>
        <w:ind w:left="2775" w:hanging="360"/>
      </w:pPr>
    </w:lvl>
    <w:lvl w:ilvl="4" w:tplc="0C090019" w:tentative="1">
      <w:start w:val="1"/>
      <w:numFmt w:val="lowerLetter"/>
      <w:lvlText w:val="%5."/>
      <w:lvlJc w:val="left"/>
      <w:pPr>
        <w:ind w:left="3495" w:hanging="360"/>
      </w:pPr>
    </w:lvl>
    <w:lvl w:ilvl="5" w:tplc="0C09001B" w:tentative="1">
      <w:start w:val="1"/>
      <w:numFmt w:val="lowerRoman"/>
      <w:lvlText w:val="%6."/>
      <w:lvlJc w:val="right"/>
      <w:pPr>
        <w:ind w:left="4215" w:hanging="180"/>
      </w:pPr>
    </w:lvl>
    <w:lvl w:ilvl="6" w:tplc="0C09000F" w:tentative="1">
      <w:start w:val="1"/>
      <w:numFmt w:val="decimal"/>
      <w:lvlText w:val="%7."/>
      <w:lvlJc w:val="left"/>
      <w:pPr>
        <w:ind w:left="4935" w:hanging="360"/>
      </w:pPr>
    </w:lvl>
    <w:lvl w:ilvl="7" w:tplc="0C090019" w:tentative="1">
      <w:start w:val="1"/>
      <w:numFmt w:val="lowerLetter"/>
      <w:lvlText w:val="%8."/>
      <w:lvlJc w:val="left"/>
      <w:pPr>
        <w:ind w:left="5655" w:hanging="360"/>
      </w:pPr>
    </w:lvl>
    <w:lvl w:ilvl="8" w:tplc="0C09001B" w:tentative="1">
      <w:start w:val="1"/>
      <w:numFmt w:val="lowerRoman"/>
      <w:lvlText w:val="%9."/>
      <w:lvlJc w:val="right"/>
      <w:pPr>
        <w:ind w:left="6375" w:hanging="180"/>
      </w:pPr>
    </w:lvl>
  </w:abstractNum>
  <w:abstractNum w:abstractNumId="9">
    <w:nsid w:val="139E4536"/>
    <w:multiLevelType w:val="hybridMultilevel"/>
    <w:tmpl w:val="0916CCD6"/>
    <w:lvl w:ilvl="0" w:tplc="E2B4A1E6">
      <w:start w:val="1"/>
      <w:numFmt w:val="decimal"/>
      <w:pStyle w:val="Heading2"/>
      <w:lvlText w:val="%1."/>
      <w:lvlJc w:val="left"/>
      <w:pPr>
        <w:ind w:left="3479" w:hanging="360"/>
      </w:pPr>
      <w:rPr>
        <w:rFonts w:hint="default"/>
      </w:rPr>
    </w:lvl>
    <w:lvl w:ilvl="1" w:tplc="0C090019" w:tentative="1">
      <w:start w:val="1"/>
      <w:numFmt w:val="lowerLetter"/>
      <w:lvlText w:val="%2."/>
      <w:lvlJc w:val="left"/>
      <w:pPr>
        <w:ind w:left="2999" w:hanging="360"/>
      </w:pPr>
    </w:lvl>
    <w:lvl w:ilvl="2" w:tplc="0C09001B" w:tentative="1">
      <w:start w:val="1"/>
      <w:numFmt w:val="lowerRoman"/>
      <w:lvlText w:val="%3."/>
      <w:lvlJc w:val="right"/>
      <w:pPr>
        <w:ind w:left="3719" w:hanging="180"/>
      </w:pPr>
    </w:lvl>
    <w:lvl w:ilvl="3" w:tplc="0C09000F" w:tentative="1">
      <w:start w:val="1"/>
      <w:numFmt w:val="decimal"/>
      <w:lvlText w:val="%4."/>
      <w:lvlJc w:val="left"/>
      <w:pPr>
        <w:ind w:left="4439" w:hanging="360"/>
      </w:pPr>
    </w:lvl>
    <w:lvl w:ilvl="4" w:tplc="0C090019" w:tentative="1">
      <w:start w:val="1"/>
      <w:numFmt w:val="lowerLetter"/>
      <w:lvlText w:val="%5."/>
      <w:lvlJc w:val="left"/>
      <w:pPr>
        <w:ind w:left="5159" w:hanging="360"/>
      </w:pPr>
    </w:lvl>
    <w:lvl w:ilvl="5" w:tplc="0C09001B" w:tentative="1">
      <w:start w:val="1"/>
      <w:numFmt w:val="lowerRoman"/>
      <w:lvlText w:val="%6."/>
      <w:lvlJc w:val="right"/>
      <w:pPr>
        <w:ind w:left="5879" w:hanging="180"/>
      </w:pPr>
    </w:lvl>
    <w:lvl w:ilvl="6" w:tplc="0C09000F" w:tentative="1">
      <w:start w:val="1"/>
      <w:numFmt w:val="decimal"/>
      <w:lvlText w:val="%7."/>
      <w:lvlJc w:val="left"/>
      <w:pPr>
        <w:ind w:left="6599" w:hanging="360"/>
      </w:pPr>
    </w:lvl>
    <w:lvl w:ilvl="7" w:tplc="0C090019" w:tentative="1">
      <w:start w:val="1"/>
      <w:numFmt w:val="lowerLetter"/>
      <w:lvlText w:val="%8."/>
      <w:lvlJc w:val="left"/>
      <w:pPr>
        <w:ind w:left="7319" w:hanging="360"/>
      </w:pPr>
    </w:lvl>
    <w:lvl w:ilvl="8" w:tplc="0C09001B" w:tentative="1">
      <w:start w:val="1"/>
      <w:numFmt w:val="lowerRoman"/>
      <w:lvlText w:val="%9."/>
      <w:lvlJc w:val="right"/>
      <w:pPr>
        <w:ind w:left="8039" w:hanging="180"/>
      </w:pPr>
    </w:lvl>
  </w:abstractNum>
  <w:abstractNum w:abstractNumId="10">
    <w:nsid w:val="198D76C7"/>
    <w:multiLevelType w:val="hybridMultilevel"/>
    <w:tmpl w:val="1E342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CC5761C"/>
    <w:multiLevelType w:val="hybridMultilevel"/>
    <w:tmpl w:val="D8B40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F745BC2"/>
    <w:multiLevelType w:val="multilevel"/>
    <w:tmpl w:val="E5E89F92"/>
    <w:numStyleLink w:val="BulletList"/>
  </w:abstractNum>
  <w:abstractNum w:abstractNumId="13">
    <w:nsid w:val="22EC7A36"/>
    <w:multiLevelType w:val="hybridMultilevel"/>
    <w:tmpl w:val="60841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5D63965"/>
    <w:multiLevelType w:val="hybridMultilevel"/>
    <w:tmpl w:val="26143EF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ACD386E"/>
    <w:multiLevelType w:val="hybridMultilevel"/>
    <w:tmpl w:val="210881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C951819"/>
    <w:multiLevelType w:val="hybridMultilevel"/>
    <w:tmpl w:val="75608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7B3201D"/>
    <w:multiLevelType w:val="hybridMultilevel"/>
    <w:tmpl w:val="6F66F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8A8502C"/>
    <w:multiLevelType w:val="hybridMultilevel"/>
    <w:tmpl w:val="C3A890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39215984"/>
    <w:multiLevelType w:val="hybridMultilevel"/>
    <w:tmpl w:val="D9004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F112F40"/>
    <w:multiLevelType w:val="hybridMultilevel"/>
    <w:tmpl w:val="CA06D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F141A8D"/>
    <w:multiLevelType w:val="hybridMultilevel"/>
    <w:tmpl w:val="805A72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nsid w:val="42697777"/>
    <w:multiLevelType w:val="hybridMultilevel"/>
    <w:tmpl w:val="E1F86BE2"/>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23">
    <w:nsid w:val="476D5267"/>
    <w:multiLevelType w:val="hybridMultilevel"/>
    <w:tmpl w:val="E926D9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9D94229"/>
    <w:multiLevelType w:val="hybridMultilevel"/>
    <w:tmpl w:val="A5B20FCC"/>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F8430B8"/>
    <w:multiLevelType w:val="hybridMultilevel"/>
    <w:tmpl w:val="9DDEF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99B51B4"/>
    <w:multiLevelType w:val="hybridMultilevel"/>
    <w:tmpl w:val="7C1E2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A8D22EF"/>
    <w:multiLevelType w:val="hybridMultilevel"/>
    <w:tmpl w:val="D6CC05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62D95C04"/>
    <w:multiLevelType w:val="hybridMultilevel"/>
    <w:tmpl w:val="B31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D5813B7"/>
    <w:multiLevelType w:val="hybridMultilevel"/>
    <w:tmpl w:val="F62A7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D5A767C"/>
    <w:multiLevelType w:val="hybridMultilevel"/>
    <w:tmpl w:val="008080FE"/>
    <w:lvl w:ilvl="0" w:tplc="0C09000F">
      <w:start w:val="1"/>
      <w:numFmt w:val="decimal"/>
      <w:lvlText w:val="%1."/>
      <w:lvlJc w:val="left"/>
      <w:pPr>
        <w:ind w:left="644"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F5D0FF4"/>
    <w:multiLevelType w:val="hybridMultilevel"/>
    <w:tmpl w:val="85326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FE623B7"/>
    <w:multiLevelType w:val="hybridMultilevel"/>
    <w:tmpl w:val="9904B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3A305EE"/>
    <w:multiLevelType w:val="hybridMultilevel"/>
    <w:tmpl w:val="15664E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C9A63DA"/>
    <w:multiLevelType w:val="hybridMultilevel"/>
    <w:tmpl w:val="FAB464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nsid w:val="7F094D85"/>
    <w:multiLevelType w:val="hybridMultilevel"/>
    <w:tmpl w:val="5A4EF8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30"/>
  </w:num>
  <w:num w:numId="4">
    <w:abstractNumId w:val="0"/>
  </w:num>
  <w:num w:numId="5">
    <w:abstractNumId w:val="12"/>
    <w:lvlOverride w:ilvl="0">
      <w:lvl w:ilvl="0">
        <w:start w:val="1"/>
        <w:numFmt w:val="decimal"/>
        <w:pStyle w:val="ListBullet"/>
        <w:lvlText w:val="%1."/>
        <w:lvlJc w:val="left"/>
        <w:pPr>
          <w:ind w:left="360" w:hanging="360"/>
        </w:pPr>
        <w:rPr>
          <w:rFonts w:hint="default"/>
          <w:color w:val="auto"/>
        </w:rPr>
      </w:lvl>
    </w:lvlOverride>
    <w:lvlOverride w:ilvl="1">
      <w:lvl w:ilvl="1">
        <w:start w:val="1"/>
        <w:numFmt w:val="lowerLetter"/>
        <w:pStyle w:val="ListBullet2"/>
        <w:lvlText w:val="%2."/>
        <w:lvlJc w:val="left"/>
        <w:pPr>
          <w:ind w:left="1080" w:hanging="360"/>
        </w:pPr>
        <w:rPr>
          <w:rFonts w:hint="default"/>
        </w:rPr>
      </w:lvl>
    </w:lvlOverride>
    <w:lvlOverride w:ilvl="2">
      <w:lvl w:ilvl="2">
        <w:start w:val="1"/>
        <w:numFmt w:val="lowerRoman"/>
        <w:pStyle w:val="ListBullet3"/>
        <w:lvlText w:val="%3."/>
        <w:lvlJc w:val="right"/>
        <w:pPr>
          <w:ind w:left="1800" w:hanging="180"/>
        </w:pPr>
        <w:rPr>
          <w:rFonts w:hint="default"/>
        </w:rPr>
      </w:lvl>
    </w:lvlOverride>
    <w:lvlOverride w:ilvl="3">
      <w:lvl w:ilvl="3">
        <w:start w:val="1"/>
        <w:numFmt w:val="decimal"/>
        <w:pStyle w:val="ListBullet4"/>
        <w:lvlText w:val="%4."/>
        <w:lvlJc w:val="left"/>
        <w:pPr>
          <w:ind w:left="2520" w:hanging="360"/>
        </w:pPr>
        <w:rPr>
          <w:rFonts w:hint="default"/>
        </w:rPr>
      </w:lvl>
    </w:lvlOverride>
    <w:lvlOverride w:ilvl="4">
      <w:lvl w:ilvl="4">
        <w:start w:val="1"/>
        <w:numFmt w:val="lowerLetter"/>
        <w:pStyle w:val="ListBullet5"/>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6">
    <w:abstractNumId w:val="24"/>
  </w:num>
  <w:num w:numId="7">
    <w:abstractNumId w:val="11"/>
  </w:num>
  <w:num w:numId="8">
    <w:abstractNumId w:val="10"/>
  </w:num>
  <w:num w:numId="9">
    <w:abstractNumId w:val="31"/>
  </w:num>
  <w:num w:numId="10">
    <w:abstractNumId w:val="29"/>
  </w:num>
  <w:num w:numId="11">
    <w:abstractNumId w:val="26"/>
  </w:num>
  <w:num w:numId="12">
    <w:abstractNumId w:val="33"/>
  </w:num>
  <w:num w:numId="13">
    <w:abstractNumId w:val="5"/>
  </w:num>
  <w:num w:numId="14">
    <w:abstractNumId w:val="16"/>
  </w:num>
  <w:num w:numId="15">
    <w:abstractNumId w:val="34"/>
  </w:num>
  <w:num w:numId="16">
    <w:abstractNumId w:val="35"/>
  </w:num>
  <w:num w:numId="17">
    <w:abstractNumId w:val="21"/>
  </w:num>
  <w:num w:numId="18">
    <w:abstractNumId w:val="3"/>
  </w:num>
  <w:num w:numId="19">
    <w:abstractNumId w:val="28"/>
  </w:num>
  <w:num w:numId="20">
    <w:abstractNumId w:val="20"/>
  </w:num>
  <w:num w:numId="21">
    <w:abstractNumId w:val="27"/>
  </w:num>
  <w:num w:numId="22">
    <w:abstractNumId w:val="13"/>
  </w:num>
  <w:num w:numId="23">
    <w:abstractNumId w:val="22"/>
  </w:num>
  <w:num w:numId="24">
    <w:abstractNumId w:val="25"/>
  </w:num>
  <w:num w:numId="25">
    <w:abstractNumId w:val="7"/>
  </w:num>
  <w:num w:numId="26">
    <w:abstractNumId w:val="18"/>
  </w:num>
  <w:num w:numId="27">
    <w:abstractNumId w:val="4"/>
  </w:num>
  <w:num w:numId="28">
    <w:abstractNumId w:val="8"/>
  </w:num>
  <w:num w:numId="29">
    <w:abstractNumId w:val="15"/>
  </w:num>
  <w:num w:numId="30">
    <w:abstractNumId w:val="17"/>
  </w:num>
  <w:num w:numId="31">
    <w:abstractNumId w:val="14"/>
  </w:num>
  <w:num w:numId="32">
    <w:abstractNumId w:val="32"/>
  </w:num>
  <w:num w:numId="33">
    <w:abstractNumId w:val="2"/>
  </w:num>
  <w:num w:numId="34">
    <w:abstractNumId w:val="23"/>
  </w:num>
  <w:num w:numId="35">
    <w:abstractNumId w:val="1"/>
  </w:num>
  <w:num w:numId="36">
    <w:abstractNumId w:val="6"/>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rsids>
    <w:rsidRoot w:val="003F4218"/>
    <w:rsid w:val="00003FD1"/>
    <w:rsid w:val="00004FF7"/>
    <w:rsid w:val="00006264"/>
    <w:rsid w:val="0001430C"/>
    <w:rsid w:val="00015C7A"/>
    <w:rsid w:val="000160C1"/>
    <w:rsid w:val="00016EC5"/>
    <w:rsid w:val="00017C68"/>
    <w:rsid w:val="00020369"/>
    <w:rsid w:val="0002177F"/>
    <w:rsid w:val="0002415B"/>
    <w:rsid w:val="00027D1C"/>
    <w:rsid w:val="00033F9F"/>
    <w:rsid w:val="00034525"/>
    <w:rsid w:val="00034890"/>
    <w:rsid w:val="0003622A"/>
    <w:rsid w:val="00036DCB"/>
    <w:rsid w:val="000410DB"/>
    <w:rsid w:val="0004177F"/>
    <w:rsid w:val="00041C10"/>
    <w:rsid w:val="000435D9"/>
    <w:rsid w:val="00047A0E"/>
    <w:rsid w:val="00050EA6"/>
    <w:rsid w:val="00055906"/>
    <w:rsid w:val="0006278D"/>
    <w:rsid w:val="00064330"/>
    <w:rsid w:val="00076D53"/>
    <w:rsid w:val="00082A50"/>
    <w:rsid w:val="00083F6D"/>
    <w:rsid w:val="000856D5"/>
    <w:rsid w:val="00085951"/>
    <w:rsid w:val="000945AA"/>
    <w:rsid w:val="000A09A4"/>
    <w:rsid w:val="000A5009"/>
    <w:rsid w:val="000A5846"/>
    <w:rsid w:val="000A7EB3"/>
    <w:rsid w:val="000B1CEA"/>
    <w:rsid w:val="000B2E13"/>
    <w:rsid w:val="000B41EB"/>
    <w:rsid w:val="000B556F"/>
    <w:rsid w:val="000B61C4"/>
    <w:rsid w:val="000B7B84"/>
    <w:rsid w:val="000C3BCE"/>
    <w:rsid w:val="000C4B2C"/>
    <w:rsid w:val="000C6AA0"/>
    <w:rsid w:val="000D33FB"/>
    <w:rsid w:val="000D43AD"/>
    <w:rsid w:val="000D4E45"/>
    <w:rsid w:val="000D4FE0"/>
    <w:rsid w:val="000E4391"/>
    <w:rsid w:val="000E5756"/>
    <w:rsid w:val="000E5F44"/>
    <w:rsid w:val="000F06C8"/>
    <w:rsid w:val="000F2083"/>
    <w:rsid w:val="000F3E85"/>
    <w:rsid w:val="000F57D0"/>
    <w:rsid w:val="000F739A"/>
    <w:rsid w:val="00102BDB"/>
    <w:rsid w:val="00104091"/>
    <w:rsid w:val="00106844"/>
    <w:rsid w:val="00110160"/>
    <w:rsid w:val="00117620"/>
    <w:rsid w:val="001266BC"/>
    <w:rsid w:val="0012764A"/>
    <w:rsid w:val="00127FBB"/>
    <w:rsid w:val="0013080F"/>
    <w:rsid w:val="00134175"/>
    <w:rsid w:val="00136E64"/>
    <w:rsid w:val="00140125"/>
    <w:rsid w:val="0014417E"/>
    <w:rsid w:val="00144A3A"/>
    <w:rsid w:val="001470D7"/>
    <w:rsid w:val="00147106"/>
    <w:rsid w:val="001505E9"/>
    <w:rsid w:val="00157CB5"/>
    <w:rsid w:val="00160550"/>
    <w:rsid w:val="0016111E"/>
    <w:rsid w:val="00163550"/>
    <w:rsid w:val="00165D29"/>
    <w:rsid w:val="00166776"/>
    <w:rsid w:val="001677BD"/>
    <w:rsid w:val="00167B77"/>
    <w:rsid w:val="00171ED2"/>
    <w:rsid w:val="00173AA7"/>
    <w:rsid w:val="00175D49"/>
    <w:rsid w:val="00180AF3"/>
    <w:rsid w:val="00182AED"/>
    <w:rsid w:val="00185DE6"/>
    <w:rsid w:val="00187B7F"/>
    <w:rsid w:val="00191B3B"/>
    <w:rsid w:val="001923D5"/>
    <w:rsid w:val="00194D6C"/>
    <w:rsid w:val="00196216"/>
    <w:rsid w:val="00196E92"/>
    <w:rsid w:val="001A132F"/>
    <w:rsid w:val="001A3854"/>
    <w:rsid w:val="001A60A7"/>
    <w:rsid w:val="001A7D4E"/>
    <w:rsid w:val="001B0207"/>
    <w:rsid w:val="001B314A"/>
    <w:rsid w:val="001C029D"/>
    <w:rsid w:val="001C3C28"/>
    <w:rsid w:val="001C60FA"/>
    <w:rsid w:val="001D1331"/>
    <w:rsid w:val="001D15A9"/>
    <w:rsid w:val="001D1CEB"/>
    <w:rsid w:val="001D2B15"/>
    <w:rsid w:val="001D479F"/>
    <w:rsid w:val="001D6F26"/>
    <w:rsid w:val="001E0BB8"/>
    <w:rsid w:val="001E144E"/>
    <w:rsid w:val="001E4A85"/>
    <w:rsid w:val="001E5708"/>
    <w:rsid w:val="001E6B19"/>
    <w:rsid w:val="001F2162"/>
    <w:rsid w:val="001F42B7"/>
    <w:rsid w:val="002007C6"/>
    <w:rsid w:val="00201319"/>
    <w:rsid w:val="002039E1"/>
    <w:rsid w:val="0020636B"/>
    <w:rsid w:val="00206B20"/>
    <w:rsid w:val="00207ECD"/>
    <w:rsid w:val="002107EE"/>
    <w:rsid w:val="00212CF0"/>
    <w:rsid w:val="0021673C"/>
    <w:rsid w:val="0022267B"/>
    <w:rsid w:val="00225016"/>
    <w:rsid w:val="0022630C"/>
    <w:rsid w:val="00231A3B"/>
    <w:rsid w:val="002330B2"/>
    <w:rsid w:val="00233B4C"/>
    <w:rsid w:val="002370DF"/>
    <w:rsid w:val="002379E6"/>
    <w:rsid w:val="00242763"/>
    <w:rsid w:val="0024793B"/>
    <w:rsid w:val="00247B9F"/>
    <w:rsid w:val="00253B32"/>
    <w:rsid w:val="00254C9B"/>
    <w:rsid w:val="00262EDC"/>
    <w:rsid w:val="0026743B"/>
    <w:rsid w:val="00267671"/>
    <w:rsid w:val="00267F5E"/>
    <w:rsid w:val="002763DD"/>
    <w:rsid w:val="002775AE"/>
    <w:rsid w:val="00283D90"/>
    <w:rsid w:val="002852CE"/>
    <w:rsid w:val="002858C5"/>
    <w:rsid w:val="00285916"/>
    <w:rsid w:val="00285F2E"/>
    <w:rsid w:val="00291160"/>
    <w:rsid w:val="0029121D"/>
    <w:rsid w:val="002928F3"/>
    <w:rsid w:val="002A4BA4"/>
    <w:rsid w:val="002A6AB7"/>
    <w:rsid w:val="002A6B6A"/>
    <w:rsid w:val="002B214D"/>
    <w:rsid w:val="002B33BB"/>
    <w:rsid w:val="002B33D3"/>
    <w:rsid w:val="002B3634"/>
    <w:rsid w:val="002B6E03"/>
    <w:rsid w:val="002C0526"/>
    <w:rsid w:val="002C0AD3"/>
    <w:rsid w:val="002C138A"/>
    <w:rsid w:val="002C29F5"/>
    <w:rsid w:val="002C7E40"/>
    <w:rsid w:val="002D57ED"/>
    <w:rsid w:val="002D64C0"/>
    <w:rsid w:val="002E2C5C"/>
    <w:rsid w:val="002E3B7C"/>
    <w:rsid w:val="002F0414"/>
    <w:rsid w:val="002F2DAA"/>
    <w:rsid w:val="002F3BCE"/>
    <w:rsid w:val="002F452E"/>
    <w:rsid w:val="002F47E6"/>
    <w:rsid w:val="002F6FF7"/>
    <w:rsid w:val="00300F2D"/>
    <w:rsid w:val="00301514"/>
    <w:rsid w:val="00305A2E"/>
    <w:rsid w:val="00305C83"/>
    <w:rsid w:val="00306CBF"/>
    <w:rsid w:val="00310D51"/>
    <w:rsid w:val="00311816"/>
    <w:rsid w:val="00312BA2"/>
    <w:rsid w:val="00315100"/>
    <w:rsid w:val="0032077A"/>
    <w:rsid w:val="003216D1"/>
    <w:rsid w:val="00321E8D"/>
    <w:rsid w:val="003243F8"/>
    <w:rsid w:val="00324CA4"/>
    <w:rsid w:val="00330C1D"/>
    <w:rsid w:val="00333780"/>
    <w:rsid w:val="00333959"/>
    <w:rsid w:val="00334621"/>
    <w:rsid w:val="00335486"/>
    <w:rsid w:val="00335D48"/>
    <w:rsid w:val="00335F2C"/>
    <w:rsid w:val="00342AA0"/>
    <w:rsid w:val="00344458"/>
    <w:rsid w:val="003450AB"/>
    <w:rsid w:val="003453CE"/>
    <w:rsid w:val="003457AF"/>
    <w:rsid w:val="00347BF0"/>
    <w:rsid w:val="0035047B"/>
    <w:rsid w:val="003525C0"/>
    <w:rsid w:val="00354E0B"/>
    <w:rsid w:val="00355913"/>
    <w:rsid w:val="00362C1C"/>
    <w:rsid w:val="0036747B"/>
    <w:rsid w:val="003734CF"/>
    <w:rsid w:val="00374460"/>
    <w:rsid w:val="00375162"/>
    <w:rsid w:val="003767E5"/>
    <w:rsid w:val="00376E07"/>
    <w:rsid w:val="00380E36"/>
    <w:rsid w:val="00381BD9"/>
    <w:rsid w:val="003832F4"/>
    <w:rsid w:val="00383EA1"/>
    <w:rsid w:val="0038629D"/>
    <w:rsid w:val="00387021"/>
    <w:rsid w:val="00393392"/>
    <w:rsid w:val="003944F5"/>
    <w:rsid w:val="00394DCE"/>
    <w:rsid w:val="003A22E1"/>
    <w:rsid w:val="003A3305"/>
    <w:rsid w:val="003A560F"/>
    <w:rsid w:val="003A69E3"/>
    <w:rsid w:val="003A6E99"/>
    <w:rsid w:val="003A7116"/>
    <w:rsid w:val="003A7AA9"/>
    <w:rsid w:val="003B2029"/>
    <w:rsid w:val="003B2D2C"/>
    <w:rsid w:val="003B4159"/>
    <w:rsid w:val="003B571F"/>
    <w:rsid w:val="003C2849"/>
    <w:rsid w:val="003C3701"/>
    <w:rsid w:val="003C5985"/>
    <w:rsid w:val="003C7721"/>
    <w:rsid w:val="003C7BED"/>
    <w:rsid w:val="003D197E"/>
    <w:rsid w:val="003D1E71"/>
    <w:rsid w:val="003D2125"/>
    <w:rsid w:val="003D5D00"/>
    <w:rsid w:val="003D7519"/>
    <w:rsid w:val="003D7F80"/>
    <w:rsid w:val="003E0FE4"/>
    <w:rsid w:val="003E2332"/>
    <w:rsid w:val="003E29E6"/>
    <w:rsid w:val="003E3BE3"/>
    <w:rsid w:val="003E4DF7"/>
    <w:rsid w:val="003E6F6B"/>
    <w:rsid w:val="003E715D"/>
    <w:rsid w:val="003F13BA"/>
    <w:rsid w:val="003F2668"/>
    <w:rsid w:val="003F26C4"/>
    <w:rsid w:val="003F2D74"/>
    <w:rsid w:val="003F4218"/>
    <w:rsid w:val="003F700F"/>
    <w:rsid w:val="003F73C1"/>
    <w:rsid w:val="003F765E"/>
    <w:rsid w:val="00401142"/>
    <w:rsid w:val="004027FA"/>
    <w:rsid w:val="004055D4"/>
    <w:rsid w:val="004100D5"/>
    <w:rsid w:val="0041245D"/>
    <w:rsid w:val="0041516F"/>
    <w:rsid w:val="00417984"/>
    <w:rsid w:val="00422692"/>
    <w:rsid w:val="0042343E"/>
    <w:rsid w:val="00426E2D"/>
    <w:rsid w:val="00434C6E"/>
    <w:rsid w:val="004355D8"/>
    <w:rsid w:val="00435B00"/>
    <w:rsid w:val="00443B66"/>
    <w:rsid w:val="00445282"/>
    <w:rsid w:val="004452A9"/>
    <w:rsid w:val="00445C52"/>
    <w:rsid w:val="00445FBC"/>
    <w:rsid w:val="004534CD"/>
    <w:rsid w:val="004540DC"/>
    <w:rsid w:val="00454735"/>
    <w:rsid w:val="00455B23"/>
    <w:rsid w:val="0046079D"/>
    <w:rsid w:val="00462578"/>
    <w:rsid w:val="00462AC9"/>
    <w:rsid w:val="00463BCD"/>
    <w:rsid w:val="00470304"/>
    <w:rsid w:val="00470658"/>
    <w:rsid w:val="00471DF8"/>
    <w:rsid w:val="00473B42"/>
    <w:rsid w:val="004768F8"/>
    <w:rsid w:val="00480EBB"/>
    <w:rsid w:val="00481F6B"/>
    <w:rsid w:val="00484168"/>
    <w:rsid w:val="0048420F"/>
    <w:rsid w:val="004847BD"/>
    <w:rsid w:val="004858C8"/>
    <w:rsid w:val="00490F2E"/>
    <w:rsid w:val="00491917"/>
    <w:rsid w:val="004A0748"/>
    <w:rsid w:val="004A4201"/>
    <w:rsid w:val="004A4479"/>
    <w:rsid w:val="004A6758"/>
    <w:rsid w:val="004A723F"/>
    <w:rsid w:val="004A75C7"/>
    <w:rsid w:val="004B05C0"/>
    <w:rsid w:val="004B0FD8"/>
    <w:rsid w:val="004B3470"/>
    <w:rsid w:val="004B734C"/>
    <w:rsid w:val="004C0D37"/>
    <w:rsid w:val="004C459A"/>
    <w:rsid w:val="004C5C50"/>
    <w:rsid w:val="004C6429"/>
    <w:rsid w:val="004C6597"/>
    <w:rsid w:val="004C6B6E"/>
    <w:rsid w:val="004C71A7"/>
    <w:rsid w:val="004D0879"/>
    <w:rsid w:val="004D12BA"/>
    <w:rsid w:val="004D292E"/>
    <w:rsid w:val="004D3DC8"/>
    <w:rsid w:val="004D4A84"/>
    <w:rsid w:val="004E00DD"/>
    <w:rsid w:val="004E044C"/>
    <w:rsid w:val="004E416F"/>
    <w:rsid w:val="004E4C59"/>
    <w:rsid w:val="004F49D6"/>
    <w:rsid w:val="004F51C0"/>
    <w:rsid w:val="0050150B"/>
    <w:rsid w:val="00502ACE"/>
    <w:rsid w:val="00505E50"/>
    <w:rsid w:val="00510A5C"/>
    <w:rsid w:val="00513E67"/>
    <w:rsid w:val="00514A00"/>
    <w:rsid w:val="005173AC"/>
    <w:rsid w:val="00517436"/>
    <w:rsid w:val="0051765C"/>
    <w:rsid w:val="0052054F"/>
    <w:rsid w:val="0052094C"/>
    <w:rsid w:val="00520AA4"/>
    <w:rsid w:val="00520FB1"/>
    <w:rsid w:val="00520FEE"/>
    <w:rsid w:val="00522EE5"/>
    <w:rsid w:val="0053162B"/>
    <w:rsid w:val="00532F48"/>
    <w:rsid w:val="00533EE7"/>
    <w:rsid w:val="005423C2"/>
    <w:rsid w:val="00542D0B"/>
    <w:rsid w:val="005435C4"/>
    <w:rsid w:val="0054503A"/>
    <w:rsid w:val="005473A3"/>
    <w:rsid w:val="00547D11"/>
    <w:rsid w:val="00554012"/>
    <w:rsid w:val="00556052"/>
    <w:rsid w:val="00556351"/>
    <w:rsid w:val="00556922"/>
    <w:rsid w:val="005573AD"/>
    <w:rsid w:val="005605B9"/>
    <w:rsid w:val="005706AE"/>
    <w:rsid w:val="0057354A"/>
    <w:rsid w:val="00573B83"/>
    <w:rsid w:val="00575EE5"/>
    <w:rsid w:val="00577400"/>
    <w:rsid w:val="00580857"/>
    <w:rsid w:val="00581123"/>
    <w:rsid w:val="00581580"/>
    <w:rsid w:val="00581928"/>
    <w:rsid w:val="00581DE4"/>
    <w:rsid w:val="005832D0"/>
    <w:rsid w:val="00583F04"/>
    <w:rsid w:val="005874E5"/>
    <w:rsid w:val="00587761"/>
    <w:rsid w:val="0058791A"/>
    <w:rsid w:val="00591126"/>
    <w:rsid w:val="00591675"/>
    <w:rsid w:val="005917E6"/>
    <w:rsid w:val="005928D4"/>
    <w:rsid w:val="0059332B"/>
    <w:rsid w:val="00593528"/>
    <w:rsid w:val="00593A06"/>
    <w:rsid w:val="0059519F"/>
    <w:rsid w:val="00596827"/>
    <w:rsid w:val="005974A6"/>
    <w:rsid w:val="005A10FB"/>
    <w:rsid w:val="005A2222"/>
    <w:rsid w:val="005A35B8"/>
    <w:rsid w:val="005A40DD"/>
    <w:rsid w:val="005A637A"/>
    <w:rsid w:val="005B0878"/>
    <w:rsid w:val="005B42CF"/>
    <w:rsid w:val="005B6202"/>
    <w:rsid w:val="005B6F3E"/>
    <w:rsid w:val="005C19DA"/>
    <w:rsid w:val="005C28BE"/>
    <w:rsid w:val="005C2AE0"/>
    <w:rsid w:val="005C30AA"/>
    <w:rsid w:val="005C4A94"/>
    <w:rsid w:val="005C4AAD"/>
    <w:rsid w:val="005C682F"/>
    <w:rsid w:val="005C6C3A"/>
    <w:rsid w:val="005D1010"/>
    <w:rsid w:val="005D161D"/>
    <w:rsid w:val="005D3DCB"/>
    <w:rsid w:val="005D4D5D"/>
    <w:rsid w:val="005D5410"/>
    <w:rsid w:val="005D57A5"/>
    <w:rsid w:val="005D69A1"/>
    <w:rsid w:val="005D7F01"/>
    <w:rsid w:val="005E06F9"/>
    <w:rsid w:val="005E2C4B"/>
    <w:rsid w:val="005E3CE7"/>
    <w:rsid w:val="005E61BA"/>
    <w:rsid w:val="005F0639"/>
    <w:rsid w:val="005F3016"/>
    <w:rsid w:val="005F47D0"/>
    <w:rsid w:val="00601641"/>
    <w:rsid w:val="0060192A"/>
    <w:rsid w:val="00601B4B"/>
    <w:rsid w:val="006043B6"/>
    <w:rsid w:val="00605D77"/>
    <w:rsid w:val="006060D6"/>
    <w:rsid w:val="0060678B"/>
    <w:rsid w:val="00613AD9"/>
    <w:rsid w:val="006144C9"/>
    <w:rsid w:val="00615C15"/>
    <w:rsid w:val="00617EB8"/>
    <w:rsid w:val="0062517F"/>
    <w:rsid w:val="00632D34"/>
    <w:rsid w:val="00634A13"/>
    <w:rsid w:val="00634BD4"/>
    <w:rsid w:val="0063576A"/>
    <w:rsid w:val="00636944"/>
    <w:rsid w:val="006401CF"/>
    <w:rsid w:val="00652668"/>
    <w:rsid w:val="00656A36"/>
    <w:rsid w:val="00660902"/>
    <w:rsid w:val="006618F8"/>
    <w:rsid w:val="00662105"/>
    <w:rsid w:val="00664356"/>
    <w:rsid w:val="00666230"/>
    <w:rsid w:val="006745A2"/>
    <w:rsid w:val="006765D4"/>
    <w:rsid w:val="00681AF6"/>
    <w:rsid w:val="00686184"/>
    <w:rsid w:val="006861CB"/>
    <w:rsid w:val="00690899"/>
    <w:rsid w:val="00690E71"/>
    <w:rsid w:val="0069304C"/>
    <w:rsid w:val="00694915"/>
    <w:rsid w:val="006949C7"/>
    <w:rsid w:val="00695413"/>
    <w:rsid w:val="00696698"/>
    <w:rsid w:val="00697991"/>
    <w:rsid w:val="00697D43"/>
    <w:rsid w:val="006A1AEB"/>
    <w:rsid w:val="006A473D"/>
    <w:rsid w:val="006A4CEF"/>
    <w:rsid w:val="006B0C75"/>
    <w:rsid w:val="006B373E"/>
    <w:rsid w:val="006B39F4"/>
    <w:rsid w:val="006B3E5F"/>
    <w:rsid w:val="006B4649"/>
    <w:rsid w:val="006B4957"/>
    <w:rsid w:val="006B5028"/>
    <w:rsid w:val="006B61BD"/>
    <w:rsid w:val="006B6508"/>
    <w:rsid w:val="006B7701"/>
    <w:rsid w:val="006C160A"/>
    <w:rsid w:val="006C320C"/>
    <w:rsid w:val="006C33D9"/>
    <w:rsid w:val="006C4AA7"/>
    <w:rsid w:val="006C525B"/>
    <w:rsid w:val="006C5947"/>
    <w:rsid w:val="006C71FD"/>
    <w:rsid w:val="006C72FD"/>
    <w:rsid w:val="006D2172"/>
    <w:rsid w:val="006D5B3F"/>
    <w:rsid w:val="006D63A0"/>
    <w:rsid w:val="006D75C7"/>
    <w:rsid w:val="006D7C85"/>
    <w:rsid w:val="006D7FD4"/>
    <w:rsid w:val="006E03E6"/>
    <w:rsid w:val="006E04FB"/>
    <w:rsid w:val="006E1376"/>
    <w:rsid w:val="006E430A"/>
    <w:rsid w:val="006E740A"/>
    <w:rsid w:val="006E7965"/>
    <w:rsid w:val="006F078F"/>
    <w:rsid w:val="006F22C5"/>
    <w:rsid w:val="006F3A96"/>
    <w:rsid w:val="006F5379"/>
    <w:rsid w:val="007023EF"/>
    <w:rsid w:val="007040DB"/>
    <w:rsid w:val="00704C75"/>
    <w:rsid w:val="00705550"/>
    <w:rsid w:val="007070D2"/>
    <w:rsid w:val="007077E7"/>
    <w:rsid w:val="00712425"/>
    <w:rsid w:val="00716331"/>
    <w:rsid w:val="0072090C"/>
    <w:rsid w:val="00720DF6"/>
    <w:rsid w:val="00723C07"/>
    <w:rsid w:val="00726370"/>
    <w:rsid w:val="007268FA"/>
    <w:rsid w:val="007324C0"/>
    <w:rsid w:val="00737D3A"/>
    <w:rsid w:val="0074179A"/>
    <w:rsid w:val="00742CC9"/>
    <w:rsid w:val="00745314"/>
    <w:rsid w:val="00745FAF"/>
    <w:rsid w:val="007469DA"/>
    <w:rsid w:val="007479FF"/>
    <w:rsid w:val="00752375"/>
    <w:rsid w:val="007540ED"/>
    <w:rsid w:val="0075546C"/>
    <w:rsid w:val="007565D1"/>
    <w:rsid w:val="0076718B"/>
    <w:rsid w:val="00770D7F"/>
    <w:rsid w:val="00772301"/>
    <w:rsid w:val="007737A0"/>
    <w:rsid w:val="0078064A"/>
    <w:rsid w:val="00780ED9"/>
    <w:rsid w:val="00781EA8"/>
    <w:rsid w:val="00783F5F"/>
    <w:rsid w:val="007903DA"/>
    <w:rsid w:val="00791EB9"/>
    <w:rsid w:val="00792F0D"/>
    <w:rsid w:val="00794CD9"/>
    <w:rsid w:val="00795925"/>
    <w:rsid w:val="00795CA4"/>
    <w:rsid w:val="007A1739"/>
    <w:rsid w:val="007A2E79"/>
    <w:rsid w:val="007A6C38"/>
    <w:rsid w:val="007A7097"/>
    <w:rsid w:val="007B1F1A"/>
    <w:rsid w:val="007B22EB"/>
    <w:rsid w:val="007B24FB"/>
    <w:rsid w:val="007C1941"/>
    <w:rsid w:val="007C31DB"/>
    <w:rsid w:val="007C3BF4"/>
    <w:rsid w:val="007C7635"/>
    <w:rsid w:val="007C7D22"/>
    <w:rsid w:val="007D05FF"/>
    <w:rsid w:val="007D35B6"/>
    <w:rsid w:val="007D3D34"/>
    <w:rsid w:val="007D4AA7"/>
    <w:rsid w:val="007D50A7"/>
    <w:rsid w:val="007D70B4"/>
    <w:rsid w:val="007E39ED"/>
    <w:rsid w:val="007E59B6"/>
    <w:rsid w:val="007E73E7"/>
    <w:rsid w:val="007F1CC5"/>
    <w:rsid w:val="007F2993"/>
    <w:rsid w:val="007F37CC"/>
    <w:rsid w:val="007F3D48"/>
    <w:rsid w:val="007F751A"/>
    <w:rsid w:val="0080110A"/>
    <w:rsid w:val="00802A00"/>
    <w:rsid w:val="00802C99"/>
    <w:rsid w:val="008035C8"/>
    <w:rsid w:val="008041E6"/>
    <w:rsid w:val="0080533E"/>
    <w:rsid w:val="0080583D"/>
    <w:rsid w:val="00806215"/>
    <w:rsid w:val="00807250"/>
    <w:rsid w:val="00810F2C"/>
    <w:rsid w:val="00813986"/>
    <w:rsid w:val="00814C43"/>
    <w:rsid w:val="00816B2B"/>
    <w:rsid w:val="00820B60"/>
    <w:rsid w:val="00821005"/>
    <w:rsid w:val="00822F16"/>
    <w:rsid w:val="00826BA8"/>
    <w:rsid w:val="00830034"/>
    <w:rsid w:val="00830B90"/>
    <w:rsid w:val="008321D8"/>
    <w:rsid w:val="008326E9"/>
    <w:rsid w:val="00835084"/>
    <w:rsid w:val="00835E1A"/>
    <w:rsid w:val="008418E8"/>
    <w:rsid w:val="00842CC3"/>
    <w:rsid w:val="00844EB8"/>
    <w:rsid w:val="0084584C"/>
    <w:rsid w:val="008460BF"/>
    <w:rsid w:val="008462DE"/>
    <w:rsid w:val="00846CDC"/>
    <w:rsid w:val="008472FE"/>
    <w:rsid w:val="008556CE"/>
    <w:rsid w:val="008601E9"/>
    <w:rsid w:val="00861427"/>
    <w:rsid w:val="0086151E"/>
    <w:rsid w:val="00862155"/>
    <w:rsid w:val="00876EAD"/>
    <w:rsid w:val="00886373"/>
    <w:rsid w:val="00887820"/>
    <w:rsid w:val="00890FC9"/>
    <w:rsid w:val="00893D63"/>
    <w:rsid w:val="008948BC"/>
    <w:rsid w:val="00897242"/>
    <w:rsid w:val="008A01B0"/>
    <w:rsid w:val="008A18F5"/>
    <w:rsid w:val="008B16ED"/>
    <w:rsid w:val="008B36FF"/>
    <w:rsid w:val="008B4582"/>
    <w:rsid w:val="008B6AE3"/>
    <w:rsid w:val="008C202E"/>
    <w:rsid w:val="008C3875"/>
    <w:rsid w:val="008C3CFB"/>
    <w:rsid w:val="008C6677"/>
    <w:rsid w:val="008C6F9A"/>
    <w:rsid w:val="008C73DB"/>
    <w:rsid w:val="008D1492"/>
    <w:rsid w:val="008D24BF"/>
    <w:rsid w:val="008D2F2B"/>
    <w:rsid w:val="008D33D5"/>
    <w:rsid w:val="008E1C64"/>
    <w:rsid w:val="008E6209"/>
    <w:rsid w:val="008F22EC"/>
    <w:rsid w:val="008F26FD"/>
    <w:rsid w:val="008F3901"/>
    <w:rsid w:val="008F3A36"/>
    <w:rsid w:val="00900AD6"/>
    <w:rsid w:val="00901190"/>
    <w:rsid w:val="009029E1"/>
    <w:rsid w:val="00904055"/>
    <w:rsid w:val="00910258"/>
    <w:rsid w:val="00911612"/>
    <w:rsid w:val="00916FC4"/>
    <w:rsid w:val="00917EF0"/>
    <w:rsid w:val="00921EC3"/>
    <w:rsid w:val="009221DA"/>
    <w:rsid w:val="00923589"/>
    <w:rsid w:val="009269C3"/>
    <w:rsid w:val="009308FC"/>
    <w:rsid w:val="0093199C"/>
    <w:rsid w:val="00934717"/>
    <w:rsid w:val="00935666"/>
    <w:rsid w:val="00936152"/>
    <w:rsid w:val="009366A0"/>
    <w:rsid w:val="0094077D"/>
    <w:rsid w:val="009420AF"/>
    <w:rsid w:val="00942947"/>
    <w:rsid w:val="00943B74"/>
    <w:rsid w:val="00944AFB"/>
    <w:rsid w:val="00946471"/>
    <w:rsid w:val="00947F58"/>
    <w:rsid w:val="00951B9E"/>
    <w:rsid w:val="009577AE"/>
    <w:rsid w:val="009600EA"/>
    <w:rsid w:val="00962B2C"/>
    <w:rsid w:val="00963606"/>
    <w:rsid w:val="00965E64"/>
    <w:rsid w:val="00972543"/>
    <w:rsid w:val="009737A6"/>
    <w:rsid w:val="0097674E"/>
    <w:rsid w:val="009770BC"/>
    <w:rsid w:val="009801A7"/>
    <w:rsid w:val="00980515"/>
    <w:rsid w:val="009850B8"/>
    <w:rsid w:val="009850DA"/>
    <w:rsid w:val="00986CBA"/>
    <w:rsid w:val="0099227E"/>
    <w:rsid w:val="009923C8"/>
    <w:rsid w:val="00993E4E"/>
    <w:rsid w:val="0099520B"/>
    <w:rsid w:val="00995ED7"/>
    <w:rsid w:val="009975C8"/>
    <w:rsid w:val="00997981"/>
    <w:rsid w:val="009A1479"/>
    <w:rsid w:val="009A1FD3"/>
    <w:rsid w:val="009A34C4"/>
    <w:rsid w:val="009A5F39"/>
    <w:rsid w:val="009B068B"/>
    <w:rsid w:val="009B0DC0"/>
    <w:rsid w:val="009C083D"/>
    <w:rsid w:val="009C0B43"/>
    <w:rsid w:val="009C1182"/>
    <w:rsid w:val="009C4821"/>
    <w:rsid w:val="009C5054"/>
    <w:rsid w:val="009C5DC8"/>
    <w:rsid w:val="009D1139"/>
    <w:rsid w:val="009D3DCD"/>
    <w:rsid w:val="009D6DC7"/>
    <w:rsid w:val="009D7A21"/>
    <w:rsid w:val="009E3627"/>
    <w:rsid w:val="009E5B0E"/>
    <w:rsid w:val="009F0E2C"/>
    <w:rsid w:val="009F30EF"/>
    <w:rsid w:val="009F4383"/>
    <w:rsid w:val="009F6527"/>
    <w:rsid w:val="00A00A71"/>
    <w:rsid w:val="00A013B7"/>
    <w:rsid w:val="00A0168F"/>
    <w:rsid w:val="00A020B0"/>
    <w:rsid w:val="00A04191"/>
    <w:rsid w:val="00A057CE"/>
    <w:rsid w:val="00A06082"/>
    <w:rsid w:val="00A0686B"/>
    <w:rsid w:val="00A108CC"/>
    <w:rsid w:val="00A16700"/>
    <w:rsid w:val="00A23139"/>
    <w:rsid w:val="00A26C0F"/>
    <w:rsid w:val="00A31159"/>
    <w:rsid w:val="00A32E3B"/>
    <w:rsid w:val="00A34AA8"/>
    <w:rsid w:val="00A3553C"/>
    <w:rsid w:val="00A35773"/>
    <w:rsid w:val="00A40003"/>
    <w:rsid w:val="00A43E8F"/>
    <w:rsid w:val="00A43EB7"/>
    <w:rsid w:val="00A449B4"/>
    <w:rsid w:val="00A46B11"/>
    <w:rsid w:val="00A47905"/>
    <w:rsid w:val="00A47AA1"/>
    <w:rsid w:val="00A504FB"/>
    <w:rsid w:val="00A50CC9"/>
    <w:rsid w:val="00A523C2"/>
    <w:rsid w:val="00A54615"/>
    <w:rsid w:val="00A5495B"/>
    <w:rsid w:val="00A5509A"/>
    <w:rsid w:val="00A5686D"/>
    <w:rsid w:val="00A57C68"/>
    <w:rsid w:val="00A6043A"/>
    <w:rsid w:val="00A60D5F"/>
    <w:rsid w:val="00A61CC5"/>
    <w:rsid w:val="00A66B7F"/>
    <w:rsid w:val="00A70C58"/>
    <w:rsid w:val="00A72443"/>
    <w:rsid w:val="00A73217"/>
    <w:rsid w:val="00A73C41"/>
    <w:rsid w:val="00A75320"/>
    <w:rsid w:val="00A77840"/>
    <w:rsid w:val="00A778B6"/>
    <w:rsid w:val="00A851B6"/>
    <w:rsid w:val="00A85AE1"/>
    <w:rsid w:val="00A8627F"/>
    <w:rsid w:val="00A86A27"/>
    <w:rsid w:val="00A929B4"/>
    <w:rsid w:val="00A97079"/>
    <w:rsid w:val="00A97080"/>
    <w:rsid w:val="00AA2B07"/>
    <w:rsid w:val="00AA4F3A"/>
    <w:rsid w:val="00AA5730"/>
    <w:rsid w:val="00AA6534"/>
    <w:rsid w:val="00AA7F56"/>
    <w:rsid w:val="00AB0738"/>
    <w:rsid w:val="00AB12FB"/>
    <w:rsid w:val="00AB2B33"/>
    <w:rsid w:val="00AB4448"/>
    <w:rsid w:val="00AB4F51"/>
    <w:rsid w:val="00AB5E6E"/>
    <w:rsid w:val="00AB775A"/>
    <w:rsid w:val="00AC0207"/>
    <w:rsid w:val="00AC155C"/>
    <w:rsid w:val="00AC3FFC"/>
    <w:rsid w:val="00AC5855"/>
    <w:rsid w:val="00AC5F81"/>
    <w:rsid w:val="00AC7C81"/>
    <w:rsid w:val="00AD3048"/>
    <w:rsid w:val="00AD52D6"/>
    <w:rsid w:val="00AD5C2E"/>
    <w:rsid w:val="00AE1D96"/>
    <w:rsid w:val="00AF021B"/>
    <w:rsid w:val="00AF0DFD"/>
    <w:rsid w:val="00AF407B"/>
    <w:rsid w:val="00AF4F32"/>
    <w:rsid w:val="00B0040A"/>
    <w:rsid w:val="00B01330"/>
    <w:rsid w:val="00B03597"/>
    <w:rsid w:val="00B041AC"/>
    <w:rsid w:val="00B04643"/>
    <w:rsid w:val="00B079AC"/>
    <w:rsid w:val="00B07D17"/>
    <w:rsid w:val="00B10745"/>
    <w:rsid w:val="00B12760"/>
    <w:rsid w:val="00B12EA2"/>
    <w:rsid w:val="00B15556"/>
    <w:rsid w:val="00B15E8E"/>
    <w:rsid w:val="00B1782E"/>
    <w:rsid w:val="00B2073D"/>
    <w:rsid w:val="00B21790"/>
    <w:rsid w:val="00B2313B"/>
    <w:rsid w:val="00B236B3"/>
    <w:rsid w:val="00B260B9"/>
    <w:rsid w:val="00B27836"/>
    <w:rsid w:val="00B3354E"/>
    <w:rsid w:val="00B351C3"/>
    <w:rsid w:val="00B35593"/>
    <w:rsid w:val="00B36224"/>
    <w:rsid w:val="00B37D8F"/>
    <w:rsid w:val="00B42277"/>
    <w:rsid w:val="00B42901"/>
    <w:rsid w:val="00B45EBE"/>
    <w:rsid w:val="00B4752B"/>
    <w:rsid w:val="00B476C5"/>
    <w:rsid w:val="00B54106"/>
    <w:rsid w:val="00B621A1"/>
    <w:rsid w:val="00B651B2"/>
    <w:rsid w:val="00B66A88"/>
    <w:rsid w:val="00B66CAA"/>
    <w:rsid w:val="00B67B62"/>
    <w:rsid w:val="00B7125F"/>
    <w:rsid w:val="00B71B19"/>
    <w:rsid w:val="00B72041"/>
    <w:rsid w:val="00B73565"/>
    <w:rsid w:val="00B923FD"/>
    <w:rsid w:val="00B93C32"/>
    <w:rsid w:val="00B9415D"/>
    <w:rsid w:val="00B97AA1"/>
    <w:rsid w:val="00BA0AAA"/>
    <w:rsid w:val="00BA24F4"/>
    <w:rsid w:val="00BA32E1"/>
    <w:rsid w:val="00BA34C9"/>
    <w:rsid w:val="00BA5311"/>
    <w:rsid w:val="00BB0083"/>
    <w:rsid w:val="00BB07AF"/>
    <w:rsid w:val="00BB0E9D"/>
    <w:rsid w:val="00BB18CF"/>
    <w:rsid w:val="00BB2DEE"/>
    <w:rsid w:val="00BB3070"/>
    <w:rsid w:val="00BB62A5"/>
    <w:rsid w:val="00BC0D03"/>
    <w:rsid w:val="00BC61D7"/>
    <w:rsid w:val="00BC6882"/>
    <w:rsid w:val="00BD03D6"/>
    <w:rsid w:val="00BD110C"/>
    <w:rsid w:val="00BD1E6C"/>
    <w:rsid w:val="00BD21C4"/>
    <w:rsid w:val="00BD4CEE"/>
    <w:rsid w:val="00BD67BC"/>
    <w:rsid w:val="00BE0612"/>
    <w:rsid w:val="00BE5BF0"/>
    <w:rsid w:val="00BF12E1"/>
    <w:rsid w:val="00BF3798"/>
    <w:rsid w:val="00BF5A00"/>
    <w:rsid w:val="00C026DF"/>
    <w:rsid w:val="00C02B4C"/>
    <w:rsid w:val="00C0513B"/>
    <w:rsid w:val="00C06A7C"/>
    <w:rsid w:val="00C10E6A"/>
    <w:rsid w:val="00C113D0"/>
    <w:rsid w:val="00C15BAA"/>
    <w:rsid w:val="00C21E45"/>
    <w:rsid w:val="00C24B62"/>
    <w:rsid w:val="00C2509B"/>
    <w:rsid w:val="00C3109C"/>
    <w:rsid w:val="00C3152F"/>
    <w:rsid w:val="00C34812"/>
    <w:rsid w:val="00C35602"/>
    <w:rsid w:val="00C36DA9"/>
    <w:rsid w:val="00C37801"/>
    <w:rsid w:val="00C41292"/>
    <w:rsid w:val="00C43EFC"/>
    <w:rsid w:val="00C44CEF"/>
    <w:rsid w:val="00C51DFE"/>
    <w:rsid w:val="00C51F97"/>
    <w:rsid w:val="00C5634D"/>
    <w:rsid w:val="00C57952"/>
    <w:rsid w:val="00C60B0D"/>
    <w:rsid w:val="00C60D98"/>
    <w:rsid w:val="00C61B91"/>
    <w:rsid w:val="00C62C0C"/>
    <w:rsid w:val="00C679CB"/>
    <w:rsid w:val="00C719E5"/>
    <w:rsid w:val="00C72160"/>
    <w:rsid w:val="00C725B1"/>
    <w:rsid w:val="00C744C8"/>
    <w:rsid w:val="00C74E50"/>
    <w:rsid w:val="00C759BB"/>
    <w:rsid w:val="00C7613D"/>
    <w:rsid w:val="00C8234E"/>
    <w:rsid w:val="00C870FE"/>
    <w:rsid w:val="00C87155"/>
    <w:rsid w:val="00C912BC"/>
    <w:rsid w:val="00C91722"/>
    <w:rsid w:val="00C9437D"/>
    <w:rsid w:val="00C955DF"/>
    <w:rsid w:val="00C96FE8"/>
    <w:rsid w:val="00C9784F"/>
    <w:rsid w:val="00CA048E"/>
    <w:rsid w:val="00CA339B"/>
    <w:rsid w:val="00CA3A67"/>
    <w:rsid w:val="00CA3B49"/>
    <w:rsid w:val="00CA7A4A"/>
    <w:rsid w:val="00CB22E6"/>
    <w:rsid w:val="00CB315A"/>
    <w:rsid w:val="00CB7D22"/>
    <w:rsid w:val="00CC1E45"/>
    <w:rsid w:val="00CC3F86"/>
    <w:rsid w:val="00CC4BB9"/>
    <w:rsid w:val="00CE0F55"/>
    <w:rsid w:val="00CE15F6"/>
    <w:rsid w:val="00CE2412"/>
    <w:rsid w:val="00CE517E"/>
    <w:rsid w:val="00CE5788"/>
    <w:rsid w:val="00CE6072"/>
    <w:rsid w:val="00CE649A"/>
    <w:rsid w:val="00CE6B87"/>
    <w:rsid w:val="00CF0485"/>
    <w:rsid w:val="00CF428F"/>
    <w:rsid w:val="00CF5C08"/>
    <w:rsid w:val="00CF6E9D"/>
    <w:rsid w:val="00CF6F29"/>
    <w:rsid w:val="00CF7962"/>
    <w:rsid w:val="00CF7ABA"/>
    <w:rsid w:val="00D025BE"/>
    <w:rsid w:val="00D0273F"/>
    <w:rsid w:val="00D03E6B"/>
    <w:rsid w:val="00D06785"/>
    <w:rsid w:val="00D07377"/>
    <w:rsid w:val="00D1062C"/>
    <w:rsid w:val="00D11565"/>
    <w:rsid w:val="00D13B9B"/>
    <w:rsid w:val="00D173A8"/>
    <w:rsid w:val="00D20C69"/>
    <w:rsid w:val="00D22F68"/>
    <w:rsid w:val="00D253AB"/>
    <w:rsid w:val="00D2559B"/>
    <w:rsid w:val="00D25B82"/>
    <w:rsid w:val="00D30D74"/>
    <w:rsid w:val="00D33666"/>
    <w:rsid w:val="00D40EA6"/>
    <w:rsid w:val="00D43B50"/>
    <w:rsid w:val="00D44179"/>
    <w:rsid w:val="00D45B88"/>
    <w:rsid w:val="00D47A8E"/>
    <w:rsid w:val="00D608DC"/>
    <w:rsid w:val="00D66D75"/>
    <w:rsid w:val="00D76884"/>
    <w:rsid w:val="00D8088C"/>
    <w:rsid w:val="00D832BA"/>
    <w:rsid w:val="00D83687"/>
    <w:rsid w:val="00D856FB"/>
    <w:rsid w:val="00D90161"/>
    <w:rsid w:val="00D916C1"/>
    <w:rsid w:val="00D928C5"/>
    <w:rsid w:val="00D9437C"/>
    <w:rsid w:val="00D96957"/>
    <w:rsid w:val="00D96BC5"/>
    <w:rsid w:val="00D976B5"/>
    <w:rsid w:val="00DA5470"/>
    <w:rsid w:val="00DA6C0E"/>
    <w:rsid w:val="00DA7407"/>
    <w:rsid w:val="00DB081D"/>
    <w:rsid w:val="00DB1165"/>
    <w:rsid w:val="00DB2B09"/>
    <w:rsid w:val="00DB5E37"/>
    <w:rsid w:val="00DB5FCE"/>
    <w:rsid w:val="00DC1ABA"/>
    <w:rsid w:val="00DC22EF"/>
    <w:rsid w:val="00DC45EF"/>
    <w:rsid w:val="00DC79F1"/>
    <w:rsid w:val="00DD18B0"/>
    <w:rsid w:val="00DE0E2E"/>
    <w:rsid w:val="00DE1933"/>
    <w:rsid w:val="00DE2A9A"/>
    <w:rsid w:val="00DE3B64"/>
    <w:rsid w:val="00DE73D2"/>
    <w:rsid w:val="00DF16B9"/>
    <w:rsid w:val="00DF178A"/>
    <w:rsid w:val="00DF78B8"/>
    <w:rsid w:val="00E01DA6"/>
    <w:rsid w:val="00E05BF5"/>
    <w:rsid w:val="00E12998"/>
    <w:rsid w:val="00E14065"/>
    <w:rsid w:val="00E20571"/>
    <w:rsid w:val="00E24548"/>
    <w:rsid w:val="00E25355"/>
    <w:rsid w:val="00E26676"/>
    <w:rsid w:val="00E26DF9"/>
    <w:rsid w:val="00E33CEE"/>
    <w:rsid w:val="00E36154"/>
    <w:rsid w:val="00E371D8"/>
    <w:rsid w:val="00E40051"/>
    <w:rsid w:val="00E40622"/>
    <w:rsid w:val="00E40E8D"/>
    <w:rsid w:val="00E417E3"/>
    <w:rsid w:val="00E42493"/>
    <w:rsid w:val="00E425A4"/>
    <w:rsid w:val="00E453AF"/>
    <w:rsid w:val="00E46D32"/>
    <w:rsid w:val="00E46DFE"/>
    <w:rsid w:val="00E53116"/>
    <w:rsid w:val="00E5558E"/>
    <w:rsid w:val="00E55A5D"/>
    <w:rsid w:val="00E56EA3"/>
    <w:rsid w:val="00E61986"/>
    <w:rsid w:val="00E6407F"/>
    <w:rsid w:val="00E70724"/>
    <w:rsid w:val="00E73D56"/>
    <w:rsid w:val="00E755E8"/>
    <w:rsid w:val="00E75D10"/>
    <w:rsid w:val="00E80EBF"/>
    <w:rsid w:val="00E81E2C"/>
    <w:rsid w:val="00E86C65"/>
    <w:rsid w:val="00E904D7"/>
    <w:rsid w:val="00E9326F"/>
    <w:rsid w:val="00E95A86"/>
    <w:rsid w:val="00E97701"/>
    <w:rsid w:val="00EA18CD"/>
    <w:rsid w:val="00EA1E9F"/>
    <w:rsid w:val="00EA33F9"/>
    <w:rsid w:val="00EA5447"/>
    <w:rsid w:val="00EB01AD"/>
    <w:rsid w:val="00EB0642"/>
    <w:rsid w:val="00EB1B7E"/>
    <w:rsid w:val="00EB2E90"/>
    <w:rsid w:val="00EB3AAA"/>
    <w:rsid w:val="00EB6459"/>
    <w:rsid w:val="00EB6BFD"/>
    <w:rsid w:val="00EC0442"/>
    <w:rsid w:val="00EC0B3D"/>
    <w:rsid w:val="00EC1EDA"/>
    <w:rsid w:val="00EC2C33"/>
    <w:rsid w:val="00EC725E"/>
    <w:rsid w:val="00ED2AD2"/>
    <w:rsid w:val="00ED617D"/>
    <w:rsid w:val="00ED67EB"/>
    <w:rsid w:val="00EE396B"/>
    <w:rsid w:val="00EE7F9F"/>
    <w:rsid w:val="00EF1CC8"/>
    <w:rsid w:val="00EF32D1"/>
    <w:rsid w:val="00EF3FAE"/>
    <w:rsid w:val="00EF721F"/>
    <w:rsid w:val="00EF76EA"/>
    <w:rsid w:val="00F028B3"/>
    <w:rsid w:val="00F06206"/>
    <w:rsid w:val="00F066A4"/>
    <w:rsid w:val="00F07B5E"/>
    <w:rsid w:val="00F12073"/>
    <w:rsid w:val="00F155E0"/>
    <w:rsid w:val="00F2382A"/>
    <w:rsid w:val="00F2697C"/>
    <w:rsid w:val="00F26ACD"/>
    <w:rsid w:val="00F3167C"/>
    <w:rsid w:val="00F323FE"/>
    <w:rsid w:val="00F33E9B"/>
    <w:rsid w:val="00F3428C"/>
    <w:rsid w:val="00F35973"/>
    <w:rsid w:val="00F36221"/>
    <w:rsid w:val="00F3782A"/>
    <w:rsid w:val="00F41279"/>
    <w:rsid w:val="00F43C4A"/>
    <w:rsid w:val="00F45230"/>
    <w:rsid w:val="00F531A9"/>
    <w:rsid w:val="00F53995"/>
    <w:rsid w:val="00F548E7"/>
    <w:rsid w:val="00F548F8"/>
    <w:rsid w:val="00F56F03"/>
    <w:rsid w:val="00F6688D"/>
    <w:rsid w:val="00F708DA"/>
    <w:rsid w:val="00F74BBA"/>
    <w:rsid w:val="00F772EB"/>
    <w:rsid w:val="00F77AF9"/>
    <w:rsid w:val="00F77DED"/>
    <w:rsid w:val="00F80C7E"/>
    <w:rsid w:val="00F84791"/>
    <w:rsid w:val="00F8566F"/>
    <w:rsid w:val="00F86794"/>
    <w:rsid w:val="00F87F44"/>
    <w:rsid w:val="00F943ED"/>
    <w:rsid w:val="00FA058F"/>
    <w:rsid w:val="00FA0E50"/>
    <w:rsid w:val="00FA3B38"/>
    <w:rsid w:val="00FA5A6F"/>
    <w:rsid w:val="00FA6E31"/>
    <w:rsid w:val="00FA7CE7"/>
    <w:rsid w:val="00FB08A4"/>
    <w:rsid w:val="00FB3343"/>
    <w:rsid w:val="00FB6B63"/>
    <w:rsid w:val="00FC2BE6"/>
    <w:rsid w:val="00FC7A83"/>
    <w:rsid w:val="00FC7E87"/>
    <w:rsid w:val="00FD59D0"/>
    <w:rsid w:val="00FE249F"/>
    <w:rsid w:val="00FE45F3"/>
    <w:rsid w:val="00FE4E73"/>
    <w:rsid w:val="00FF5A00"/>
    <w:rsid w:val="00FF6B0F"/>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B4B"/>
  </w:style>
  <w:style w:type="paragraph" w:styleId="Heading1">
    <w:name w:val="heading 1"/>
    <w:basedOn w:val="Normal"/>
    <w:next w:val="Normal"/>
    <w:link w:val="Heading1Char"/>
    <w:uiPriority w:val="9"/>
    <w:qFormat/>
    <w:rsid w:val="009D11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3901"/>
    <w:pPr>
      <w:keepNext/>
      <w:keepLines/>
      <w:numPr>
        <w:numId w:val="1"/>
      </w:numPr>
      <w:spacing w:before="200" w:after="120"/>
      <w:ind w:left="567" w:hanging="567"/>
      <w:outlineLvl w:val="1"/>
    </w:pPr>
    <w:rPr>
      <w:rFonts w:eastAsiaTheme="majorEastAsia" w:cstheme="majorBidi"/>
      <w:b/>
      <w:bCs/>
      <w:color w:val="4F81BD" w:themeColor="accent1"/>
      <w:sz w:val="32"/>
      <w:szCs w:val="32"/>
      <w:lang w:val="en-US"/>
    </w:rPr>
  </w:style>
  <w:style w:type="paragraph" w:styleId="Heading3">
    <w:name w:val="heading 3"/>
    <w:basedOn w:val="Normal"/>
    <w:next w:val="Normal"/>
    <w:link w:val="Heading3Char"/>
    <w:uiPriority w:val="9"/>
    <w:unhideWhenUsed/>
    <w:qFormat/>
    <w:rsid w:val="008035C8"/>
    <w:pPr>
      <w:keepLines/>
      <w:widowControl w:val="0"/>
      <w:spacing w:before="200" w:after="240"/>
      <w:outlineLvl w:val="2"/>
    </w:pPr>
    <w:rPr>
      <w:rFonts w:eastAsiaTheme="majorEastAsia" w:cstheme="majorBidi"/>
      <w:b/>
      <w:bCs/>
      <w:color w:val="4F81BD" w:themeColor="accent1"/>
      <w:sz w:val="28"/>
      <w:szCs w:val="28"/>
      <w:lang w:val="en-US"/>
    </w:rPr>
  </w:style>
  <w:style w:type="paragraph" w:styleId="Heading4">
    <w:name w:val="heading 4"/>
    <w:basedOn w:val="Normal"/>
    <w:next w:val="Normal"/>
    <w:link w:val="Heading4Char"/>
    <w:uiPriority w:val="9"/>
    <w:unhideWhenUsed/>
    <w:qFormat/>
    <w:rsid w:val="00207EC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4218"/>
    <w:pPr>
      <w:ind w:left="720"/>
      <w:contextualSpacing/>
    </w:pPr>
  </w:style>
  <w:style w:type="paragraph" w:styleId="Title">
    <w:name w:val="Title"/>
    <w:basedOn w:val="Normal"/>
    <w:next w:val="Normal"/>
    <w:link w:val="TitleChar"/>
    <w:uiPriority w:val="10"/>
    <w:qFormat/>
    <w:rsid w:val="009D11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D113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D1139"/>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9D11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D1139"/>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8F3901"/>
    <w:rPr>
      <w:rFonts w:eastAsiaTheme="majorEastAsia" w:cstheme="majorBidi"/>
      <w:b/>
      <w:bCs/>
      <w:color w:val="4F81BD" w:themeColor="accent1"/>
      <w:sz w:val="32"/>
      <w:szCs w:val="32"/>
      <w:lang w:val="en-US"/>
    </w:rPr>
  </w:style>
  <w:style w:type="paragraph" w:styleId="BalloonText">
    <w:name w:val="Balloon Text"/>
    <w:basedOn w:val="Normal"/>
    <w:link w:val="BalloonTextChar"/>
    <w:uiPriority w:val="99"/>
    <w:semiHidden/>
    <w:unhideWhenUsed/>
    <w:rsid w:val="009C5D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DC8"/>
    <w:rPr>
      <w:rFonts w:ascii="Tahoma" w:hAnsi="Tahoma" w:cs="Tahoma"/>
      <w:sz w:val="16"/>
      <w:szCs w:val="16"/>
    </w:rPr>
  </w:style>
  <w:style w:type="character" w:styleId="CommentReference">
    <w:name w:val="annotation reference"/>
    <w:uiPriority w:val="99"/>
    <w:rsid w:val="004858C8"/>
    <w:rPr>
      <w:rFonts w:cs="Times New Roman"/>
      <w:sz w:val="16"/>
      <w:szCs w:val="16"/>
    </w:rPr>
  </w:style>
  <w:style w:type="paragraph" w:styleId="CommentText">
    <w:name w:val="annotation text"/>
    <w:basedOn w:val="Normal"/>
    <w:link w:val="CommentTextChar"/>
    <w:uiPriority w:val="99"/>
    <w:rsid w:val="004858C8"/>
    <w:pPr>
      <w:spacing w:line="240" w:lineRule="auto"/>
    </w:pPr>
    <w:rPr>
      <w:rFonts w:ascii="Cambria" w:eastAsia="MS ??" w:hAnsi="Cambria" w:cs="Times New Roman"/>
      <w:sz w:val="20"/>
      <w:szCs w:val="20"/>
      <w:lang w:eastAsia="ja-JP"/>
    </w:rPr>
  </w:style>
  <w:style w:type="character" w:customStyle="1" w:styleId="CommentTextChar">
    <w:name w:val="Comment Text Char"/>
    <w:basedOn w:val="DefaultParagraphFont"/>
    <w:link w:val="CommentText"/>
    <w:uiPriority w:val="99"/>
    <w:rsid w:val="004858C8"/>
    <w:rPr>
      <w:rFonts w:ascii="Cambria" w:eastAsia="MS ??" w:hAnsi="Cambria" w:cs="Times New Roman"/>
      <w:sz w:val="20"/>
      <w:szCs w:val="20"/>
      <w:lang w:eastAsia="ja-JP"/>
    </w:rPr>
  </w:style>
  <w:style w:type="paragraph" w:styleId="DocumentMap">
    <w:name w:val="Document Map"/>
    <w:basedOn w:val="Normal"/>
    <w:link w:val="DocumentMapChar"/>
    <w:uiPriority w:val="99"/>
    <w:semiHidden/>
    <w:unhideWhenUsed/>
    <w:rsid w:val="00D22F6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22F68"/>
    <w:rPr>
      <w:rFonts w:ascii="Lucida Grande" w:hAnsi="Lucida Grande" w:cs="Lucida Grande"/>
      <w:sz w:val="24"/>
      <w:szCs w:val="24"/>
    </w:rPr>
  </w:style>
  <w:style w:type="paragraph" w:styleId="TOCHeading">
    <w:name w:val="TOC Heading"/>
    <w:basedOn w:val="Heading1"/>
    <w:next w:val="Normal"/>
    <w:uiPriority w:val="39"/>
    <w:unhideWhenUsed/>
    <w:qFormat/>
    <w:rsid w:val="00D22F68"/>
    <w:pPr>
      <w:outlineLvl w:val="9"/>
    </w:pPr>
    <w:rPr>
      <w:lang w:val="en-US"/>
    </w:rPr>
  </w:style>
  <w:style w:type="paragraph" w:styleId="TOC2">
    <w:name w:val="toc 2"/>
    <w:basedOn w:val="Normal"/>
    <w:next w:val="Normal"/>
    <w:autoRedefine/>
    <w:uiPriority w:val="39"/>
    <w:unhideWhenUsed/>
    <w:rsid w:val="00D22F68"/>
    <w:pPr>
      <w:spacing w:after="0"/>
    </w:pPr>
  </w:style>
  <w:style w:type="paragraph" w:styleId="TOC1">
    <w:name w:val="toc 1"/>
    <w:basedOn w:val="Normal"/>
    <w:next w:val="Normal"/>
    <w:autoRedefine/>
    <w:uiPriority w:val="39"/>
    <w:unhideWhenUsed/>
    <w:rsid w:val="00D22F68"/>
    <w:pPr>
      <w:spacing w:before="120" w:after="0"/>
    </w:pPr>
    <w:rPr>
      <w:rFonts w:asciiTheme="majorHAnsi" w:hAnsiTheme="majorHAnsi"/>
      <w:b/>
      <w:color w:val="548DD4"/>
      <w:sz w:val="24"/>
      <w:szCs w:val="24"/>
    </w:rPr>
  </w:style>
  <w:style w:type="paragraph" w:styleId="TOC3">
    <w:name w:val="toc 3"/>
    <w:basedOn w:val="Normal"/>
    <w:next w:val="Normal"/>
    <w:autoRedefine/>
    <w:uiPriority w:val="39"/>
    <w:unhideWhenUsed/>
    <w:rsid w:val="00D22F68"/>
    <w:pPr>
      <w:spacing w:after="0"/>
      <w:ind w:left="220"/>
    </w:pPr>
    <w:rPr>
      <w:i/>
    </w:rPr>
  </w:style>
  <w:style w:type="paragraph" w:styleId="TOC4">
    <w:name w:val="toc 4"/>
    <w:basedOn w:val="Normal"/>
    <w:next w:val="Normal"/>
    <w:autoRedefine/>
    <w:uiPriority w:val="39"/>
    <w:semiHidden/>
    <w:unhideWhenUsed/>
    <w:rsid w:val="00D22F68"/>
    <w:pPr>
      <w:pBdr>
        <w:between w:val="double" w:sz="6" w:space="0" w:color="auto"/>
      </w:pBdr>
      <w:spacing w:after="0"/>
      <w:ind w:left="440"/>
    </w:pPr>
    <w:rPr>
      <w:sz w:val="20"/>
      <w:szCs w:val="20"/>
    </w:rPr>
  </w:style>
  <w:style w:type="paragraph" w:styleId="TOC5">
    <w:name w:val="toc 5"/>
    <w:basedOn w:val="Normal"/>
    <w:next w:val="Normal"/>
    <w:autoRedefine/>
    <w:uiPriority w:val="39"/>
    <w:semiHidden/>
    <w:unhideWhenUsed/>
    <w:rsid w:val="00D22F68"/>
    <w:pPr>
      <w:pBdr>
        <w:between w:val="double" w:sz="6" w:space="0" w:color="auto"/>
      </w:pBdr>
      <w:spacing w:after="0"/>
      <w:ind w:left="660"/>
    </w:pPr>
    <w:rPr>
      <w:sz w:val="20"/>
      <w:szCs w:val="20"/>
    </w:rPr>
  </w:style>
  <w:style w:type="paragraph" w:styleId="TOC6">
    <w:name w:val="toc 6"/>
    <w:basedOn w:val="Normal"/>
    <w:next w:val="Normal"/>
    <w:autoRedefine/>
    <w:uiPriority w:val="39"/>
    <w:semiHidden/>
    <w:unhideWhenUsed/>
    <w:rsid w:val="00D22F68"/>
    <w:pPr>
      <w:pBdr>
        <w:between w:val="double" w:sz="6" w:space="0" w:color="auto"/>
      </w:pBdr>
      <w:spacing w:after="0"/>
      <w:ind w:left="880"/>
    </w:pPr>
    <w:rPr>
      <w:sz w:val="20"/>
      <w:szCs w:val="20"/>
    </w:rPr>
  </w:style>
  <w:style w:type="paragraph" w:styleId="TOC7">
    <w:name w:val="toc 7"/>
    <w:basedOn w:val="Normal"/>
    <w:next w:val="Normal"/>
    <w:autoRedefine/>
    <w:uiPriority w:val="39"/>
    <w:semiHidden/>
    <w:unhideWhenUsed/>
    <w:rsid w:val="00D22F68"/>
    <w:pPr>
      <w:pBdr>
        <w:between w:val="double" w:sz="6" w:space="0" w:color="auto"/>
      </w:pBdr>
      <w:spacing w:after="0"/>
      <w:ind w:left="1100"/>
    </w:pPr>
    <w:rPr>
      <w:sz w:val="20"/>
      <w:szCs w:val="20"/>
    </w:rPr>
  </w:style>
  <w:style w:type="paragraph" w:styleId="TOC8">
    <w:name w:val="toc 8"/>
    <w:basedOn w:val="Normal"/>
    <w:next w:val="Normal"/>
    <w:autoRedefine/>
    <w:uiPriority w:val="39"/>
    <w:semiHidden/>
    <w:unhideWhenUsed/>
    <w:rsid w:val="00D22F68"/>
    <w:pPr>
      <w:pBdr>
        <w:between w:val="double" w:sz="6" w:space="0" w:color="auto"/>
      </w:pBdr>
      <w:spacing w:after="0"/>
      <w:ind w:left="1320"/>
    </w:pPr>
    <w:rPr>
      <w:sz w:val="20"/>
      <w:szCs w:val="20"/>
    </w:rPr>
  </w:style>
  <w:style w:type="paragraph" w:styleId="TOC9">
    <w:name w:val="toc 9"/>
    <w:basedOn w:val="Normal"/>
    <w:next w:val="Normal"/>
    <w:autoRedefine/>
    <w:uiPriority w:val="39"/>
    <w:semiHidden/>
    <w:unhideWhenUsed/>
    <w:rsid w:val="00D22F68"/>
    <w:pPr>
      <w:pBdr>
        <w:between w:val="double" w:sz="6" w:space="0" w:color="auto"/>
      </w:pBdr>
      <w:spacing w:after="0"/>
      <w:ind w:left="1540"/>
    </w:pPr>
    <w:rPr>
      <w:sz w:val="20"/>
      <w:szCs w:val="20"/>
    </w:rPr>
  </w:style>
  <w:style w:type="paragraph" w:styleId="Header">
    <w:name w:val="header"/>
    <w:basedOn w:val="Normal"/>
    <w:link w:val="HeaderChar"/>
    <w:unhideWhenUsed/>
    <w:rsid w:val="00BD4CEE"/>
    <w:pPr>
      <w:tabs>
        <w:tab w:val="center" w:pos="4320"/>
        <w:tab w:val="right" w:pos="8640"/>
      </w:tabs>
      <w:spacing w:after="0" w:line="240" w:lineRule="auto"/>
    </w:pPr>
  </w:style>
  <w:style w:type="character" w:customStyle="1" w:styleId="HeaderChar">
    <w:name w:val="Header Char"/>
    <w:basedOn w:val="DefaultParagraphFont"/>
    <w:link w:val="Header"/>
    <w:uiPriority w:val="99"/>
    <w:rsid w:val="00BD4CEE"/>
  </w:style>
  <w:style w:type="paragraph" w:styleId="Footer">
    <w:name w:val="footer"/>
    <w:basedOn w:val="Normal"/>
    <w:link w:val="FooterChar"/>
    <w:uiPriority w:val="99"/>
    <w:unhideWhenUsed/>
    <w:rsid w:val="00BD4CEE"/>
    <w:pPr>
      <w:tabs>
        <w:tab w:val="center" w:pos="4320"/>
        <w:tab w:val="right" w:pos="8640"/>
      </w:tabs>
      <w:spacing w:after="0" w:line="240" w:lineRule="auto"/>
    </w:pPr>
  </w:style>
  <w:style w:type="character" w:customStyle="1" w:styleId="FooterChar">
    <w:name w:val="Footer Char"/>
    <w:basedOn w:val="DefaultParagraphFont"/>
    <w:link w:val="Footer"/>
    <w:uiPriority w:val="99"/>
    <w:rsid w:val="00BD4CEE"/>
  </w:style>
  <w:style w:type="character" w:customStyle="1" w:styleId="Heading3Char">
    <w:name w:val="Heading 3 Char"/>
    <w:basedOn w:val="DefaultParagraphFont"/>
    <w:link w:val="Heading3"/>
    <w:uiPriority w:val="9"/>
    <w:rsid w:val="008035C8"/>
    <w:rPr>
      <w:rFonts w:eastAsiaTheme="majorEastAsia" w:cstheme="majorBidi"/>
      <w:b/>
      <w:bCs/>
      <w:color w:val="4F81BD" w:themeColor="accent1"/>
      <w:sz w:val="28"/>
      <w:szCs w:val="28"/>
      <w:lang w:val="en-US"/>
    </w:rPr>
  </w:style>
  <w:style w:type="character" w:styleId="PageNumber">
    <w:name w:val="page number"/>
    <w:basedOn w:val="DefaultParagraphFont"/>
    <w:unhideWhenUsed/>
    <w:rsid w:val="00DE2A9A"/>
  </w:style>
  <w:style w:type="paragraph" w:styleId="CommentSubject">
    <w:name w:val="annotation subject"/>
    <w:basedOn w:val="CommentText"/>
    <w:next w:val="CommentText"/>
    <w:link w:val="CommentSubjectChar"/>
    <w:uiPriority w:val="99"/>
    <w:semiHidden/>
    <w:unhideWhenUsed/>
    <w:rsid w:val="007077E7"/>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7077E7"/>
    <w:rPr>
      <w:rFonts w:ascii="Cambria" w:eastAsia="MS ??" w:hAnsi="Cambria" w:cs="Times New Roman"/>
      <w:b/>
      <w:bCs/>
      <w:sz w:val="20"/>
      <w:szCs w:val="20"/>
      <w:lang w:eastAsia="ja-JP"/>
    </w:rPr>
  </w:style>
  <w:style w:type="character" w:styleId="Hyperlink">
    <w:name w:val="Hyperlink"/>
    <w:basedOn w:val="DefaultParagraphFont"/>
    <w:uiPriority w:val="99"/>
    <w:unhideWhenUsed/>
    <w:rsid w:val="00596827"/>
    <w:rPr>
      <w:color w:val="0000FF"/>
      <w:u w:val="single"/>
    </w:rPr>
  </w:style>
  <w:style w:type="table" w:styleId="TableGrid">
    <w:name w:val="Table Grid"/>
    <w:basedOn w:val="TableNormal"/>
    <w:uiPriority w:val="59"/>
    <w:rsid w:val="00596827"/>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A7AA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Caption">
    <w:name w:val="caption"/>
    <w:basedOn w:val="Normal"/>
    <w:next w:val="Normal"/>
    <w:uiPriority w:val="35"/>
    <w:unhideWhenUsed/>
    <w:qFormat/>
    <w:rsid w:val="00AF407B"/>
    <w:pPr>
      <w:spacing w:line="240" w:lineRule="auto"/>
    </w:pPr>
    <w:rPr>
      <w:b/>
      <w:bCs/>
      <w:color w:val="4F81BD" w:themeColor="accent1"/>
      <w:sz w:val="18"/>
      <w:szCs w:val="18"/>
    </w:rPr>
  </w:style>
  <w:style w:type="paragraph" w:customStyle="1" w:styleId="Default">
    <w:name w:val="Default"/>
    <w:rsid w:val="0072090C"/>
    <w:pPr>
      <w:widowControl w:val="0"/>
      <w:autoSpaceDE w:val="0"/>
      <w:autoSpaceDN w:val="0"/>
      <w:adjustRightInd w:val="0"/>
      <w:spacing w:after="0" w:line="240" w:lineRule="auto"/>
    </w:pPr>
    <w:rPr>
      <w:rFonts w:ascii="Calibri" w:eastAsiaTheme="minorEastAsia" w:hAnsi="Calibri" w:cs="Calibri"/>
      <w:color w:val="000000"/>
      <w:sz w:val="24"/>
      <w:szCs w:val="24"/>
      <w:lang w:val="en-US" w:eastAsia="ja-JP"/>
    </w:rPr>
  </w:style>
  <w:style w:type="paragraph" w:styleId="FootnoteText">
    <w:name w:val="footnote text"/>
    <w:basedOn w:val="Normal"/>
    <w:link w:val="FootnoteTextChar"/>
    <w:uiPriority w:val="99"/>
    <w:semiHidden/>
    <w:unhideWhenUsed/>
    <w:rsid w:val="000627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278D"/>
    <w:rPr>
      <w:sz w:val="20"/>
      <w:szCs w:val="20"/>
    </w:rPr>
  </w:style>
  <w:style w:type="character" w:styleId="FootnoteReference">
    <w:name w:val="footnote reference"/>
    <w:basedOn w:val="DefaultParagraphFont"/>
    <w:uiPriority w:val="99"/>
    <w:semiHidden/>
    <w:unhideWhenUsed/>
    <w:rsid w:val="0006278D"/>
    <w:rPr>
      <w:vertAlign w:val="superscript"/>
    </w:rPr>
  </w:style>
  <w:style w:type="character" w:styleId="PlaceholderText">
    <w:name w:val="Placeholder Text"/>
    <w:basedOn w:val="DefaultParagraphFont"/>
    <w:uiPriority w:val="99"/>
    <w:semiHidden/>
    <w:rsid w:val="0076718B"/>
    <w:rPr>
      <w:color w:val="808080"/>
    </w:rPr>
  </w:style>
  <w:style w:type="paragraph" w:customStyle="1" w:styleId="Tablecaption">
    <w:name w:val="Table caption"/>
    <w:basedOn w:val="Normal"/>
    <w:qFormat/>
    <w:rsid w:val="00F77DED"/>
    <w:pPr>
      <w:spacing w:after="120" w:line="240" w:lineRule="auto"/>
    </w:pPr>
    <w:rPr>
      <w:rFonts w:ascii="Calibri" w:eastAsia="Calibri" w:hAnsi="Calibri" w:cs="Calibri"/>
      <w:b/>
      <w:bCs/>
      <w:sz w:val="20"/>
      <w:szCs w:val="20"/>
    </w:rPr>
  </w:style>
  <w:style w:type="numbering" w:customStyle="1" w:styleId="BulletList">
    <w:name w:val="Bullet List"/>
    <w:uiPriority w:val="99"/>
    <w:rsid w:val="001266BC"/>
    <w:pPr>
      <w:numPr>
        <w:numId w:val="4"/>
      </w:numPr>
    </w:pPr>
  </w:style>
  <w:style w:type="paragraph" w:styleId="ListBullet">
    <w:name w:val="List Bullet"/>
    <w:basedOn w:val="Normal"/>
    <w:uiPriority w:val="99"/>
    <w:unhideWhenUsed/>
    <w:qFormat/>
    <w:rsid w:val="001266BC"/>
    <w:pPr>
      <w:numPr>
        <w:numId w:val="5"/>
      </w:numPr>
      <w:ind w:left="369" w:hanging="369"/>
    </w:pPr>
    <w:rPr>
      <w:rFonts w:eastAsia="Calibri" w:cs="Times New Roman"/>
    </w:rPr>
  </w:style>
  <w:style w:type="paragraph" w:styleId="ListBullet2">
    <w:name w:val="List Bullet 2"/>
    <w:basedOn w:val="Normal"/>
    <w:uiPriority w:val="99"/>
    <w:unhideWhenUsed/>
    <w:rsid w:val="001266BC"/>
    <w:pPr>
      <w:numPr>
        <w:ilvl w:val="1"/>
        <w:numId w:val="5"/>
      </w:numPr>
      <w:ind w:left="737" w:hanging="368"/>
    </w:pPr>
    <w:rPr>
      <w:rFonts w:eastAsia="Calibri" w:cs="Times New Roman"/>
    </w:rPr>
  </w:style>
  <w:style w:type="paragraph" w:styleId="ListBullet3">
    <w:name w:val="List Bullet 3"/>
    <w:basedOn w:val="Normal"/>
    <w:uiPriority w:val="99"/>
    <w:unhideWhenUsed/>
    <w:rsid w:val="001266BC"/>
    <w:pPr>
      <w:numPr>
        <w:ilvl w:val="2"/>
        <w:numId w:val="5"/>
      </w:numPr>
      <w:ind w:left="1106" w:hanging="369"/>
    </w:pPr>
    <w:rPr>
      <w:rFonts w:eastAsia="Calibri" w:cs="Times New Roman"/>
    </w:rPr>
  </w:style>
  <w:style w:type="paragraph" w:styleId="ListBullet4">
    <w:name w:val="List Bullet 4"/>
    <w:basedOn w:val="Normal"/>
    <w:uiPriority w:val="99"/>
    <w:unhideWhenUsed/>
    <w:rsid w:val="001266BC"/>
    <w:pPr>
      <w:numPr>
        <w:ilvl w:val="3"/>
        <w:numId w:val="5"/>
      </w:numPr>
      <w:ind w:left="1474" w:hanging="368"/>
    </w:pPr>
    <w:rPr>
      <w:rFonts w:eastAsia="Calibri" w:cs="Times New Roman"/>
    </w:rPr>
  </w:style>
  <w:style w:type="paragraph" w:styleId="ListBullet5">
    <w:name w:val="List Bullet 5"/>
    <w:basedOn w:val="Normal"/>
    <w:uiPriority w:val="99"/>
    <w:unhideWhenUsed/>
    <w:rsid w:val="001266BC"/>
    <w:pPr>
      <w:numPr>
        <w:ilvl w:val="4"/>
        <w:numId w:val="5"/>
      </w:numPr>
      <w:ind w:left="1800"/>
    </w:pPr>
    <w:rPr>
      <w:rFonts w:eastAsia="Calibri" w:cs="Times New Roman"/>
    </w:rPr>
  </w:style>
  <w:style w:type="table" w:styleId="MediumGrid3-Accent1">
    <w:name w:val="Medium Grid 3 Accent 1"/>
    <w:basedOn w:val="TableNormal"/>
    <w:uiPriority w:val="69"/>
    <w:rsid w:val="00CF6E9D"/>
    <w:pPr>
      <w:spacing w:after="0" w:line="240" w:lineRule="auto"/>
    </w:pPr>
    <w:rPr>
      <w:rFonts w:eastAsiaTheme="minorEastAsia"/>
      <w:lang w:eastAsia="en-A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tandard">
    <w:name w:val="Standard"/>
    <w:rsid w:val="00613AD9"/>
    <w:pPr>
      <w:suppressAutoHyphens/>
      <w:autoSpaceDN w:val="0"/>
      <w:spacing w:after="0" w:line="240" w:lineRule="auto"/>
      <w:textAlignment w:val="baseline"/>
    </w:pPr>
    <w:rPr>
      <w:rFonts w:ascii="Times New Roman" w:eastAsia="Arial Unicode MS" w:hAnsi="Times New Roman" w:cs="Times New Roman"/>
      <w:kern w:val="3"/>
      <w:sz w:val="24"/>
      <w:szCs w:val="24"/>
      <w:lang w:val="en-CA" w:eastAsia="ar-SA"/>
    </w:rPr>
  </w:style>
  <w:style w:type="paragraph" w:customStyle="1" w:styleId="TableContents">
    <w:name w:val="Table Contents"/>
    <w:basedOn w:val="Standard"/>
    <w:rsid w:val="00613AD9"/>
    <w:pPr>
      <w:suppressLineNumbers/>
    </w:pPr>
  </w:style>
  <w:style w:type="character" w:customStyle="1" w:styleId="Heading4Char">
    <w:name w:val="Heading 4 Char"/>
    <w:basedOn w:val="DefaultParagraphFont"/>
    <w:link w:val="Heading4"/>
    <w:uiPriority w:val="9"/>
    <w:rsid w:val="00207ECD"/>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7070D2"/>
    <w:rPr>
      <w:b/>
      <w:bCs/>
    </w:rPr>
  </w:style>
  <w:style w:type="character" w:customStyle="1" w:styleId="nlmx">
    <w:name w:val="nlm_x"/>
    <w:basedOn w:val="DefaultParagraphFont"/>
    <w:rsid w:val="007070D2"/>
  </w:style>
  <w:style w:type="character" w:customStyle="1" w:styleId="journalname">
    <w:name w:val="journalname"/>
    <w:basedOn w:val="DefaultParagraphFont"/>
    <w:rsid w:val="00601641"/>
  </w:style>
  <w:style w:type="character" w:customStyle="1" w:styleId="journalnumber">
    <w:name w:val="journalnumber"/>
    <w:basedOn w:val="DefaultParagraphFont"/>
    <w:rsid w:val="00601641"/>
  </w:style>
  <w:style w:type="character" w:styleId="Emphasis">
    <w:name w:val="Emphasis"/>
    <w:basedOn w:val="DefaultParagraphFont"/>
    <w:uiPriority w:val="20"/>
    <w:qFormat/>
    <w:rsid w:val="003C2849"/>
    <w:rPr>
      <w:i/>
      <w:iCs/>
    </w:rPr>
  </w:style>
  <w:style w:type="character" w:customStyle="1" w:styleId="maintitle">
    <w:name w:val="maintitle"/>
    <w:basedOn w:val="DefaultParagraphFont"/>
    <w:rsid w:val="00C759BB"/>
  </w:style>
  <w:style w:type="character" w:customStyle="1" w:styleId="personname">
    <w:name w:val="person_name"/>
    <w:basedOn w:val="DefaultParagraphFont"/>
    <w:rsid w:val="00C759BB"/>
  </w:style>
  <w:style w:type="paragraph" w:styleId="Revision">
    <w:name w:val="Revision"/>
    <w:hidden/>
    <w:uiPriority w:val="99"/>
    <w:semiHidden/>
    <w:rsid w:val="006949C7"/>
    <w:pPr>
      <w:spacing w:after="0" w:line="240" w:lineRule="auto"/>
    </w:pPr>
  </w:style>
  <w:style w:type="character" w:styleId="IntenseEmphasis">
    <w:name w:val="Intense Emphasis"/>
    <w:basedOn w:val="DefaultParagraphFont"/>
    <w:uiPriority w:val="21"/>
    <w:qFormat/>
    <w:rsid w:val="006765D4"/>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B4B"/>
  </w:style>
  <w:style w:type="paragraph" w:styleId="Heading1">
    <w:name w:val="heading 1"/>
    <w:basedOn w:val="Normal"/>
    <w:next w:val="Normal"/>
    <w:link w:val="Heading1Char"/>
    <w:uiPriority w:val="9"/>
    <w:qFormat/>
    <w:rsid w:val="009D11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3901"/>
    <w:pPr>
      <w:keepNext/>
      <w:keepLines/>
      <w:numPr>
        <w:numId w:val="1"/>
      </w:numPr>
      <w:spacing w:before="200" w:after="120"/>
      <w:ind w:left="567" w:hanging="567"/>
      <w:outlineLvl w:val="1"/>
    </w:pPr>
    <w:rPr>
      <w:rFonts w:eastAsiaTheme="majorEastAsia" w:cstheme="majorBidi"/>
      <w:b/>
      <w:bCs/>
      <w:color w:val="4F81BD" w:themeColor="accent1"/>
      <w:sz w:val="32"/>
      <w:szCs w:val="32"/>
      <w:lang w:val="en-US"/>
    </w:rPr>
  </w:style>
  <w:style w:type="paragraph" w:styleId="Heading3">
    <w:name w:val="heading 3"/>
    <w:basedOn w:val="Normal"/>
    <w:next w:val="Normal"/>
    <w:link w:val="Heading3Char"/>
    <w:uiPriority w:val="9"/>
    <w:unhideWhenUsed/>
    <w:qFormat/>
    <w:rsid w:val="008035C8"/>
    <w:pPr>
      <w:keepLines/>
      <w:widowControl w:val="0"/>
      <w:spacing w:before="200" w:after="240"/>
      <w:outlineLvl w:val="2"/>
    </w:pPr>
    <w:rPr>
      <w:rFonts w:eastAsiaTheme="majorEastAsia" w:cstheme="majorBidi"/>
      <w:b/>
      <w:bCs/>
      <w:color w:val="4F81BD" w:themeColor="accent1"/>
      <w:sz w:val="28"/>
      <w:szCs w:val="28"/>
      <w:lang w:val="en-US"/>
    </w:rPr>
  </w:style>
  <w:style w:type="paragraph" w:styleId="Heading4">
    <w:name w:val="heading 4"/>
    <w:basedOn w:val="Normal"/>
    <w:next w:val="Normal"/>
    <w:link w:val="Heading4Char"/>
    <w:uiPriority w:val="9"/>
    <w:unhideWhenUsed/>
    <w:qFormat/>
    <w:rsid w:val="00207EC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4218"/>
    <w:pPr>
      <w:ind w:left="720"/>
      <w:contextualSpacing/>
    </w:pPr>
  </w:style>
  <w:style w:type="paragraph" w:styleId="Title">
    <w:name w:val="Title"/>
    <w:basedOn w:val="Normal"/>
    <w:next w:val="Normal"/>
    <w:link w:val="TitleChar"/>
    <w:uiPriority w:val="10"/>
    <w:qFormat/>
    <w:rsid w:val="009D11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D113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D1139"/>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9D11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D1139"/>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8F3901"/>
    <w:rPr>
      <w:rFonts w:eastAsiaTheme="majorEastAsia" w:cstheme="majorBidi"/>
      <w:b/>
      <w:bCs/>
      <w:color w:val="4F81BD" w:themeColor="accent1"/>
      <w:sz w:val="32"/>
      <w:szCs w:val="32"/>
      <w:lang w:val="en-US"/>
    </w:rPr>
  </w:style>
  <w:style w:type="paragraph" w:styleId="BalloonText">
    <w:name w:val="Balloon Text"/>
    <w:basedOn w:val="Normal"/>
    <w:link w:val="BalloonTextChar"/>
    <w:uiPriority w:val="99"/>
    <w:semiHidden/>
    <w:unhideWhenUsed/>
    <w:rsid w:val="009C5D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DC8"/>
    <w:rPr>
      <w:rFonts w:ascii="Tahoma" w:hAnsi="Tahoma" w:cs="Tahoma"/>
      <w:sz w:val="16"/>
      <w:szCs w:val="16"/>
    </w:rPr>
  </w:style>
  <w:style w:type="character" w:styleId="CommentReference">
    <w:name w:val="annotation reference"/>
    <w:uiPriority w:val="99"/>
    <w:rsid w:val="004858C8"/>
    <w:rPr>
      <w:rFonts w:cs="Times New Roman"/>
      <w:sz w:val="16"/>
      <w:szCs w:val="16"/>
    </w:rPr>
  </w:style>
  <w:style w:type="paragraph" w:styleId="CommentText">
    <w:name w:val="annotation text"/>
    <w:basedOn w:val="Normal"/>
    <w:link w:val="CommentTextChar"/>
    <w:uiPriority w:val="99"/>
    <w:rsid w:val="004858C8"/>
    <w:pPr>
      <w:spacing w:line="240" w:lineRule="auto"/>
    </w:pPr>
    <w:rPr>
      <w:rFonts w:ascii="Cambria" w:eastAsia="MS ??" w:hAnsi="Cambria" w:cs="Times New Roman"/>
      <w:sz w:val="20"/>
      <w:szCs w:val="20"/>
      <w:lang w:eastAsia="ja-JP"/>
    </w:rPr>
  </w:style>
  <w:style w:type="character" w:customStyle="1" w:styleId="CommentTextChar">
    <w:name w:val="Comment Text Char"/>
    <w:basedOn w:val="DefaultParagraphFont"/>
    <w:link w:val="CommentText"/>
    <w:uiPriority w:val="99"/>
    <w:rsid w:val="004858C8"/>
    <w:rPr>
      <w:rFonts w:ascii="Cambria" w:eastAsia="MS ??" w:hAnsi="Cambria" w:cs="Times New Roman"/>
      <w:sz w:val="20"/>
      <w:szCs w:val="20"/>
      <w:lang w:eastAsia="ja-JP"/>
    </w:rPr>
  </w:style>
  <w:style w:type="paragraph" w:styleId="DocumentMap">
    <w:name w:val="Document Map"/>
    <w:basedOn w:val="Normal"/>
    <w:link w:val="DocumentMapChar"/>
    <w:uiPriority w:val="99"/>
    <w:semiHidden/>
    <w:unhideWhenUsed/>
    <w:rsid w:val="00D22F6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22F68"/>
    <w:rPr>
      <w:rFonts w:ascii="Lucida Grande" w:hAnsi="Lucida Grande" w:cs="Lucida Grande"/>
      <w:sz w:val="24"/>
      <w:szCs w:val="24"/>
    </w:rPr>
  </w:style>
  <w:style w:type="paragraph" w:styleId="TOCHeading">
    <w:name w:val="TOC Heading"/>
    <w:basedOn w:val="Heading1"/>
    <w:next w:val="Normal"/>
    <w:uiPriority w:val="39"/>
    <w:unhideWhenUsed/>
    <w:qFormat/>
    <w:rsid w:val="00D22F68"/>
    <w:pPr>
      <w:outlineLvl w:val="9"/>
    </w:pPr>
    <w:rPr>
      <w:lang w:val="en-US"/>
    </w:rPr>
  </w:style>
  <w:style w:type="paragraph" w:styleId="TOC2">
    <w:name w:val="toc 2"/>
    <w:basedOn w:val="Normal"/>
    <w:next w:val="Normal"/>
    <w:autoRedefine/>
    <w:uiPriority w:val="39"/>
    <w:unhideWhenUsed/>
    <w:rsid w:val="00D22F68"/>
    <w:pPr>
      <w:spacing w:after="0"/>
    </w:pPr>
  </w:style>
  <w:style w:type="paragraph" w:styleId="TOC1">
    <w:name w:val="toc 1"/>
    <w:basedOn w:val="Normal"/>
    <w:next w:val="Normal"/>
    <w:autoRedefine/>
    <w:uiPriority w:val="39"/>
    <w:unhideWhenUsed/>
    <w:rsid w:val="00D22F68"/>
    <w:pPr>
      <w:spacing w:before="120" w:after="0"/>
    </w:pPr>
    <w:rPr>
      <w:rFonts w:asciiTheme="majorHAnsi" w:hAnsiTheme="majorHAnsi"/>
      <w:b/>
      <w:color w:val="548DD4"/>
      <w:sz w:val="24"/>
      <w:szCs w:val="24"/>
    </w:rPr>
  </w:style>
  <w:style w:type="paragraph" w:styleId="TOC3">
    <w:name w:val="toc 3"/>
    <w:basedOn w:val="Normal"/>
    <w:next w:val="Normal"/>
    <w:autoRedefine/>
    <w:uiPriority w:val="39"/>
    <w:unhideWhenUsed/>
    <w:rsid w:val="00D22F68"/>
    <w:pPr>
      <w:spacing w:after="0"/>
      <w:ind w:left="220"/>
    </w:pPr>
    <w:rPr>
      <w:i/>
    </w:rPr>
  </w:style>
  <w:style w:type="paragraph" w:styleId="TOC4">
    <w:name w:val="toc 4"/>
    <w:basedOn w:val="Normal"/>
    <w:next w:val="Normal"/>
    <w:autoRedefine/>
    <w:uiPriority w:val="39"/>
    <w:semiHidden/>
    <w:unhideWhenUsed/>
    <w:rsid w:val="00D22F68"/>
    <w:pPr>
      <w:pBdr>
        <w:between w:val="double" w:sz="6" w:space="0" w:color="auto"/>
      </w:pBdr>
      <w:spacing w:after="0"/>
      <w:ind w:left="440"/>
    </w:pPr>
    <w:rPr>
      <w:sz w:val="20"/>
      <w:szCs w:val="20"/>
    </w:rPr>
  </w:style>
  <w:style w:type="paragraph" w:styleId="TOC5">
    <w:name w:val="toc 5"/>
    <w:basedOn w:val="Normal"/>
    <w:next w:val="Normal"/>
    <w:autoRedefine/>
    <w:uiPriority w:val="39"/>
    <w:semiHidden/>
    <w:unhideWhenUsed/>
    <w:rsid w:val="00D22F68"/>
    <w:pPr>
      <w:pBdr>
        <w:between w:val="double" w:sz="6" w:space="0" w:color="auto"/>
      </w:pBdr>
      <w:spacing w:after="0"/>
      <w:ind w:left="660"/>
    </w:pPr>
    <w:rPr>
      <w:sz w:val="20"/>
      <w:szCs w:val="20"/>
    </w:rPr>
  </w:style>
  <w:style w:type="paragraph" w:styleId="TOC6">
    <w:name w:val="toc 6"/>
    <w:basedOn w:val="Normal"/>
    <w:next w:val="Normal"/>
    <w:autoRedefine/>
    <w:uiPriority w:val="39"/>
    <w:semiHidden/>
    <w:unhideWhenUsed/>
    <w:rsid w:val="00D22F68"/>
    <w:pPr>
      <w:pBdr>
        <w:between w:val="double" w:sz="6" w:space="0" w:color="auto"/>
      </w:pBdr>
      <w:spacing w:after="0"/>
      <w:ind w:left="880"/>
    </w:pPr>
    <w:rPr>
      <w:sz w:val="20"/>
      <w:szCs w:val="20"/>
    </w:rPr>
  </w:style>
  <w:style w:type="paragraph" w:styleId="TOC7">
    <w:name w:val="toc 7"/>
    <w:basedOn w:val="Normal"/>
    <w:next w:val="Normal"/>
    <w:autoRedefine/>
    <w:uiPriority w:val="39"/>
    <w:semiHidden/>
    <w:unhideWhenUsed/>
    <w:rsid w:val="00D22F68"/>
    <w:pPr>
      <w:pBdr>
        <w:between w:val="double" w:sz="6" w:space="0" w:color="auto"/>
      </w:pBdr>
      <w:spacing w:after="0"/>
      <w:ind w:left="1100"/>
    </w:pPr>
    <w:rPr>
      <w:sz w:val="20"/>
      <w:szCs w:val="20"/>
    </w:rPr>
  </w:style>
  <w:style w:type="paragraph" w:styleId="TOC8">
    <w:name w:val="toc 8"/>
    <w:basedOn w:val="Normal"/>
    <w:next w:val="Normal"/>
    <w:autoRedefine/>
    <w:uiPriority w:val="39"/>
    <w:semiHidden/>
    <w:unhideWhenUsed/>
    <w:rsid w:val="00D22F68"/>
    <w:pPr>
      <w:pBdr>
        <w:between w:val="double" w:sz="6" w:space="0" w:color="auto"/>
      </w:pBdr>
      <w:spacing w:after="0"/>
      <w:ind w:left="1320"/>
    </w:pPr>
    <w:rPr>
      <w:sz w:val="20"/>
      <w:szCs w:val="20"/>
    </w:rPr>
  </w:style>
  <w:style w:type="paragraph" w:styleId="TOC9">
    <w:name w:val="toc 9"/>
    <w:basedOn w:val="Normal"/>
    <w:next w:val="Normal"/>
    <w:autoRedefine/>
    <w:uiPriority w:val="39"/>
    <w:semiHidden/>
    <w:unhideWhenUsed/>
    <w:rsid w:val="00D22F68"/>
    <w:pPr>
      <w:pBdr>
        <w:between w:val="double" w:sz="6" w:space="0" w:color="auto"/>
      </w:pBdr>
      <w:spacing w:after="0"/>
      <w:ind w:left="1540"/>
    </w:pPr>
    <w:rPr>
      <w:sz w:val="20"/>
      <w:szCs w:val="20"/>
    </w:rPr>
  </w:style>
  <w:style w:type="paragraph" w:styleId="Header">
    <w:name w:val="header"/>
    <w:basedOn w:val="Normal"/>
    <w:link w:val="HeaderChar"/>
    <w:unhideWhenUsed/>
    <w:rsid w:val="00BD4CEE"/>
    <w:pPr>
      <w:tabs>
        <w:tab w:val="center" w:pos="4320"/>
        <w:tab w:val="right" w:pos="8640"/>
      </w:tabs>
      <w:spacing w:after="0" w:line="240" w:lineRule="auto"/>
    </w:pPr>
  </w:style>
  <w:style w:type="character" w:customStyle="1" w:styleId="HeaderChar">
    <w:name w:val="Header Char"/>
    <w:basedOn w:val="DefaultParagraphFont"/>
    <w:link w:val="Header"/>
    <w:uiPriority w:val="99"/>
    <w:rsid w:val="00BD4CEE"/>
  </w:style>
  <w:style w:type="paragraph" w:styleId="Footer">
    <w:name w:val="footer"/>
    <w:basedOn w:val="Normal"/>
    <w:link w:val="FooterChar"/>
    <w:uiPriority w:val="99"/>
    <w:unhideWhenUsed/>
    <w:rsid w:val="00BD4CEE"/>
    <w:pPr>
      <w:tabs>
        <w:tab w:val="center" w:pos="4320"/>
        <w:tab w:val="right" w:pos="8640"/>
      </w:tabs>
      <w:spacing w:after="0" w:line="240" w:lineRule="auto"/>
    </w:pPr>
  </w:style>
  <w:style w:type="character" w:customStyle="1" w:styleId="FooterChar">
    <w:name w:val="Footer Char"/>
    <w:basedOn w:val="DefaultParagraphFont"/>
    <w:link w:val="Footer"/>
    <w:uiPriority w:val="99"/>
    <w:rsid w:val="00BD4CEE"/>
  </w:style>
  <w:style w:type="character" w:customStyle="1" w:styleId="Heading3Char">
    <w:name w:val="Heading 3 Char"/>
    <w:basedOn w:val="DefaultParagraphFont"/>
    <w:link w:val="Heading3"/>
    <w:uiPriority w:val="9"/>
    <w:rsid w:val="008035C8"/>
    <w:rPr>
      <w:rFonts w:eastAsiaTheme="majorEastAsia" w:cstheme="majorBidi"/>
      <w:b/>
      <w:bCs/>
      <w:color w:val="4F81BD" w:themeColor="accent1"/>
      <w:sz w:val="28"/>
      <w:szCs w:val="28"/>
      <w:lang w:val="en-US"/>
    </w:rPr>
  </w:style>
  <w:style w:type="character" w:styleId="PageNumber">
    <w:name w:val="page number"/>
    <w:basedOn w:val="DefaultParagraphFont"/>
    <w:unhideWhenUsed/>
    <w:rsid w:val="00DE2A9A"/>
  </w:style>
  <w:style w:type="paragraph" w:styleId="CommentSubject">
    <w:name w:val="annotation subject"/>
    <w:basedOn w:val="CommentText"/>
    <w:next w:val="CommentText"/>
    <w:link w:val="CommentSubjectChar"/>
    <w:uiPriority w:val="99"/>
    <w:semiHidden/>
    <w:unhideWhenUsed/>
    <w:rsid w:val="007077E7"/>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7077E7"/>
    <w:rPr>
      <w:rFonts w:ascii="Cambria" w:eastAsia="MS ??" w:hAnsi="Cambria" w:cs="Times New Roman"/>
      <w:b/>
      <w:bCs/>
      <w:sz w:val="20"/>
      <w:szCs w:val="20"/>
      <w:lang w:eastAsia="ja-JP"/>
    </w:rPr>
  </w:style>
  <w:style w:type="character" w:styleId="Hyperlink">
    <w:name w:val="Hyperlink"/>
    <w:basedOn w:val="DefaultParagraphFont"/>
    <w:uiPriority w:val="99"/>
    <w:unhideWhenUsed/>
    <w:rsid w:val="00596827"/>
    <w:rPr>
      <w:color w:val="0000FF"/>
      <w:u w:val="single"/>
    </w:rPr>
  </w:style>
  <w:style w:type="table" w:styleId="TableGrid">
    <w:name w:val="Table Grid"/>
    <w:basedOn w:val="TableNormal"/>
    <w:uiPriority w:val="59"/>
    <w:rsid w:val="00596827"/>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A7AA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Caption">
    <w:name w:val="caption"/>
    <w:basedOn w:val="Normal"/>
    <w:next w:val="Normal"/>
    <w:uiPriority w:val="35"/>
    <w:unhideWhenUsed/>
    <w:qFormat/>
    <w:rsid w:val="00AF407B"/>
    <w:pPr>
      <w:spacing w:line="240" w:lineRule="auto"/>
    </w:pPr>
    <w:rPr>
      <w:b/>
      <w:bCs/>
      <w:color w:val="4F81BD" w:themeColor="accent1"/>
      <w:sz w:val="18"/>
      <w:szCs w:val="18"/>
    </w:rPr>
  </w:style>
  <w:style w:type="paragraph" w:customStyle="1" w:styleId="Default">
    <w:name w:val="Default"/>
    <w:rsid w:val="0072090C"/>
    <w:pPr>
      <w:widowControl w:val="0"/>
      <w:autoSpaceDE w:val="0"/>
      <w:autoSpaceDN w:val="0"/>
      <w:adjustRightInd w:val="0"/>
      <w:spacing w:after="0" w:line="240" w:lineRule="auto"/>
    </w:pPr>
    <w:rPr>
      <w:rFonts w:ascii="Calibri" w:eastAsiaTheme="minorEastAsia" w:hAnsi="Calibri" w:cs="Calibri"/>
      <w:color w:val="000000"/>
      <w:sz w:val="24"/>
      <w:szCs w:val="24"/>
      <w:lang w:val="en-US" w:eastAsia="ja-JP"/>
    </w:rPr>
  </w:style>
  <w:style w:type="paragraph" w:styleId="FootnoteText">
    <w:name w:val="footnote text"/>
    <w:basedOn w:val="Normal"/>
    <w:link w:val="FootnoteTextChar"/>
    <w:uiPriority w:val="99"/>
    <w:semiHidden/>
    <w:unhideWhenUsed/>
    <w:rsid w:val="000627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278D"/>
    <w:rPr>
      <w:sz w:val="20"/>
      <w:szCs w:val="20"/>
    </w:rPr>
  </w:style>
  <w:style w:type="character" w:styleId="FootnoteReference">
    <w:name w:val="footnote reference"/>
    <w:basedOn w:val="DefaultParagraphFont"/>
    <w:uiPriority w:val="99"/>
    <w:semiHidden/>
    <w:unhideWhenUsed/>
    <w:rsid w:val="0006278D"/>
    <w:rPr>
      <w:vertAlign w:val="superscript"/>
    </w:rPr>
  </w:style>
  <w:style w:type="character" w:styleId="PlaceholderText">
    <w:name w:val="Placeholder Text"/>
    <w:basedOn w:val="DefaultParagraphFont"/>
    <w:uiPriority w:val="99"/>
    <w:semiHidden/>
    <w:rsid w:val="0076718B"/>
    <w:rPr>
      <w:color w:val="808080"/>
    </w:rPr>
  </w:style>
  <w:style w:type="paragraph" w:customStyle="1" w:styleId="Tablecaption">
    <w:name w:val="Table caption"/>
    <w:basedOn w:val="Normal"/>
    <w:qFormat/>
    <w:rsid w:val="00F77DED"/>
    <w:pPr>
      <w:spacing w:after="120" w:line="240" w:lineRule="auto"/>
    </w:pPr>
    <w:rPr>
      <w:rFonts w:ascii="Calibri" w:eastAsia="Calibri" w:hAnsi="Calibri" w:cs="Calibri"/>
      <w:b/>
      <w:bCs/>
      <w:sz w:val="20"/>
      <w:szCs w:val="20"/>
    </w:rPr>
  </w:style>
  <w:style w:type="numbering" w:customStyle="1" w:styleId="BulletList">
    <w:name w:val="Bullet List"/>
    <w:uiPriority w:val="99"/>
    <w:rsid w:val="001266BC"/>
    <w:pPr>
      <w:numPr>
        <w:numId w:val="4"/>
      </w:numPr>
    </w:pPr>
  </w:style>
  <w:style w:type="paragraph" w:styleId="ListBullet">
    <w:name w:val="List Bullet"/>
    <w:basedOn w:val="Normal"/>
    <w:uiPriority w:val="99"/>
    <w:unhideWhenUsed/>
    <w:qFormat/>
    <w:rsid w:val="001266BC"/>
    <w:pPr>
      <w:numPr>
        <w:numId w:val="5"/>
      </w:numPr>
      <w:ind w:left="369" w:hanging="369"/>
    </w:pPr>
    <w:rPr>
      <w:rFonts w:eastAsia="Calibri" w:cs="Times New Roman"/>
    </w:rPr>
  </w:style>
  <w:style w:type="paragraph" w:styleId="ListBullet2">
    <w:name w:val="List Bullet 2"/>
    <w:basedOn w:val="Normal"/>
    <w:uiPriority w:val="99"/>
    <w:unhideWhenUsed/>
    <w:rsid w:val="001266BC"/>
    <w:pPr>
      <w:numPr>
        <w:ilvl w:val="1"/>
        <w:numId w:val="5"/>
      </w:numPr>
      <w:ind w:left="737" w:hanging="368"/>
    </w:pPr>
    <w:rPr>
      <w:rFonts w:eastAsia="Calibri" w:cs="Times New Roman"/>
    </w:rPr>
  </w:style>
  <w:style w:type="paragraph" w:styleId="ListBullet3">
    <w:name w:val="List Bullet 3"/>
    <w:basedOn w:val="Normal"/>
    <w:uiPriority w:val="99"/>
    <w:unhideWhenUsed/>
    <w:rsid w:val="001266BC"/>
    <w:pPr>
      <w:numPr>
        <w:ilvl w:val="2"/>
        <w:numId w:val="5"/>
      </w:numPr>
      <w:ind w:left="1106" w:hanging="369"/>
    </w:pPr>
    <w:rPr>
      <w:rFonts w:eastAsia="Calibri" w:cs="Times New Roman"/>
    </w:rPr>
  </w:style>
  <w:style w:type="paragraph" w:styleId="ListBullet4">
    <w:name w:val="List Bullet 4"/>
    <w:basedOn w:val="Normal"/>
    <w:uiPriority w:val="99"/>
    <w:unhideWhenUsed/>
    <w:rsid w:val="001266BC"/>
    <w:pPr>
      <w:numPr>
        <w:ilvl w:val="3"/>
        <w:numId w:val="5"/>
      </w:numPr>
      <w:ind w:left="1474" w:hanging="368"/>
    </w:pPr>
    <w:rPr>
      <w:rFonts w:eastAsia="Calibri" w:cs="Times New Roman"/>
    </w:rPr>
  </w:style>
  <w:style w:type="paragraph" w:styleId="ListBullet5">
    <w:name w:val="List Bullet 5"/>
    <w:basedOn w:val="Normal"/>
    <w:uiPriority w:val="99"/>
    <w:unhideWhenUsed/>
    <w:rsid w:val="001266BC"/>
    <w:pPr>
      <w:numPr>
        <w:ilvl w:val="4"/>
        <w:numId w:val="5"/>
      </w:numPr>
      <w:ind w:left="1800"/>
    </w:pPr>
    <w:rPr>
      <w:rFonts w:eastAsia="Calibri" w:cs="Times New Roman"/>
    </w:rPr>
  </w:style>
  <w:style w:type="table" w:styleId="MediumGrid3-Accent1">
    <w:name w:val="Medium Grid 3 Accent 1"/>
    <w:basedOn w:val="TableNormal"/>
    <w:uiPriority w:val="69"/>
    <w:rsid w:val="00CF6E9D"/>
    <w:pPr>
      <w:spacing w:after="0" w:line="240" w:lineRule="auto"/>
    </w:pPr>
    <w:rPr>
      <w:rFonts w:eastAsiaTheme="minorEastAsia"/>
      <w:lang w:eastAsia="en-A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tandard">
    <w:name w:val="Standard"/>
    <w:rsid w:val="00613AD9"/>
    <w:pPr>
      <w:suppressAutoHyphens/>
      <w:autoSpaceDN w:val="0"/>
      <w:spacing w:after="0" w:line="240" w:lineRule="auto"/>
      <w:textAlignment w:val="baseline"/>
    </w:pPr>
    <w:rPr>
      <w:rFonts w:ascii="Times New Roman" w:eastAsia="Arial Unicode MS" w:hAnsi="Times New Roman" w:cs="Times New Roman"/>
      <w:kern w:val="3"/>
      <w:sz w:val="24"/>
      <w:szCs w:val="24"/>
      <w:lang w:val="en-CA" w:eastAsia="ar-SA"/>
    </w:rPr>
  </w:style>
  <w:style w:type="paragraph" w:customStyle="1" w:styleId="TableContents">
    <w:name w:val="Table Contents"/>
    <w:basedOn w:val="Standard"/>
    <w:rsid w:val="00613AD9"/>
    <w:pPr>
      <w:suppressLineNumbers/>
    </w:pPr>
  </w:style>
  <w:style w:type="character" w:customStyle="1" w:styleId="Heading4Char">
    <w:name w:val="Heading 4 Char"/>
    <w:basedOn w:val="DefaultParagraphFont"/>
    <w:link w:val="Heading4"/>
    <w:uiPriority w:val="9"/>
    <w:rsid w:val="00207ECD"/>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7070D2"/>
    <w:rPr>
      <w:b/>
      <w:bCs/>
    </w:rPr>
  </w:style>
  <w:style w:type="character" w:customStyle="1" w:styleId="nlmx">
    <w:name w:val="nlm_x"/>
    <w:basedOn w:val="DefaultParagraphFont"/>
    <w:rsid w:val="007070D2"/>
  </w:style>
  <w:style w:type="character" w:customStyle="1" w:styleId="journalname">
    <w:name w:val="journalname"/>
    <w:basedOn w:val="DefaultParagraphFont"/>
    <w:rsid w:val="00601641"/>
  </w:style>
  <w:style w:type="character" w:customStyle="1" w:styleId="journalnumber">
    <w:name w:val="journalnumber"/>
    <w:basedOn w:val="DefaultParagraphFont"/>
    <w:rsid w:val="00601641"/>
  </w:style>
  <w:style w:type="character" w:styleId="Emphasis">
    <w:name w:val="Emphasis"/>
    <w:basedOn w:val="DefaultParagraphFont"/>
    <w:uiPriority w:val="20"/>
    <w:qFormat/>
    <w:rsid w:val="003C2849"/>
    <w:rPr>
      <w:i/>
      <w:iCs/>
    </w:rPr>
  </w:style>
  <w:style w:type="character" w:customStyle="1" w:styleId="maintitle">
    <w:name w:val="maintitle"/>
    <w:basedOn w:val="DefaultParagraphFont"/>
    <w:rsid w:val="00C759BB"/>
  </w:style>
  <w:style w:type="character" w:customStyle="1" w:styleId="personname">
    <w:name w:val="person_name"/>
    <w:basedOn w:val="DefaultParagraphFont"/>
    <w:rsid w:val="00C759BB"/>
  </w:style>
  <w:style w:type="paragraph" w:styleId="Revision">
    <w:name w:val="Revision"/>
    <w:hidden/>
    <w:uiPriority w:val="99"/>
    <w:semiHidden/>
    <w:rsid w:val="006949C7"/>
    <w:pPr>
      <w:spacing w:after="0" w:line="240" w:lineRule="auto"/>
    </w:pPr>
  </w:style>
  <w:style w:type="character" w:styleId="IntenseEmphasis">
    <w:name w:val="Intense Emphasis"/>
    <w:basedOn w:val="DefaultParagraphFont"/>
    <w:uiPriority w:val="21"/>
    <w:qFormat/>
    <w:rsid w:val="006765D4"/>
    <w:rPr>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52238839">
      <w:bodyDiv w:val="1"/>
      <w:marLeft w:val="0"/>
      <w:marRight w:val="0"/>
      <w:marTop w:val="0"/>
      <w:marBottom w:val="0"/>
      <w:divBdr>
        <w:top w:val="none" w:sz="0" w:space="0" w:color="auto"/>
        <w:left w:val="none" w:sz="0" w:space="0" w:color="auto"/>
        <w:bottom w:val="none" w:sz="0" w:space="0" w:color="auto"/>
        <w:right w:val="none" w:sz="0" w:space="0" w:color="auto"/>
      </w:divBdr>
    </w:div>
    <w:div w:id="162087600">
      <w:bodyDiv w:val="1"/>
      <w:marLeft w:val="0"/>
      <w:marRight w:val="0"/>
      <w:marTop w:val="0"/>
      <w:marBottom w:val="0"/>
      <w:divBdr>
        <w:top w:val="none" w:sz="0" w:space="0" w:color="auto"/>
        <w:left w:val="none" w:sz="0" w:space="0" w:color="auto"/>
        <w:bottom w:val="none" w:sz="0" w:space="0" w:color="auto"/>
        <w:right w:val="none" w:sz="0" w:space="0" w:color="auto"/>
      </w:divBdr>
      <w:divsChild>
        <w:div w:id="121924609">
          <w:marLeft w:val="0"/>
          <w:marRight w:val="0"/>
          <w:marTop w:val="0"/>
          <w:marBottom w:val="0"/>
          <w:divBdr>
            <w:top w:val="none" w:sz="0" w:space="0" w:color="auto"/>
            <w:left w:val="none" w:sz="0" w:space="0" w:color="auto"/>
            <w:bottom w:val="none" w:sz="0" w:space="0" w:color="auto"/>
            <w:right w:val="none" w:sz="0" w:space="0" w:color="auto"/>
          </w:divBdr>
        </w:div>
      </w:divsChild>
    </w:div>
    <w:div w:id="178585812">
      <w:bodyDiv w:val="1"/>
      <w:marLeft w:val="0"/>
      <w:marRight w:val="0"/>
      <w:marTop w:val="0"/>
      <w:marBottom w:val="0"/>
      <w:divBdr>
        <w:top w:val="none" w:sz="0" w:space="0" w:color="auto"/>
        <w:left w:val="none" w:sz="0" w:space="0" w:color="auto"/>
        <w:bottom w:val="none" w:sz="0" w:space="0" w:color="auto"/>
        <w:right w:val="none" w:sz="0" w:space="0" w:color="auto"/>
      </w:divBdr>
    </w:div>
    <w:div w:id="185601958">
      <w:bodyDiv w:val="1"/>
      <w:marLeft w:val="0"/>
      <w:marRight w:val="0"/>
      <w:marTop w:val="0"/>
      <w:marBottom w:val="0"/>
      <w:divBdr>
        <w:top w:val="none" w:sz="0" w:space="0" w:color="auto"/>
        <w:left w:val="none" w:sz="0" w:space="0" w:color="auto"/>
        <w:bottom w:val="none" w:sz="0" w:space="0" w:color="auto"/>
        <w:right w:val="none" w:sz="0" w:space="0" w:color="auto"/>
      </w:divBdr>
    </w:div>
    <w:div w:id="243420490">
      <w:bodyDiv w:val="1"/>
      <w:marLeft w:val="0"/>
      <w:marRight w:val="0"/>
      <w:marTop w:val="0"/>
      <w:marBottom w:val="0"/>
      <w:divBdr>
        <w:top w:val="none" w:sz="0" w:space="0" w:color="auto"/>
        <w:left w:val="none" w:sz="0" w:space="0" w:color="auto"/>
        <w:bottom w:val="none" w:sz="0" w:space="0" w:color="auto"/>
        <w:right w:val="none" w:sz="0" w:space="0" w:color="auto"/>
      </w:divBdr>
    </w:div>
    <w:div w:id="308635696">
      <w:bodyDiv w:val="1"/>
      <w:marLeft w:val="0"/>
      <w:marRight w:val="0"/>
      <w:marTop w:val="0"/>
      <w:marBottom w:val="0"/>
      <w:divBdr>
        <w:top w:val="none" w:sz="0" w:space="0" w:color="auto"/>
        <w:left w:val="none" w:sz="0" w:space="0" w:color="auto"/>
        <w:bottom w:val="none" w:sz="0" w:space="0" w:color="auto"/>
        <w:right w:val="none" w:sz="0" w:space="0" w:color="auto"/>
      </w:divBdr>
    </w:div>
    <w:div w:id="389573470">
      <w:bodyDiv w:val="1"/>
      <w:marLeft w:val="0"/>
      <w:marRight w:val="0"/>
      <w:marTop w:val="0"/>
      <w:marBottom w:val="0"/>
      <w:divBdr>
        <w:top w:val="none" w:sz="0" w:space="0" w:color="auto"/>
        <w:left w:val="none" w:sz="0" w:space="0" w:color="auto"/>
        <w:bottom w:val="none" w:sz="0" w:space="0" w:color="auto"/>
        <w:right w:val="none" w:sz="0" w:space="0" w:color="auto"/>
      </w:divBdr>
    </w:div>
    <w:div w:id="612594843">
      <w:bodyDiv w:val="1"/>
      <w:marLeft w:val="0"/>
      <w:marRight w:val="0"/>
      <w:marTop w:val="0"/>
      <w:marBottom w:val="0"/>
      <w:divBdr>
        <w:top w:val="none" w:sz="0" w:space="0" w:color="auto"/>
        <w:left w:val="none" w:sz="0" w:space="0" w:color="auto"/>
        <w:bottom w:val="none" w:sz="0" w:space="0" w:color="auto"/>
        <w:right w:val="none" w:sz="0" w:space="0" w:color="auto"/>
      </w:divBdr>
    </w:div>
    <w:div w:id="797720346">
      <w:bodyDiv w:val="1"/>
      <w:marLeft w:val="0"/>
      <w:marRight w:val="0"/>
      <w:marTop w:val="0"/>
      <w:marBottom w:val="0"/>
      <w:divBdr>
        <w:top w:val="none" w:sz="0" w:space="0" w:color="auto"/>
        <w:left w:val="none" w:sz="0" w:space="0" w:color="auto"/>
        <w:bottom w:val="none" w:sz="0" w:space="0" w:color="auto"/>
        <w:right w:val="none" w:sz="0" w:space="0" w:color="auto"/>
      </w:divBdr>
      <w:divsChild>
        <w:div w:id="1925869000">
          <w:marLeft w:val="0"/>
          <w:marRight w:val="0"/>
          <w:marTop w:val="0"/>
          <w:marBottom w:val="0"/>
          <w:divBdr>
            <w:top w:val="none" w:sz="0" w:space="0" w:color="auto"/>
            <w:left w:val="none" w:sz="0" w:space="0" w:color="auto"/>
            <w:bottom w:val="none" w:sz="0" w:space="0" w:color="auto"/>
            <w:right w:val="none" w:sz="0" w:space="0" w:color="auto"/>
          </w:divBdr>
          <w:divsChild>
            <w:div w:id="100494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48655">
      <w:bodyDiv w:val="1"/>
      <w:marLeft w:val="0"/>
      <w:marRight w:val="0"/>
      <w:marTop w:val="0"/>
      <w:marBottom w:val="0"/>
      <w:divBdr>
        <w:top w:val="none" w:sz="0" w:space="0" w:color="auto"/>
        <w:left w:val="none" w:sz="0" w:space="0" w:color="auto"/>
        <w:bottom w:val="none" w:sz="0" w:space="0" w:color="auto"/>
        <w:right w:val="none" w:sz="0" w:space="0" w:color="auto"/>
      </w:divBdr>
    </w:div>
    <w:div w:id="837113645">
      <w:bodyDiv w:val="1"/>
      <w:marLeft w:val="0"/>
      <w:marRight w:val="0"/>
      <w:marTop w:val="0"/>
      <w:marBottom w:val="0"/>
      <w:divBdr>
        <w:top w:val="none" w:sz="0" w:space="0" w:color="auto"/>
        <w:left w:val="none" w:sz="0" w:space="0" w:color="auto"/>
        <w:bottom w:val="none" w:sz="0" w:space="0" w:color="auto"/>
        <w:right w:val="none" w:sz="0" w:space="0" w:color="auto"/>
      </w:divBdr>
      <w:divsChild>
        <w:div w:id="2084712606">
          <w:marLeft w:val="0"/>
          <w:marRight w:val="0"/>
          <w:marTop w:val="0"/>
          <w:marBottom w:val="0"/>
          <w:divBdr>
            <w:top w:val="single" w:sz="2" w:space="0" w:color="2E2E2E"/>
            <w:left w:val="single" w:sz="2" w:space="0" w:color="2E2E2E"/>
            <w:bottom w:val="single" w:sz="2" w:space="0" w:color="2E2E2E"/>
            <w:right w:val="single" w:sz="2" w:space="0" w:color="2E2E2E"/>
          </w:divBdr>
          <w:divsChild>
            <w:div w:id="2124810217">
              <w:marLeft w:val="0"/>
              <w:marRight w:val="0"/>
              <w:marTop w:val="0"/>
              <w:marBottom w:val="0"/>
              <w:divBdr>
                <w:top w:val="single" w:sz="6" w:space="0" w:color="C9C9C9"/>
                <w:left w:val="none" w:sz="0" w:space="0" w:color="auto"/>
                <w:bottom w:val="none" w:sz="0" w:space="0" w:color="auto"/>
                <w:right w:val="none" w:sz="0" w:space="0" w:color="auto"/>
              </w:divBdr>
              <w:divsChild>
                <w:div w:id="428166089">
                  <w:marLeft w:val="0"/>
                  <w:marRight w:val="0"/>
                  <w:marTop w:val="0"/>
                  <w:marBottom w:val="0"/>
                  <w:divBdr>
                    <w:top w:val="none" w:sz="0" w:space="0" w:color="auto"/>
                    <w:left w:val="none" w:sz="0" w:space="0" w:color="auto"/>
                    <w:bottom w:val="none" w:sz="0" w:space="0" w:color="auto"/>
                    <w:right w:val="none" w:sz="0" w:space="0" w:color="auto"/>
                  </w:divBdr>
                  <w:divsChild>
                    <w:div w:id="2006466862">
                      <w:marLeft w:val="0"/>
                      <w:marRight w:val="0"/>
                      <w:marTop w:val="0"/>
                      <w:marBottom w:val="0"/>
                      <w:divBdr>
                        <w:top w:val="none" w:sz="0" w:space="0" w:color="auto"/>
                        <w:left w:val="none" w:sz="0" w:space="0" w:color="auto"/>
                        <w:bottom w:val="none" w:sz="0" w:space="0" w:color="auto"/>
                        <w:right w:val="none" w:sz="0" w:space="0" w:color="auto"/>
                      </w:divBdr>
                      <w:divsChild>
                        <w:div w:id="1251961303">
                          <w:marLeft w:val="0"/>
                          <w:marRight w:val="0"/>
                          <w:marTop w:val="225"/>
                          <w:marBottom w:val="315"/>
                          <w:divBdr>
                            <w:top w:val="single" w:sz="6" w:space="0" w:color="D7D7D7"/>
                            <w:left w:val="single" w:sz="2" w:space="0" w:color="D7D7D7"/>
                            <w:bottom w:val="single" w:sz="6" w:space="0" w:color="D7D7D7"/>
                            <w:right w:val="single" w:sz="2" w:space="0" w:color="D7D7D7"/>
                          </w:divBdr>
                          <w:divsChild>
                            <w:div w:id="393890469">
                              <w:marLeft w:val="0"/>
                              <w:marRight w:val="0"/>
                              <w:marTop w:val="0"/>
                              <w:marBottom w:val="0"/>
                              <w:divBdr>
                                <w:top w:val="none" w:sz="0" w:space="0" w:color="auto"/>
                                <w:left w:val="none" w:sz="0" w:space="0" w:color="auto"/>
                                <w:bottom w:val="none" w:sz="0" w:space="0" w:color="auto"/>
                                <w:right w:val="none" w:sz="0" w:space="0" w:color="auto"/>
                              </w:divBdr>
                              <w:divsChild>
                                <w:div w:id="11790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288243">
      <w:bodyDiv w:val="1"/>
      <w:marLeft w:val="0"/>
      <w:marRight w:val="0"/>
      <w:marTop w:val="0"/>
      <w:marBottom w:val="0"/>
      <w:divBdr>
        <w:top w:val="none" w:sz="0" w:space="0" w:color="auto"/>
        <w:left w:val="none" w:sz="0" w:space="0" w:color="auto"/>
        <w:bottom w:val="none" w:sz="0" w:space="0" w:color="auto"/>
        <w:right w:val="none" w:sz="0" w:space="0" w:color="auto"/>
      </w:divBdr>
    </w:div>
    <w:div w:id="1126964916">
      <w:bodyDiv w:val="1"/>
      <w:marLeft w:val="0"/>
      <w:marRight w:val="0"/>
      <w:marTop w:val="0"/>
      <w:marBottom w:val="0"/>
      <w:divBdr>
        <w:top w:val="none" w:sz="0" w:space="0" w:color="auto"/>
        <w:left w:val="none" w:sz="0" w:space="0" w:color="auto"/>
        <w:bottom w:val="none" w:sz="0" w:space="0" w:color="auto"/>
        <w:right w:val="none" w:sz="0" w:space="0" w:color="auto"/>
      </w:divBdr>
      <w:divsChild>
        <w:div w:id="1498030784">
          <w:marLeft w:val="0"/>
          <w:marRight w:val="0"/>
          <w:marTop w:val="0"/>
          <w:marBottom w:val="0"/>
          <w:divBdr>
            <w:top w:val="none" w:sz="0" w:space="0" w:color="auto"/>
            <w:left w:val="none" w:sz="0" w:space="0" w:color="auto"/>
            <w:bottom w:val="none" w:sz="0" w:space="0" w:color="auto"/>
            <w:right w:val="none" w:sz="0" w:space="0" w:color="auto"/>
          </w:divBdr>
        </w:div>
        <w:div w:id="1151631034">
          <w:marLeft w:val="0"/>
          <w:marRight w:val="0"/>
          <w:marTop w:val="0"/>
          <w:marBottom w:val="0"/>
          <w:divBdr>
            <w:top w:val="none" w:sz="0" w:space="0" w:color="auto"/>
            <w:left w:val="none" w:sz="0" w:space="0" w:color="auto"/>
            <w:bottom w:val="none" w:sz="0" w:space="0" w:color="auto"/>
            <w:right w:val="none" w:sz="0" w:space="0" w:color="auto"/>
          </w:divBdr>
        </w:div>
      </w:divsChild>
    </w:div>
    <w:div w:id="1129274649">
      <w:bodyDiv w:val="1"/>
      <w:marLeft w:val="0"/>
      <w:marRight w:val="0"/>
      <w:marTop w:val="0"/>
      <w:marBottom w:val="0"/>
      <w:divBdr>
        <w:top w:val="none" w:sz="0" w:space="0" w:color="auto"/>
        <w:left w:val="none" w:sz="0" w:space="0" w:color="auto"/>
        <w:bottom w:val="none" w:sz="0" w:space="0" w:color="auto"/>
        <w:right w:val="none" w:sz="0" w:space="0" w:color="auto"/>
      </w:divBdr>
    </w:div>
    <w:div w:id="1180777808">
      <w:bodyDiv w:val="1"/>
      <w:marLeft w:val="0"/>
      <w:marRight w:val="0"/>
      <w:marTop w:val="0"/>
      <w:marBottom w:val="0"/>
      <w:divBdr>
        <w:top w:val="none" w:sz="0" w:space="0" w:color="auto"/>
        <w:left w:val="none" w:sz="0" w:space="0" w:color="auto"/>
        <w:bottom w:val="none" w:sz="0" w:space="0" w:color="auto"/>
        <w:right w:val="none" w:sz="0" w:space="0" w:color="auto"/>
      </w:divBdr>
    </w:div>
    <w:div w:id="1270547179">
      <w:bodyDiv w:val="1"/>
      <w:marLeft w:val="0"/>
      <w:marRight w:val="0"/>
      <w:marTop w:val="0"/>
      <w:marBottom w:val="0"/>
      <w:divBdr>
        <w:top w:val="none" w:sz="0" w:space="0" w:color="auto"/>
        <w:left w:val="none" w:sz="0" w:space="0" w:color="auto"/>
        <w:bottom w:val="none" w:sz="0" w:space="0" w:color="auto"/>
        <w:right w:val="none" w:sz="0" w:space="0" w:color="auto"/>
      </w:divBdr>
      <w:divsChild>
        <w:div w:id="371534696">
          <w:marLeft w:val="0"/>
          <w:marRight w:val="0"/>
          <w:marTop w:val="0"/>
          <w:marBottom w:val="0"/>
          <w:divBdr>
            <w:top w:val="single" w:sz="2" w:space="0" w:color="2E2E2E"/>
            <w:left w:val="single" w:sz="2" w:space="0" w:color="2E2E2E"/>
            <w:bottom w:val="single" w:sz="2" w:space="0" w:color="2E2E2E"/>
            <w:right w:val="single" w:sz="2" w:space="0" w:color="2E2E2E"/>
          </w:divBdr>
          <w:divsChild>
            <w:div w:id="1818691595">
              <w:marLeft w:val="0"/>
              <w:marRight w:val="0"/>
              <w:marTop w:val="0"/>
              <w:marBottom w:val="0"/>
              <w:divBdr>
                <w:top w:val="single" w:sz="6" w:space="0" w:color="C9C9C9"/>
                <w:left w:val="none" w:sz="0" w:space="0" w:color="auto"/>
                <w:bottom w:val="none" w:sz="0" w:space="0" w:color="auto"/>
                <w:right w:val="none" w:sz="0" w:space="0" w:color="auto"/>
              </w:divBdr>
              <w:divsChild>
                <w:div w:id="620847083">
                  <w:marLeft w:val="0"/>
                  <w:marRight w:val="0"/>
                  <w:marTop w:val="0"/>
                  <w:marBottom w:val="0"/>
                  <w:divBdr>
                    <w:top w:val="none" w:sz="0" w:space="0" w:color="auto"/>
                    <w:left w:val="none" w:sz="0" w:space="0" w:color="auto"/>
                    <w:bottom w:val="none" w:sz="0" w:space="0" w:color="auto"/>
                    <w:right w:val="none" w:sz="0" w:space="0" w:color="auto"/>
                  </w:divBdr>
                  <w:divsChild>
                    <w:div w:id="1763066949">
                      <w:marLeft w:val="0"/>
                      <w:marRight w:val="0"/>
                      <w:marTop w:val="0"/>
                      <w:marBottom w:val="0"/>
                      <w:divBdr>
                        <w:top w:val="none" w:sz="0" w:space="0" w:color="auto"/>
                        <w:left w:val="none" w:sz="0" w:space="0" w:color="auto"/>
                        <w:bottom w:val="none" w:sz="0" w:space="0" w:color="auto"/>
                        <w:right w:val="none" w:sz="0" w:space="0" w:color="auto"/>
                      </w:divBdr>
                      <w:divsChild>
                        <w:div w:id="12173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59263">
      <w:bodyDiv w:val="1"/>
      <w:marLeft w:val="0"/>
      <w:marRight w:val="0"/>
      <w:marTop w:val="0"/>
      <w:marBottom w:val="0"/>
      <w:divBdr>
        <w:top w:val="none" w:sz="0" w:space="0" w:color="auto"/>
        <w:left w:val="none" w:sz="0" w:space="0" w:color="auto"/>
        <w:bottom w:val="none" w:sz="0" w:space="0" w:color="auto"/>
        <w:right w:val="none" w:sz="0" w:space="0" w:color="auto"/>
      </w:divBdr>
    </w:div>
    <w:div w:id="1297225992">
      <w:bodyDiv w:val="1"/>
      <w:marLeft w:val="0"/>
      <w:marRight w:val="0"/>
      <w:marTop w:val="0"/>
      <w:marBottom w:val="0"/>
      <w:divBdr>
        <w:top w:val="none" w:sz="0" w:space="0" w:color="auto"/>
        <w:left w:val="none" w:sz="0" w:space="0" w:color="auto"/>
        <w:bottom w:val="none" w:sz="0" w:space="0" w:color="auto"/>
        <w:right w:val="none" w:sz="0" w:space="0" w:color="auto"/>
      </w:divBdr>
    </w:div>
    <w:div w:id="1301497860">
      <w:bodyDiv w:val="1"/>
      <w:marLeft w:val="0"/>
      <w:marRight w:val="0"/>
      <w:marTop w:val="0"/>
      <w:marBottom w:val="0"/>
      <w:divBdr>
        <w:top w:val="none" w:sz="0" w:space="0" w:color="auto"/>
        <w:left w:val="none" w:sz="0" w:space="0" w:color="auto"/>
        <w:bottom w:val="none" w:sz="0" w:space="0" w:color="auto"/>
        <w:right w:val="none" w:sz="0" w:space="0" w:color="auto"/>
      </w:divBdr>
    </w:div>
    <w:div w:id="1451237926">
      <w:bodyDiv w:val="1"/>
      <w:marLeft w:val="0"/>
      <w:marRight w:val="0"/>
      <w:marTop w:val="0"/>
      <w:marBottom w:val="0"/>
      <w:divBdr>
        <w:top w:val="none" w:sz="0" w:space="0" w:color="auto"/>
        <w:left w:val="none" w:sz="0" w:space="0" w:color="auto"/>
        <w:bottom w:val="none" w:sz="0" w:space="0" w:color="auto"/>
        <w:right w:val="none" w:sz="0" w:space="0" w:color="auto"/>
      </w:divBdr>
    </w:div>
    <w:div w:id="1606158569">
      <w:bodyDiv w:val="1"/>
      <w:marLeft w:val="0"/>
      <w:marRight w:val="0"/>
      <w:marTop w:val="0"/>
      <w:marBottom w:val="0"/>
      <w:divBdr>
        <w:top w:val="none" w:sz="0" w:space="0" w:color="auto"/>
        <w:left w:val="none" w:sz="0" w:space="0" w:color="auto"/>
        <w:bottom w:val="none" w:sz="0" w:space="0" w:color="auto"/>
        <w:right w:val="none" w:sz="0" w:space="0" w:color="auto"/>
      </w:divBdr>
    </w:div>
    <w:div w:id="1710062889">
      <w:bodyDiv w:val="1"/>
      <w:marLeft w:val="0"/>
      <w:marRight w:val="0"/>
      <w:marTop w:val="0"/>
      <w:marBottom w:val="0"/>
      <w:divBdr>
        <w:top w:val="none" w:sz="0" w:space="0" w:color="auto"/>
        <w:left w:val="none" w:sz="0" w:space="0" w:color="auto"/>
        <w:bottom w:val="none" w:sz="0" w:space="0" w:color="auto"/>
        <w:right w:val="none" w:sz="0" w:space="0" w:color="auto"/>
      </w:divBdr>
    </w:div>
    <w:div w:id="1740127985">
      <w:bodyDiv w:val="1"/>
      <w:marLeft w:val="0"/>
      <w:marRight w:val="0"/>
      <w:marTop w:val="0"/>
      <w:marBottom w:val="0"/>
      <w:divBdr>
        <w:top w:val="none" w:sz="0" w:space="0" w:color="auto"/>
        <w:left w:val="none" w:sz="0" w:space="0" w:color="auto"/>
        <w:bottom w:val="none" w:sz="0" w:space="0" w:color="auto"/>
        <w:right w:val="none" w:sz="0" w:space="0" w:color="auto"/>
      </w:divBdr>
    </w:div>
    <w:div w:id="1772583340">
      <w:bodyDiv w:val="1"/>
      <w:marLeft w:val="0"/>
      <w:marRight w:val="0"/>
      <w:marTop w:val="0"/>
      <w:marBottom w:val="0"/>
      <w:divBdr>
        <w:top w:val="none" w:sz="0" w:space="0" w:color="auto"/>
        <w:left w:val="none" w:sz="0" w:space="0" w:color="auto"/>
        <w:bottom w:val="none" w:sz="0" w:space="0" w:color="auto"/>
        <w:right w:val="none" w:sz="0" w:space="0" w:color="auto"/>
      </w:divBdr>
    </w:div>
    <w:div w:id="1836678821">
      <w:bodyDiv w:val="1"/>
      <w:marLeft w:val="0"/>
      <w:marRight w:val="0"/>
      <w:marTop w:val="0"/>
      <w:marBottom w:val="0"/>
      <w:divBdr>
        <w:top w:val="none" w:sz="0" w:space="0" w:color="auto"/>
        <w:left w:val="none" w:sz="0" w:space="0" w:color="auto"/>
        <w:bottom w:val="none" w:sz="0" w:space="0" w:color="auto"/>
        <w:right w:val="none" w:sz="0" w:space="0" w:color="auto"/>
      </w:divBdr>
      <w:divsChild>
        <w:div w:id="1447383205">
          <w:marLeft w:val="0"/>
          <w:marRight w:val="0"/>
          <w:marTop w:val="0"/>
          <w:marBottom w:val="0"/>
          <w:divBdr>
            <w:top w:val="none" w:sz="0" w:space="0" w:color="auto"/>
            <w:left w:val="none" w:sz="0" w:space="0" w:color="auto"/>
            <w:bottom w:val="none" w:sz="0" w:space="0" w:color="auto"/>
            <w:right w:val="none" w:sz="0" w:space="0" w:color="auto"/>
          </w:divBdr>
        </w:div>
        <w:div w:id="1852792791">
          <w:marLeft w:val="0"/>
          <w:marRight w:val="0"/>
          <w:marTop w:val="0"/>
          <w:marBottom w:val="0"/>
          <w:divBdr>
            <w:top w:val="none" w:sz="0" w:space="0" w:color="auto"/>
            <w:left w:val="none" w:sz="0" w:space="0" w:color="auto"/>
            <w:bottom w:val="none" w:sz="0" w:space="0" w:color="auto"/>
            <w:right w:val="none" w:sz="0" w:space="0" w:color="auto"/>
          </w:divBdr>
        </w:div>
      </w:divsChild>
    </w:div>
    <w:div w:id="1884750030">
      <w:bodyDiv w:val="1"/>
      <w:marLeft w:val="0"/>
      <w:marRight w:val="0"/>
      <w:marTop w:val="0"/>
      <w:marBottom w:val="0"/>
      <w:divBdr>
        <w:top w:val="none" w:sz="0" w:space="0" w:color="auto"/>
        <w:left w:val="none" w:sz="0" w:space="0" w:color="auto"/>
        <w:bottom w:val="none" w:sz="0" w:space="0" w:color="auto"/>
        <w:right w:val="none" w:sz="0" w:space="0" w:color="auto"/>
      </w:divBdr>
    </w:div>
    <w:div w:id="1959213198">
      <w:bodyDiv w:val="1"/>
      <w:marLeft w:val="0"/>
      <w:marRight w:val="0"/>
      <w:marTop w:val="0"/>
      <w:marBottom w:val="0"/>
      <w:divBdr>
        <w:top w:val="none" w:sz="0" w:space="0" w:color="auto"/>
        <w:left w:val="none" w:sz="0" w:space="0" w:color="auto"/>
        <w:bottom w:val="none" w:sz="0" w:space="0" w:color="auto"/>
        <w:right w:val="none" w:sz="0" w:space="0" w:color="auto"/>
      </w:divBdr>
      <w:divsChild>
        <w:div w:id="279917581">
          <w:marLeft w:val="0"/>
          <w:marRight w:val="0"/>
          <w:marTop w:val="0"/>
          <w:marBottom w:val="0"/>
          <w:divBdr>
            <w:top w:val="single" w:sz="2" w:space="0" w:color="2E2E2E"/>
            <w:left w:val="single" w:sz="2" w:space="0" w:color="2E2E2E"/>
            <w:bottom w:val="single" w:sz="2" w:space="0" w:color="2E2E2E"/>
            <w:right w:val="single" w:sz="2" w:space="0" w:color="2E2E2E"/>
          </w:divBdr>
          <w:divsChild>
            <w:div w:id="1605386035">
              <w:marLeft w:val="0"/>
              <w:marRight w:val="0"/>
              <w:marTop w:val="0"/>
              <w:marBottom w:val="0"/>
              <w:divBdr>
                <w:top w:val="single" w:sz="6" w:space="0" w:color="C9C9C9"/>
                <w:left w:val="none" w:sz="0" w:space="0" w:color="auto"/>
                <w:bottom w:val="none" w:sz="0" w:space="0" w:color="auto"/>
                <w:right w:val="none" w:sz="0" w:space="0" w:color="auto"/>
              </w:divBdr>
              <w:divsChild>
                <w:div w:id="1444228532">
                  <w:marLeft w:val="0"/>
                  <w:marRight w:val="0"/>
                  <w:marTop w:val="0"/>
                  <w:marBottom w:val="0"/>
                  <w:divBdr>
                    <w:top w:val="none" w:sz="0" w:space="0" w:color="auto"/>
                    <w:left w:val="none" w:sz="0" w:space="0" w:color="auto"/>
                    <w:bottom w:val="none" w:sz="0" w:space="0" w:color="auto"/>
                    <w:right w:val="none" w:sz="0" w:space="0" w:color="auto"/>
                  </w:divBdr>
                  <w:divsChild>
                    <w:div w:id="1078936930">
                      <w:marLeft w:val="0"/>
                      <w:marRight w:val="0"/>
                      <w:marTop w:val="0"/>
                      <w:marBottom w:val="0"/>
                      <w:divBdr>
                        <w:top w:val="none" w:sz="0" w:space="0" w:color="auto"/>
                        <w:left w:val="none" w:sz="0" w:space="0" w:color="auto"/>
                        <w:bottom w:val="none" w:sz="0" w:space="0" w:color="auto"/>
                        <w:right w:val="none" w:sz="0" w:space="0" w:color="auto"/>
                      </w:divBdr>
                      <w:divsChild>
                        <w:div w:id="550306444">
                          <w:marLeft w:val="0"/>
                          <w:marRight w:val="0"/>
                          <w:marTop w:val="225"/>
                          <w:marBottom w:val="315"/>
                          <w:divBdr>
                            <w:top w:val="single" w:sz="6" w:space="0" w:color="D7D7D7"/>
                            <w:left w:val="single" w:sz="2" w:space="0" w:color="D7D7D7"/>
                            <w:bottom w:val="single" w:sz="6" w:space="0" w:color="D7D7D7"/>
                            <w:right w:val="single" w:sz="2" w:space="0" w:color="D7D7D7"/>
                          </w:divBdr>
                          <w:divsChild>
                            <w:div w:id="665980700">
                              <w:marLeft w:val="0"/>
                              <w:marRight w:val="0"/>
                              <w:marTop w:val="0"/>
                              <w:marBottom w:val="0"/>
                              <w:divBdr>
                                <w:top w:val="none" w:sz="0" w:space="0" w:color="auto"/>
                                <w:left w:val="none" w:sz="0" w:space="0" w:color="auto"/>
                                <w:bottom w:val="none" w:sz="0" w:space="0" w:color="auto"/>
                                <w:right w:val="none" w:sz="0" w:space="0" w:color="auto"/>
                              </w:divBdr>
                              <w:divsChild>
                                <w:div w:id="18148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25688">
      <w:bodyDiv w:val="1"/>
      <w:marLeft w:val="0"/>
      <w:marRight w:val="0"/>
      <w:marTop w:val="0"/>
      <w:marBottom w:val="0"/>
      <w:divBdr>
        <w:top w:val="none" w:sz="0" w:space="0" w:color="auto"/>
        <w:left w:val="none" w:sz="0" w:space="0" w:color="auto"/>
        <w:bottom w:val="none" w:sz="0" w:space="0" w:color="auto"/>
        <w:right w:val="none" w:sz="0" w:space="0" w:color="auto"/>
      </w:divBdr>
    </w:div>
    <w:div w:id="2112161355">
      <w:bodyDiv w:val="1"/>
      <w:marLeft w:val="0"/>
      <w:marRight w:val="0"/>
      <w:marTop w:val="0"/>
      <w:marBottom w:val="0"/>
      <w:divBdr>
        <w:top w:val="none" w:sz="0" w:space="0" w:color="auto"/>
        <w:left w:val="none" w:sz="0" w:space="0" w:color="auto"/>
        <w:bottom w:val="none" w:sz="0" w:space="0" w:color="auto"/>
        <w:right w:val="none" w:sz="0" w:space="0" w:color="auto"/>
      </w:divBdr>
      <w:divsChild>
        <w:div w:id="1118525179">
          <w:marLeft w:val="0"/>
          <w:marRight w:val="0"/>
          <w:marTop w:val="0"/>
          <w:marBottom w:val="0"/>
          <w:divBdr>
            <w:top w:val="single" w:sz="2" w:space="0" w:color="2E2E2E"/>
            <w:left w:val="single" w:sz="2" w:space="0" w:color="2E2E2E"/>
            <w:bottom w:val="single" w:sz="2" w:space="0" w:color="2E2E2E"/>
            <w:right w:val="single" w:sz="2" w:space="0" w:color="2E2E2E"/>
          </w:divBdr>
          <w:divsChild>
            <w:div w:id="470249725">
              <w:marLeft w:val="0"/>
              <w:marRight w:val="0"/>
              <w:marTop w:val="0"/>
              <w:marBottom w:val="0"/>
              <w:divBdr>
                <w:top w:val="single" w:sz="6" w:space="0" w:color="C9C9C9"/>
                <w:left w:val="none" w:sz="0" w:space="0" w:color="auto"/>
                <w:bottom w:val="none" w:sz="0" w:space="0" w:color="auto"/>
                <w:right w:val="none" w:sz="0" w:space="0" w:color="auto"/>
              </w:divBdr>
              <w:divsChild>
                <w:div w:id="1500006009">
                  <w:marLeft w:val="0"/>
                  <w:marRight w:val="0"/>
                  <w:marTop w:val="0"/>
                  <w:marBottom w:val="0"/>
                  <w:divBdr>
                    <w:top w:val="none" w:sz="0" w:space="0" w:color="auto"/>
                    <w:left w:val="none" w:sz="0" w:space="0" w:color="auto"/>
                    <w:bottom w:val="none" w:sz="0" w:space="0" w:color="auto"/>
                    <w:right w:val="none" w:sz="0" w:space="0" w:color="auto"/>
                  </w:divBdr>
                  <w:divsChild>
                    <w:div w:id="1171678658">
                      <w:marLeft w:val="0"/>
                      <w:marRight w:val="0"/>
                      <w:marTop w:val="0"/>
                      <w:marBottom w:val="0"/>
                      <w:divBdr>
                        <w:top w:val="none" w:sz="0" w:space="0" w:color="auto"/>
                        <w:left w:val="none" w:sz="0" w:space="0" w:color="auto"/>
                        <w:bottom w:val="none" w:sz="0" w:space="0" w:color="auto"/>
                        <w:right w:val="none" w:sz="0" w:space="0" w:color="auto"/>
                      </w:divBdr>
                      <w:divsChild>
                        <w:div w:id="18556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0.wmf"/><Relationship Id="rId47" Type="http://schemas.openxmlformats.org/officeDocument/2006/relationships/oleObject" Target="embeddings/oleObject10.bin"/><Relationship Id="rId63" Type="http://schemas.openxmlformats.org/officeDocument/2006/relationships/image" Target="media/image32.png"/><Relationship Id="rId68" Type="http://schemas.openxmlformats.org/officeDocument/2006/relationships/image" Target="media/image35.png"/><Relationship Id="rId84" Type="http://schemas.openxmlformats.org/officeDocument/2006/relationships/image" Target="media/image50.png"/><Relationship Id="rId89" Type="http://schemas.openxmlformats.org/officeDocument/2006/relationships/image" Target="media/image55.tiff"/><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3.wmf"/><Relationship Id="rId107" Type="http://schemas.openxmlformats.org/officeDocument/2006/relationships/hyperlink" Target="http://www.qld.gov.au/environment/coasts-waterways/beach/storm/" TargetMode="Externa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oleObject" Target="embeddings/oleObject3.bin"/><Relationship Id="rId37" Type="http://schemas.openxmlformats.org/officeDocument/2006/relationships/oleObject" Target="embeddings/oleObject5.bin"/><Relationship Id="rId40" Type="http://schemas.openxmlformats.org/officeDocument/2006/relationships/image" Target="media/image19.wmf"/><Relationship Id="rId45" Type="http://schemas.openxmlformats.org/officeDocument/2006/relationships/oleObject" Target="embeddings/oleObject9.bin"/><Relationship Id="rId53" Type="http://schemas.openxmlformats.org/officeDocument/2006/relationships/oleObject" Target="embeddings/oleObject13.bin"/><Relationship Id="rId58" Type="http://schemas.openxmlformats.org/officeDocument/2006/relationships/image" Target="cid:283caa38-910c-4d8e-8747-70f49a93a763@unimelb.edu.au" TargetMode="External"/><Relationship Id="rId66" Type="http://schemas.openxmlformats.org/officeDocument/2006/relationships/image" Target="media/image34.png"/><Relationship Id="rId74" Type="http://schemas.openxmlformats.org/officeDocument/2006/relationships/image" Target="media/image40.png"/><Relationship Id="rId79" Type="http://schemas.openxmlformats.org/officeDocument/2006/relationships/image" Target="media/image45.emf"/><Relationship Id="rId87" Type="http://schemas.openxmlformats.org/officeDocument/2006/relationships/image" Target="media/image53.png"/><Relationship Id="rId102" Type="http://schemas.openxmlformats.org/officeDocument/2006/relationships/hyperlink" Target="http://www.reefcheckaustralia.org/" TargetMode="External"/><Relationship Id="rId110" Type="http://schemas.microsoft.com/office/2007/relationships/stylesWithEffects" Target="stylesWithEffects.xml"/><Relationship Id="rId5" Type="http://schemas.openxmlformats.org/officeDocument/2006/relationships/styles" Target="styles.xml"/><Relationship Id="rId61" Type="http://schemas.openxmlformats.org/officeDocument/2006/relationships/image" Target="media/image31.png"/><Relationship Id="rId82" Type="http://schemas.openxmlformats.org/officeDocument/2006/relationships/image" Target="media/image48.png"/><Relationship Id="rId90" Type="http://schemas.openxmlformats.org/officeDocument/2006/relationships/image" Target="media/image56.png"/><Relationship Id="rId95" Type="http://schemas.openxmlformats.org/officeDocument/2006/relationships/hyperlink" Target="http://www.gbrmpa.gov.au/managing-the-reef/how-the-reefs-managed/reef-2050-marine-monitoring-program/water-quality-monitoring" TargetMode="External"/><Relationship Id="rId19" Type="http://schemas.openxmlformats.org/officeDocument/2006/relationships/hyperlink" Target="http://www.NQBP.com.au"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wmf"/><Relationship Id="rId30" Type="http://schemas.openxmlformats.org/officeDocument/2006/relationships/oleObject" Target="embeddings/oleObject2.bin"/><Relationship Id="rId35" Type="http://schemas.openxmlformats.org/officeDocument/2006/relationships/image" Target="media/image16.png"/><Relationship Id="rId43" Type="http://schemas.openxmlformats.org/officeDocument/2006/relationships/oleObject" Target="embeddings/oleObject8.bin"/><Relationship Id="rId48" Type="http://schemas.openxmlformats.org/officeDocument/2006/relationships/image" Target="media/image23.wmf"/><Relationship Id="rId56" Type="http://schemas.openxmlformats.org/officeDocument/2006/relationships/image" Target="media/image28.tiff"/><Relationship Id="rId64" Type="http://schemas.openxmlformats.org/officeDocument/2006/relationships/image" Target="cid:f577213c-02b8-4da2-a8e9-37175774d20a@unimelb.edu.au" TargetMode="External"/><Relationship Id="rId69" Type="http://schemas.openxmlformats.org/officeDocument/2006/relationships/image" Target="media/image36.png"/><Relationship Id="rId77" Type="http://schemas.openxmlformats.org/officeDocument/2006/relationships/image" Target="media/image43.emf"/><Relationship Id="rId100" Type="http://schemas.openxmlformats.org/officeDocument/2006/relationships/hyperlink" Target="http://www.nerptropical.edu.au/sites/default/files/publications/files/8.1%20NERP%20Factsheet.pdf" TargetMode="External"/><Relationship Id="rId105" Type="http://schemas.openxmlformats.org/officeDocument/2006/relationships/hyperlink" Target="http://www.cmar.csiro.au/remotesensing/reeftemp/web/ReefTemp.htm" TargetMode="External"/><Relationship Id="rId8" Type="http://schemas.openxmlformats.org/officeDocument/2006/relationships/footnotes" Target="footnotes.xml"/><Relationship Id="rId51" Type="http://schemas.openxmlformats.org/officeDocument/2006/relationships/oleObject" Target="embeddings/oleObject12.bin"/><Relationship Id="rId72" Type="http://schemas.openxmlformats.org/officeDocument/2006/relationships/image" Target="media/image39.png"/><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hyperlink" Target="http://www.nqbp.com.au/port-of-hay-point-fact-sheet/" TargetMode="External"/><Relationship Id="rId98" Type="http://schemas.openxmlformats.org/officeDocument/2006/relationships/hyperlink" Target="http://www.gbrmpa.gov.au/managing-the-reef/how-the-reefs-managed/eye-on-the-reef/tourism-weekly-monitoring-survey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nqbp.com.au/hay-point/" TargetMode="External"/><Relationship Id="rId25" Type="http://schemas.openxmlformats.org/officeDocument/2006/relationships/image" Target="media/image10.png"/><Relationship Id="rId33" Type="http://schemas.openxmlformats.org/officeDocument/2006/relationships/image" Target="media/image15.wmf"/><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image" Target="media/image30.png"/><Relationship Id="rId67" Type="http://schemas.openxmlformats.org/officeDocument/2006/relationships/image" Target="cid:b2756f27-05c0-4602-a738-3192eeffb6ab@unimelb.edu.au" TargetMode="External"/><Relationship Id="rId103" Type="http://schemas.openxmlformats.org/officeDocument/2006/relationships/hyperlink" Target="https://www.daff.qld.gov.au/fisheries/services/shark-control-program" TargetMode="External"/><Relationship Id="rId108"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oleObject" Target="embeddings/oleObject7.bin"/><Relationship Id="rId54" Type="http://schemas.openxmlformats.org/officeDocument/2006/relationships/image" Target="media/image26.png"/><Relationship Id="rId62" Type="http://schemas.openxmlformats.org/officeDocument/2006/relationships/image" Target="cid:eb4c22a9-6c8d-408f-bc99-45b9f2cc3ffd@unimelb.edu.au" TargetMode="External"/><Relationship Id="rId70" Type="http://schemas.openxmlformats.org/officeDocument/2006/relationships/image" Target="media/image37.pn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hyperlink" Target="http://www.gbrmpa.gov.au/managing-the-reef/how-the-reefs-managed/eye-on-the-reef/report-sighting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gif"/><Relationship Id="rId23" Type="http://schemas.openxmlformats.org/officeDocument/2006/relationships/image" Target="media/image8.png"/><Relationship Id="rId28" Type="http://schemas.openxmlformats.org/officeDocument/2006/relationships/oleObject" Target="embeddings/oleObject1.bin"/><Relationship Id="rId36" Type="http://schemas.openxmlformats.org/officeDocument/2006/relationships/image" Target="media/image17.wmf"/><Relationship Id="rId49" Type="http://schemas.openxmlformats.org/officeDocument/2006/relationships/oleObject" Target="embeddings/oleObject11.bin"/><Relationship Id="rId57" Type="http://schemas.openxmlformats.org/officeDocument/2006/relationships/image" Target="media/image29.png"/><Relationship Id="rId106" Type="http://schemas.openxmlformats.org/officeDocument/2006/relationships/hyperlink" Target="http://www.ehp.qld.gov.au/coastal/monitoring/waves/index.php" TargetMode="External"/><Relationship Id="rId10" Type="http://schemas.openxmlformats.org/officeDocument/2006/relationships/image" Target="media/image1.jpeg"/><Relationship Id="rId31" Type="http://schemas.openxmlformats.org/officeDocument/2006/relationships/image" Target="media/image14.wmf"/><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cid:425caeba-70f4-46fd-b66c-a6ac25652be5@unimelb.edu.au" TargetMode="External"/><Relationship Id="rId65" Type="http://schemas.openxmlformats.org/officeDocument/2006/relationships/image" Target="media/image33.png"/><Relationship Id="rId73" Type="http://schemas.openxmlformats.org/officeDocument/2006/relationships/footer" Target="footer3.xml"/><Relationship Id="rId78" Type="http://schemas.openxmlformats.org/officeDocument/2006/relationships/image" Target="media/image44.emf"/><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hyperlink" Target="http://www.gbrmpa.gov.au/managing-the-reef/how-the-reefs-managed/reef-2050-marine-monitoring-program/inshore-coral-reef-monitoring" TargetMode="External"/><Relationship Id="rId99" Type="http://schemas.openxmlformats.org/officeDocument/2006/relationships/hyperlink" Target="http://www.gbrmpa.gov.au/managing-the-reef/how-the-reefs-managed/eye-on-the-reef/reef-health-and-impact-survey" TargetMode="External"/><Relationship Id="rId101" Type="http://schemas.openxmlformats.org/officeDocument/2006/relationships/hyperlink" Target="http://www.nqbp.com.au/abbot-point/"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marinetraffic.com" TargetMode="External"/><Relationship Id="rId39" Type="http://schemas.openxmlformats.org/officeDocument/2006/relationships/oleObject" Target="embeddings/oleObject6.bin"/><Relationship Id="rId109" Type="http://schemas.openxmlformats.org/officeDocument/2006/relationships/theme" Target="theme/theme1.xml"/><Relationship Id="rId34" Type="http://schemas.openxmlformats.org/officeDocument/2006/relationships/oleObject" Target="embeddings/oleObject4.bin"/><Relationship Id="rId50" Type="http://schemas.openxmlformats.org/officeDocument/2006/relationships/image" Target="media/image24.wmf"/><Relationship Id="rId55" Type="http://schemas.openxmlformats.org/officeDocument/2006/relationships/image" Target="media/image27.png"/><Relationship Id="rId76" Type="http://schemas.openxmlformats.org/officeDocument/2006/relationships/image" Target="media/image42.png"/><Relationship Id="rId97" Type="http://schemas.openxmlformats.org/officeDocument/2006/relationships/hyperlink" Target="http://www.gbrmpa.gov.au/managing-the-reef/how-the-reefs-managed/eye-on-the-reef/the-rapid-monitoring-survey" TargetMode="External"/><Relationship Id="rId104" Type="http://schemas.openxmlformats.org/officeDocument/2006/relationships/hyperlink" Target="http://www.ehp.qld.gov.au/wildlife/caring-for-wildlife/strandnet-reports.html" TargetMode="External"/><Relationship Id="rId7" Type="http://schemas.openxmlformats.org/officeDocument/2006/relationships/webSettings" Target="webSettings.xml"/><Relationship Id="rId71" Type="http://schemas.openxmlformats.org/officeDocument/2006/relationships/image" Target="media/image38.png"/><Relationship Id="rId92" Type="http://schemas.openxmlformats.org/officeDocument/2006/relationships/hyperlink" Target="http://www.environment.gov.au/marine/gbr/reef20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16C7A9-0537-4864-A67B-E893ED6FAA09}">
  <ds:schemaRefs>
    <ds:schemaRef ds:uri="http://schemas.openxmlformats.org/officeDocument/2006/bibliography"/>
  </ds:schemaRefs>
</ds:datastoreItem>
</file>

<file path=customXml/itemProps3.xml><?xml version="1.0" encoding="utf-8"?>
<ds:datastoreItem xmlns:ds="http://schemas.openxmlformats.org/officeDocument/2006/customXml" ds:itemID="{88D9E5BF-0A39-45E4-BBD7-26403334B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82</Pages>
  <Words>28921</Words>
  <Characters>164854</Characters>
  <Application>Microsoft Office Word</Application>
  <DocSecurity>0</DocSecurity>
  <Lines>1373</Lines>
  <Paragraphs>386</Paragraphs>
  <ScaleCrop>false</ScaleCrop>
  <HeadingPairs>
    <vt:vector size="2" baseType="variant">
      <vt:variant>
        <vt:lpstr>Title</vt:lpstr>
      </vt:variant>
      <vt:variant>
        <vt:i4>1</vt:i4>
      </vt:variant>
    </vt:vector>
  </HeadingPairs>
  <TitlesOfParts>
    <vt:vector size="1" baseType="lpstr">
      <vt:lpstr>Integrated monitoring, modelling and management – demonstration case for the Townsville section of the GBRWHA</vt:lpstr>
    </vt:vector>
  </TitlesOfParts>
  <Company>Australian Institute of Marine Science</Company>
  <LinksUpToDate>false</LinksUpToDate>
  <CharactersWithSpaces>193389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monitoring, modelling and management of the GBRWHA – demonstration case for the Mackay region</dc:title>
  <dc:creator>Australian Institute of Marine Science</dc:creator>
  <cp:lastModifiedBy>Rebecca Durack</cp:lastModifiedBy>
  <cp:revision>2</cp:revision>
  <cp:lastPrinted>2014-12-19T04:59:00Z</cp:lastPrinted>
  <dcterms:created xsi:type="dcterms:W3CDTF">2015-04-10T04:20:00Z</dcterms:created>
  <dcterms:modified xsi:type="dcterms:W3CDTF">2015-04-10T04:20:00Z</dcterms:modified>
</cp:coreProperties>
</file>