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2F0" w:rsidRDefault="006F52F0" w:rsidP="008A7A8F">
      <w:pPr>
        <w:rPr>
          <w:rFonts w:ascii="Century Gothic" w:hAnsi="Century Gothic" w:cstheme="minorHAnsi"/>
          <w:b/>
          <w:color w:val="07601F"/>
          <w:sz w:val="36"/>
          <w:szCs w:val="36"/>
        </w:rPr>
      </w:pPr>
      <w:bookmarkStart w:id="0" w:name="_Toc319068435"/>
      <w:bookmarkStart w:id="1" w:name="_Toc319068756"/>
    </w:p>
    <w:p w:rsidR="008A7A8F" w:rsidRDefault="008A7A8F" w:rsidP="008A7A8F">
      <w:pPr>
        <w:rPr>
          <w:rFonts w:ascii="Century Gothic" w:hAnsi="Century Gothic" w:cstheme="minorHAnsi"/>
          <w:b/>
          <w:color w:val="07601F"/>
          <w:sz w:val="36"/>
          <w:szCs w:val="36"/>
        </w:rPr>
      </w:pPr>
    </w:p>
    <w:p w:rsidR="008A7A8F" w:rsidRDefault="008A7A8F" w:rsidP="008A7A8F">
      <w:pPr>
        <w:rPr>
          <w:rFonts w:ascii="Century Gothic" w:hAnsi="Century Gothic" w:cstheme="minorHAnsi"/>
          <w:b/>
          <w:color w:val="07601F"/>
          <w:sz w:val="36"/>
          <w:szCs w:val="36"/>
        </w:rPr>
      </w:pPr>
    </w:p>
    <w:p w:rsidR="008A7A8F" w:rsidRDefault="008A7A8F" w:rsidP="008A7A8F">
      <w:pPr>
        <w:rPr>
          <w:rFonts w:ascii="Century Gothic" w:hAnsi="Century Gothic" w:cstheme="minorHAnsi"/>
          <w:b/>
          <w:color w:val="07601F"/>
          <w:sz w:val="36"/>
          <w:szCs w:val="36"/>
        </w:rPr>
      </w:pPr>
    </w:p>
    <w:p w:rsidR="008A7A8F" w:rsidRDefault="008A7A8F" w:rsidP="008A7A8F">
      <w:pPr>
        <w:rPr>
          <w:rFonts w:ascii="Century Gothic" w:hAnsi="Century Gothic" w:cstheme="minorHAnsi"/>
          <w:b/>
          <w:color w:val="07601F"/>
          <w:sz w:val="36"/>
          <w:szCs w:val="36"/>
        </w:rPr>
      </w:pPr>
    </w:p>
    <w:p w:rsidR="008A7A8F" w:rsidRDefault="008A7A8F" w:rsidP="008A7A8F">
      <w:pPr>
        <w:rPr>
          <w:rFonts w:ascii="Century Gothic" w:hAnsi="Century Gothic" w:cstheme="minorHAnsi"/>
          <w:b/>
          <w:color w:val="07601F"/>
          <w:sz w:val="36"/>
          <w:szCs w:val="36"/>
        </w:rPr>
      </w:pPr>
    </w:p>
    <w:p w:rsidR="00822EDE" w:rsidRDefault="00822EDE" w:rsidP="00822EDE">
      <w:pPr>
        <w:jc w:val="center"/>
        <w:rPr>
          <w:rFonts w:ascii="Century Gothic" w:hAnsi="Century Gothic" w:cstheme="minorHAnsi"/>
          <w:b/>
          <w:color w:val="07601F"/>
          <w:sz w:val="36"/>
          <w:szCs w:val="36"/>
        </w:rPr>
      </w:pPr>
      <w:r>
        <w:rPr>
          <w:rFonts w:ascii="Century Gothic" w:hAnsi="Century Gothic" w:cstheme="minorHAnsi"/>
          <w:b/>
          <w:color w:val="07601F"/>
          <w:sz w:val="36"/>
          <w:szCs w:val="36"/>
        </w:rPr>
        <w:t>Integrated planning for the use, carryover and trade of Commonwealth environmental water</w:t>
      </w:r>
    </w:p>
    <w:p w:rsidR="008A7A8F" w:rsidRDefault="008A7A8F" w:rsidP="008A7A8F">
      <w:pPr>
        <w:jc w:val="center"/>
        <w:rPr>
          <w:rFonts w:ascii="Century Gothic" w:hAnsi="Century Gothic" w:cstheme="minorHAnsi"/>
          <w:b/>
          <w:color w:val="07601F"/>
          <w:sz w:val="36"/>
          <w:szCs w:val="36"/>
        </w:rPr>
      </w:pPr>
    </w:p>
    <w:p w:rsidR="008A7A8F" w:rsidRDefault="008A7A8F" w:rsidP="008A7A8F">
      <w:pPr>
        <w:jc w:val="center"/>
        <w:rPr>
          <w:rFonts w:ascii="Century Gothic" w:hAnsi="Century Gothic" w:cstheme="minorHAnsi"/>
          <w:b/>
          <w:color w:val="07601F"/>
          <w:sz w:val="36"/>
          <w:szCs w:val="36"/>
        </w:rPr>
      </w:pPr>
      <w:r>
        <w:rPr>
          <w:rFonts w:ascii="Century Gothic" w:hAnsi="Century Gothic" w:cstheme="minorHAnsi"/>
          <w:b/>
          <w:color w:val="07601F"/>
          <w:sz w:val="36"/>
          <w:szCs w:val="36"/>
        </w:rPr>
        <w:t>Lower Murray-Darling Region</w:t>
      </w:r>
    </w:p>
    <w:p w:rsidR="00822EDE" w:rsidRDefault="00822EDE" w:rsidP="008A7A8F">
      <w:pPr>
        <w:jc w:val="center"/>
        <w:rPr>
          <w:rFonts w:ascii="Century Gothic" w:hAnsi="Century Gothic" w:cstheme="minorHAnsi"/>
          <w:b/>
          <w:color w:val="07601F"/>
          <w:sz w:val="36"/>
          <w:szCs w:val="36"/>
        </w:rPr>
      </w:pPr>
    </w:p>
    <w:p w:rsidR="00822EDE" w:rsidRDefault="00822EDE" w:rsidP="008A7A8F">
      <w:pPr>
        <w:jc w:val="center"/>
      </w:pPr>
      <w:r>
        <w:rPr>
          <w:rFonts w:ascii="Century Gothic" w:hAnsi="Century Gothic" w:cstheme="minorHAnsi"/>
          <w:b/>
          <w:color w:val="07601F"/>
          <w:sz w:val="36"/>
          <w:szCs w:val="36"/>
        </w:rPr>
        <w:t>2015–16</w:t>
      </w:r>
    </w:p>
    <w:p w:rsidR="008A7A8F" w:rsidRDefault="008A7A8F" w:rsidP="008A7A8F">
      <w:pPr>
        <w:rPr>
          <w:rFonts w:ascii="Century Gothic" w:hAnsi="Century Gothic" w:cstheme="minorHAnsi"/>
          <w:b/>
          <w:color w:val="07601F"/>
          <w:sz w:val="36"/>
          <w:szCs w:val="36"/>
        </w:rPr>
      </w:pPr>
    </w:p>
    <w:p w:rsidR="00822EDE" w:rsidRDefault="00822EDE" w:rsidP="008A7A8F">
      <w:pPr>
        <w:rPr>
          <w:rFonts w:ascii="Century Gothic" w:hAnsi="Century Gothic" w:cstheme="minorHAnsi"/>
          <w:b/>
          <w:color w:val="07601F"/>
          <w:sz w:val="36"/>
          <w:szCs w:val="36"/>
        </w:rPr>
      </w:pPr>
    </w:p>
    <w:p w:rsidR="00822EDE" w:rsidRDefault="00822EDE" w:rsidP="00822EDE">
      <w:pPr>
        <w:jc w:val="center"/>
        <w:rPr>
          <w:rFonts w:ascii="Century Gothic" w:hAnsi="Century Gothic" w:cstheme="minorHAnsi"/>
          <w:b/>
          <w:color w:val="07601F"/>
          <w:sz w:val="36"/>
          <w:szCs w:val="36"/>
        </w:rPr>
        <w:sectPr w:rsidR="00822EDE" w:rsidSect="009535AA">
          <w:headerReference w:type="even" r:id="rId12"/>
          <w:footerReference w:type="default" r:id="rId13"/>
          <w:pgSz w:w="11906" w:h="16838"/>
          <w:pgMar w:top="0" w:right="707" w:bottom="709" w:left="851" w:header="708" w:footer="0" w:gutter="0"/>
          <w:cols w:space="708"/>
          <w:titlePg/>
          <w:docGrid w:linePitch="360"/>
        </w:sectPr>
      </w:pPr>
    </w:p>
    <w:p w:rsidR="00060C7A" w:rsidRPr="008D2B6B" w:rsidRDefault="00060C7A" w:rsidP="009535AA">
      <w:pPr>
        <w:ind w:hanging="851"/>
        <w:rPr>
          <w:rFonts w:ascii="Century Gothic" w:hAnsi="Century Gothic" w:cstheme="minorHAnsi"/>
          <w:b/>
          <w:color w:val="07601F"/>
          <w:sz w:val="36"/>
          <w:szCs w:val="36"/>
        </w:rPr>
      </w:pPr>
    </w:p>
    <w:p w:rsidR="00060C7A" w:rsidRPr="008D2B6B" w:rsidRDefault="00060C7A" w:rsidP="009535AA">
      <w:pPr>
        <w:rPr>
          <w:rFonts w:ascii="Century Gothic" w:hAnsi="Century Gothic" w:cstheme="minorHAnsi"/>
          <w:b/>
          <w:color w:val="07601F"/>
          <w:sz w:val="44"/>
          <w:szCs w:val="44"/>
        </w:rPr>
      </w:pPr>
    </w:p>
    <w:p w:rsidR="009535AA" w:rsidRDefault="009535AA" w:rsidP="00060C7A">
      <w:pPr>
        <w:rPr>
          <w:rFonts w:ascii="Century Gothic" w:hAnsi="Century Gothic"/>
          <w:b/>
          <w:color w:val="0070C0"/>
          <w:sz w:val="36"/>
          <w:szCs w:val="36"/>
        </w:rPr>
      </w:pPr>
    </w:p>
    <w:p w:rsidR="009535AA" w:rsidRDefault="009535AA" w:rsidP="00060C7A">
      <w:pPr>
        <w:rPr>
          <w:rFonts w:ascii="Century Gothic" w:hAnsi="Century Gothic"/>
          <w:b/>
          <w:color w:val="0070C0"/>
          <w:sz w:val="36"/>
          <w:szCs w:val="36"/>
        </w:rPr>
      </w:pPr>
    </w:p>
    <w:p w:rsidR="00060C7A" w:rsidRDefault="00060C7A" w:rsidP="00060C7A">
      <w:pPr>
        <w:rPr>
          <w:rFonts w:ascii="Century Gothic" w:hAnsi="Century Gothic"/>
          <w:color w:val="5F497A" w:themeColor="accent4" w:themeShade="BF"/>
        </w:rPr>
      </w:pPr>
      <w:r w:rsidRPr="00B878DA">
        <w:rPr>
          <w:rFonts w:ascii="Century Gothic" w:hAnsi="Century Gothic"/>
          <w:color w:val="5F497A" w:themeColor="accent4" w:themeShade="BF"/>
        </w:rPr>
        <w:t>Front c</w:t>
      </w:r>
      <w:r w:rsidRPr="00E25185">
        <w:rPr>
          <w:rFonts w:ascii="Century Gothic" w:hAnsi="Century Gothic"/>
          <w:color w:val="5F497A" w:themeColor="accent4" w:themeShade="BF"/>
        </w:rPr>
        <w:t>over image credit:</w:t>
      </w:r>
      <w:r w:rsidRPr="00E25185">
        <w:rPr>
          <w:rFonts w:ascii="Century Gothic" w:hAnsi="Century Gothic"/>
          <w:color w:val="5F497A" w:themeColor="accent4" w:themeShade="BF"/>
        </w:rPr>
        <w:tab/>
      </w:r>
      <w:r>
        <w:rPr>
          <w:rFonts w:ascii="Century Gothic" w:hAnsi="Century Gothic"/>
          <w:color w:val="5F497A" w:themeColor="accent4" w:themeShade="BF"/>
        </w:rPr>
        <w:t xml:space="preserve"> </w:t>
      </w:r>
      <w:r w:rsidRPr="00B878DA">
        <w:rPr>
          <w:rFonts w:ascii="Century Gothic" w:hAnsi="Century Gothic"/>
          <w:color w:val="5F497A" w:themeColor="accent4" w:themeShade="BF"/>
        </w:rPr>
        <w:t xml:space="preserve">River Murray and </w:t>
      </w:r>
      <w:proofErr w:type="spellStart"/>
      <w:r w:rsidRPr="00B878DA">
        <w:rPr>
          <w:rFonts w:ascii="Century Gothic" w:hAnsi="Century Gothic"/>
          <w:color w:val="5F497A" w:themeColor="accent4" w:themeShade="BF"/>
        </w:rPr>
        <w:t>Nikalapko</w:t>
      </w:r>
      <w:proofErr w:type="spellEnd"/>
      <w:r w:rsidRPr="00B878DA">
        <w:rPr>
          <w:rFonts w:ascii="Century Gothic" w:hAnsi="Century Gothic"/>
          <w:color w:val="5F497A" w:themeColor="accent4" w:themeShade="BF"/>
        </w:rPr>
        <w:t>, South Australia, 2014</w:t>
      </w:r>
      <w:r>
        <w:rPr>
          <w:rFonts w:ascii="Century Gothic" w:hAnsi="Century Gothic"/>
          <w:color w:val="5F497A" w:themeColor="accent4" w:themeShade="BF"/>
        </w:rPr>
        <w:t xml:space="preserve"> </w:t>
      </w:r>
    </w:p>
    <w:p w:rsidR="00060C7A" w:rsidRDefault="00060C7A" w:rsidP="00060C7A">
      <w:pPr>
        <w:rPr>
          <w:rFonts w:ascii="Century Gothic" w:hAnsi="Century Gothic"/>
          <w:color w:val="5F497A" w:themeColor="accent4" w:themeShade="BF"/>
        </w:rPr>
      </w:pPr>
      <w:r w:rsidRPr="00B878DA">
        <w:rPr>
          <w:rFonts w:ascii="Century Gothic" w:hAnsi="Century Gothic"/>
          <w:color w:val="5F497A" w:themeColor="accent4" w:themeShade="BF"/>
        </w:rPr>
        <w:t>© Natural Resources South Australian Murray-Darling Basin</w:t>
      </w:r>
    </w:p>
    <w:p w:rsidR="00060C7A" w:rsidRDefault="00060C7A" w:rsidP="00060C7A">
      <w:pPr>
        <w:rPr>
          <w:rFonts w:ascii="Century Gothic" w:hAnsi="Century Gothic"/>
          <w:color w:val="5F497A" w:themeColor="accent4" w:themeShade="BF"/>
        </w:rPr>
      </w:pPr>
    </w:p>
    <w:p w:rsidR="00060C7A" w:rsidRPr="00B878DA" w:rsidRDefault="00060C7A" w:rsidP="00060C7A">
      <w:pPr>
        <w:spacing w:before="40" w:after="40"/>
        <w:rPr>
          <w:rFonts w:ascii="Century Gothic" w:hAnsi="Century Gothic"/>
          <w:color w:val="5F497A" w:themeColor="accent4" w:themeShade="BF"/>
        </w:rPr>
      </w:pPr>
      <w:r>
        <w:rPr>
          <w:rFonts w:ascii="Century Gothic" w:hAnsi="Century Gothic"/>
          <w:color w:val="5F497A" w:themeColor="accent4" w:themeShade="BF"/>
        </w:rPr>
        <w:t xml:space="preserve">Back cover image credit: </w:t>
      </w:r>
      <w:r w:rsidRPr="00B878DA">
        <w:rPr>
          <w:rFonts w:ascii="Century Gothic" w:hAnsi="Century Gothic"/>
          <w:color w:val="5F497A" w:themeColor="accent4" w:themeShade="BF"/>
        </w:rPr>
        <w:t xml:space="preserve">Juvenile Murray cod from the South Australian Murray, May 2015 </w:t>
      </w:r>
    </w:p>
    <w:p w:rsidR="00060C7A" w:rsidRPr="00B878DA" w:rsidRDefault="00060C7A" w:rsidP="00060C7A">
      <w:pPr>
        <w:rPr>
          <w:rFonts w:ascii="Century Gothic" w:hAnsi="Century Gothic"/>
          <w:color w:val="5F497A" w:themeColor="accent4" w:themeShade="BF"/>
        </w:rPr>
      </w:pPr>
      <w:r w:rsidRPr="00B878DA">
        <w:rPr>
          <w:rFonts w:ascii="Century Gothic" w:hAnsi="Century Gothic"/>
          <w:color w:val="5F497A" w:themeColor="accent4" w:themeShade="BF"/>
        </w:rPr>
        <w:t>© South Australian Research and Development Institute</w:t>
      </w:r>
    </w:p>
    <w:p w:rsidR="00060C7A" w:rsidRPr="00FC6370"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9535AA">
      <w:pPr>
        <w:ind w:hanging="851"/>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060C7A" w:rsidRPr="00FC6370" w:rsidRDefault="00060C7A" w:rsidP="00060C7A">
      <w:pPr>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FC6370" w:rsidRDefault="00060C7A" w:rsidP="00060C7A">
      <w:pPr>
        <w:rPr>
          <w:rFonts w:ascii="Century Gothic" w:hAnsi="Century Gothic"/>
        </w:rPr>
      </w:pPr>
    </w:p>
    <w:p w:rsidR="00060C7A" w:rsidRPr="00E424D8" w:rsidRDefault="00060C7A" w:rsidP="00060C7A">
      <w:pPr>
        <w:rPr>
          <w:rFonts w:ascii="Century Gothic" w:hAnsi="Century Gothic"/>
          <w:color w:val="414142"/>
          <w:sz w:val="16"/>
          <w:szCs w:val="16"/>
        </w:rPr>
      </w:pPr>
      <w:r w:rsidRPr="00E424D8">
        <w:rPr>
          <w:rFonts w:ascii="Century Gothic" w:hAnsi="Century Gothic"/>
          <w:color w:val="414142"/>
          <w:sz w:val="16"/>
          <w:szCs w:val="16"/>
        </w:rPr>
        <w:t>© Copyright Commonwealth of Australia, 201</w:t>
      </w:r>
      <w:r>
        <w:rPr>
          <w:rFonts w:ascii="Century Gothic" w:hAnsi="Century Gothic"/>
          <w:color w:val="414142"/>
          <w:sz w:val="16"/>
          <w:szCs w:val="16"/>
        </w:rPr>
        <w:t>5</w:t>
      </w:r>
      <w:r w:rsidRPr="00E424D8">
        <w:rPr>
          <w:rFonts w:ascii="Century Gothic" w:hAnsi="Century Gothic"/>
          <w:color w:val="414142"/>
          <w:sz w:val="16"/>
          <w:szCs w:val="16"/>
        </w:rPr>
        <w:t>.</w:t>
      </w:r>
    </w:p>
    <w:p w:rsidR="00060C7A" w:rsidRPr="00E424D8" w:rsidRDefault="00060C7A" w:rsidP="00060C7A">
      <w:pPr>
        <w:rPr>
          <w:rFonts w:ascii="Century Gothic" w:hAnsi="Century Gothic"/>
          <w:color w:val="414142"/>
          <w:sz w:val="16"/>
          <w:szCs w:val="16"/>
        </w:rPr>
      </w:pPr>
    </w:p>
    <w:p w:rsidR="00060C7A" w:rsidRDefault="00060C7A" w:rsidP="00060C7A">
      <w:pPr>
        <w:rPr>
          <w:rFonts w:ascii="Century Gothic" w:hAnsi="Century Gothic"/>
          <w:color w:val="414142"/>
          <w:sz w:val="16"/>
          <w:szCs w:val="16"/>
        </w:rPr>
      </w:pPr>
      <w:r>
        <w:rPr>
          <w:rFonts w:ascii="Century Gothic" w:hAnsi="Century Gothic"/>
          <w:noProof/>
          <w:color w:val="414142"/>
          <w:sz w:val="16"/>
          <w:szCs w:val="16"/>
          <w:lang w:eastAsia="en-AU"/>
        </w:rPr>
        <w:drawing>
          <wp:inline distT="0" distB="0" distL="0" distR="0">
            <wp:extent cx="1809750" cy="523875"/>
            <wp:effectExtent l="19050" t="0" r="0" b="0"/>
            <wp:docPr id="1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4"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060C7A" w:rsidRPr="00E424D8" w:rsidRDefault="00060C7A" w:rsidP="00060C7A">
      <w:pPr>
        <w:rPr>
          <w:rFonts w:ascii="Century Gothic" w:hAnsi="Century Gothic"/>
          <w:color w:val="414142"/>
          <w:sz w:val="16"/>
          <w:szCs w:val="16"/>
        </w:rPr>
      </w:pPr>
    </w:p>
    <w:p w:rsidR="00060C7A" w:rsidRPr="00F7641F" w:rsidRDefault="00060C7A" w:rsidP="00060C7A">
      <w:pPr>
        <w:rPr>
          <w:rFonts w:ascii="Century Gothic" w:hAnsi="Century Gothic"/>
          <w:color w:val="414142"/>
          <w:sz w:val="16"/>
          <w:szCs w:val="16"/>
        </w:rPr>
      </w:pPr>
      <w:bookmarkStart w:id="2" w:name="OLE_LINK1"/>
      <w:bookmarkStart w:id="3" w:name="OLE_LINK2"/>
      <w:r w:rsidRPr="00F7641F">
        <w:rPr>
          <w:rFonts w:ascii="Century Gothic" w:hAnsi="Century Gothic"/>
          <w:color w:val="414142"/>
          <w:sz w:val="16"/>
          <w:szCs w:val="16"/>
        </w:rPr>
        <w:t xml:space="preserve">Integrated planning for the use, carryover and trade of Commonwealth environmental water: </w:t>
      </w:r>
      <w:r>
        <w:rPr>
          <w:rFonts w:ascii="Century Gothic" w:hAnsi="Century Gothic"/>
          <w:color w:val="414142"/>
          <w:sz w:val="16"/>
          <w:szCs w:val="16"/>
        </w:rPr>
        <w:t xml:space="preserve">Lower Murray-Darling </w:t>
      </w:r>
      <w:r w:rsidRPr="00F7641F">
        <w:rPr>
          <w:rFonts w:ascii="Century Gothic" w:hAnsi="Century Gothic"/>
          <w:color w:val="414142"/>
          <w:sz w:val="16"/>
          <w:szCs w:val="16"/>
        </w:rPr>
        <w:t>Region</w:t>
      </w:r>
      <w:r>
        <w:rPr>
          <w:rFonts w:ascii="Century Gothic" w:hAnsi="Century Gothic"/>
          <w:color w:val="414142"/>
          <w:sz w:val="16"/>
          <w:szCs w:val="16"/>
        </w:rPr>
        <w:t xml:space="preserve"> </w:t>
      </w:r>
      <w:r w:rsidRPr="00F7641F">
        <w:rPr>
          <w:rFonts w:ascii="Century Gothic" w:hAnsi="Century Gothic"/>
          <w:color w:val="414142"/>
          <w:sz w:val="16"/>
          <w:szCs w:val="16"/>
        </w:rPr>
        <w:t xml:space="preserve">2015–16 </w:t>
      </w:r>
      <w:bookmarkEnd w:id="2"/>
      <w:bookmarkEnd w:id="3"/>
      <w:r w:rsidRPr="00F7641F">
        <w:rPr>
          <w:rFonts w:ascii="Century Gothic" w:hAnsi="Century Gothic"/>
          <w:color w:val="414142"/>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5" w:history="1">
        <w:r w:rsidRPr="00F7641F">
          <w:rPr>
            <w:rFonts w:ascii="Century Gothic" w:hAnsi="Century Gothic"/>
            <w:color w:val="414142"/>
            <w:sz w:val="16"/>
            <w:szCs w:val="16"/>
          </w:rPr>
          <w:t>http://creativecommons.org/licenses/by/3.0/au/</w:t>
        </w:r>
      </w:hyperlink>
      <w:r w:rsidRPr="00F7641F">
        <w:rPr>
          <w:rFonts w:ascii="Century Gothic" w:hAnsi="Century Gothic"/>
          <w:color w:val="414142"/>
          <w:sz w:val="16"/>
          <w:szCs w:val="16"/>
        </w:rPr>
        <w:t xml:space="preserve"> </w:t>
      </w:r>
    </w:p>
    <w:p w:rsidR="00060C7A" w:rsidRPr="00F7641F" w:rsidRDefault="00060C7A" w:rsidP="00060C7A">
      <w:pPr>
        <w:rPr>
          <w:rFonts w:ascii="Century Gothic" w:hAnsi="Century Gothic"/>
          <w:color w:val="414142"/>
          <w:sz w:val="16"/>
          <w:szCs w:val="16"/>
        </w:rPr>
      </w:pPr>
    </w:p>
    <w:p w:rsidR="00060C7A" w:rsidRDefault="00060C7A" w:rsidP="00060C7A">
      <w:pPr>
        <w:rPr>
          <w:rFonts w:ascii="Century Gothic" w:hAnsi="Century Gothic"/>
          <w:color w:val="414142"/>
          <w:sz w:val="16"/>
          <w:szCs w:val="16"/>
        </w:rPr>
      </w:pPr>
      <w:r w:rsidRPr="00F7641F">
        <w:rPr>
          <w:rFonts w:ascii="Century Gothic" w:hAnsi="Century Gothic"/>
          <w:color w:val="414142"/>
          <w:sz w:val="16"/>
          <w:szCs w:val="16"/>
        </w:rPr>
        <w:t>This report should be attributed as ‘</w:t>
      </w:r>
      <w:proofErr w:type="gramStart"/>
      <w:r w:rsidRPr="00F7641F">
        <w:rPr>
          <w:rFonts w:ascii="Century Gothic" w:hAnsi="Century Gothic"/>
          <w:color w:val="414142"/>
          <w:sz w:val="16"/>
          <w:szCs w:val="16"/>
        </w:rPr>
        <w:t>Integrated</w:t>
      </w:r>
      <w:proofErr w:type="gramEnd"/>
      <w:r w:rsidRPr="00F7641F">
        <w:rPr>
          <w:rFonts w:ascii="Century Gothic" w:hAnsi="Century Gothic"/>
          <w:color w:val="414142"/>
          <w:sz w:val="16"/>
          <w:szCs w:val="16"/>
        </w:rPr>
        <w:t xml:space="preserve"> planning for the use, carryover and trade of Commonwealth environmental water: </w:t>
      </w:r>
      <w:r>
        <w:rPr>
          <w:rFonts w:ascii="Century Gothic" w:hAnsi="Century Gothic"/>
          <w:color w:val="414142"/>
          <w:sz w:val="16"/>
          <w:szCs w:val="16"/>
        </w:rPr>
        <w:t xml:space="preserve">Lower Murray-Darling </w:t>
      </w:r>
      <w:r w:rsidRPr="00F7641F">
        <w:rPr>
          <w:rFonts w:ascii="Century Gothic" w:hAnsi="Century Gothic"/>
          <w:color w:val="414142"/>
          <w:sz w:val="16"/>
          <w:szCs w:val="16"/>
        </w:rPr>
        <w:t>Region</w:t>
      </w:r>
      <w:r>
        <w:rPr>
          <w:rFonts w:ascii="Century Gothic" w:hAnsi="Century Gothic"/>
          <w:color w:val="414142"/>
          <w:sz w:val="16"/>
          <w:szCs w:val="16"/>
        </w:rPr>
        <w:t xml:space="preserve"> </w:t>
      </w:r>
      <w:r w:rsidRPr="00F7641F">
        <w:rPr>
          <w:rFonts w:ascii="Century Gothic" w:hAnsi="Century Gothic"/>
          <w:color w:val="414142"/>
          <w:sz w:val="16"/>
          <w:szCs w:val="16"/>
        </w:rPr>
        <w:t>2015–16, Commonwealth of Australia 2015’.</w:t>
      </w:r>
    </w:p>
    <w:p w:rsidR="00060C7A" w:rsidRPr="00E424D8" w:rsidRDefault="00060C7A" w:rsidP="00060C7A">
      <w:pPr>
        <w:rPr>
          <w:rFonts w:ascii="Century Gothic" w:hAnsi="Century Gothic"/>
          <w:color w:val="414142"/>
          <w:sz w:val="16"/>
          <w:szCs w:val="16"/>
        </w:rPr>
      </w:pPr>
    </w:p>
    <w:p w:rsidR="00060C7A" w:rsidRPr="00EF3350" w:rsidRDefault="00060C7A" w:rsidP="00060C7A">
      <w:pPr>
        <w:rPr>
          <w:rFonts w:ascii="Century Gothic" w:hAnsi="Century Gothic"/>
          <w:color w:val="414142"/>
          <w:sz w:val="16"/>
          <w:szCs w:val="16"/>
        </w:rPr>
      </w:pPr>
      <w:r w:rsidRPr="00EF7FD6">
        <w:rPr>
          <w:rFonts w:ascii="Century Gothic" w:hAnsi="Century Gothic"/>
          <w:color w:val="414142"/>
          <w:sz w:val="16"/>
          <w:szCs w:val="16"/>
        </w:rPr>
        <w:t xml:space="preserve">The views and opinions expressed in this publication are those of the authors and do not necessarily reflect those of the Australian Government or the Minister for </w:t>
      </w:r>
      <w:r>
        <w:rPr>
          <w:rFonts w:ascii="Century Gothic" w:hAnsi="Century Gothic"/>
          <w:color w:val="414142"/>
          <w:sz w:val="16"/>
          <w:szCs w:val="16"/>
        </w:rPr>
        <w:t>the</w:t>
      </w:r>
      <w:r w:rsidRPr="00EF7FD6">
        <w:rPr>
          <w:rFonts w:ascii="Century Gothic" w:hAnsi="Century Gothic"/>
          <w:color w:val="414142"/>
          <w:sz w:val="16"/>
          <w:szCs w:val="16"/>
        </w:rPr>
        <w:t xml:space="preserv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060C7A" w:rsidRPr="00FC6370" w:rsidRDefault="00060C7A" w:rsidP="00060C7A">
      <w:pPr>
        <w:rPr>
          <w:rFonts w:ascii="Century Gothic" w:hAnsi="Century Gothic"/>
        </w:rPr>
      </w:pPr>
    </w:p>
    <w:p w:rsidR="00060C7A" w:rsidRDefault="00060C7A" w:rsidP="009535AA">
      <w:pPr>
        <w:rPr>
          <w:rFonts w:ascii="Century Gothic" w:hAnsi="Century Gothic" w:cstheme="minorHAnsi"/>
          <w:b/>
          <w:color w:val="0070C0"/>
          <w:sz w:val="36"/>
          <w:szCs w:val="36"/>
        </w:rPr>
      </w:pPr>
    </w:p>
    <w:p w:rsidR="009535AA" w:rsidRPr="008D2B6B" w:rsidRDefault="009535AA" w:rsidP="009535AA">
      <w:pPr>
        <w:rPr>
          <w:rFonts w:ascii="Century Gothic" w:hAnsi="Century Gothic" w:cstheme="minorHAnsi"/>
          <w:b/>
          <w:color w:val="0070C0"/>
          <w:sz w:val="36"/>
          <w:szCs w:val="36"/>
        </w:rPr>
      </w:pPr>
    </w:p>
    <w:p w:rsidR="00060C7A" w:rsidRPr="008D2B6B" w:rsidRDefault="00060C7A" w:rsidP="00060C7A">
      <w:pPr>
        <w:pStyle w:val="TOC1"/>
        <w:rPr>
          <w:rFonts w:ascii="Calibri" w:hAnsi="Calibri"/>
          <w:noProof w:val="0"/>
          <w:color w:val="5F497A" w:themeColor="accent4" w:themeShade="BF"/>
          <w:sz w:val="42"/>
          <w:szCs w:val="20"/>
          <w:lang w:eastAsia="en-US"/>
        </w:rPr>
      </w:pPr>
      <w:r w:rsidRPr="008D2B6B">
        <w:rPr>
          <w:rFonts w:ascii="Calibri" w:hAnsi="Calibri"/>
          <w:noProof w:val="0"/>
          <w:color w:val="5F497A" w:themeColor="accent4" w:themeShade="BF"/>
          <w:sz w:val="42"/>
          <w:szCs w:val="20"/>
          <w:lang w:eastAsia="en-US"/>
        </w:rPr>
        <w:t>Table of contents</w:t>
      </w:r>
    </w:p>
    <w:p w:rsidR="0084737D" w:rsidRDefault="00B64803">
      <w:pPr>
        <w:pStyle w:val="TOC1"/>
        <w:rPr>
          <w:rFonts w:asciiTheme="minorHAnsi" w:eastAsiaTheme="minorEastAsia" w:hAnsiTheme="minorHAnsi" w:cstheme="minorBidi"/>
          <w:b w:val="0"/>
          <w:sz w:val="22"/>
          <w:szCs w:val="22"/>
        </w:rPr>
      </w:pPr>
      <w:r w:rsidRPr="00B64803">
        <w:fldChar w:fldCharType="begin"/>
      </w:r>
      <w:r w:rsidR="00060C7A" w:rsidRPr="008D2B6B">
        <w:instrText xml:space="preserve"> TOC \o "1-1" \h \z \t "Heading 2,2,Heading 3,3,Appendix 2,1" </w:instrText>
      </w:r>
      <w:r w:rsidRPr="00B64803">
        <w:fldChar w:fldCharType="separate"/>
      </w:r>
      <w:hyperlink w:anchor="_Toc422406845" w:history="1">
        <w:r w:rsidR="0084737D" w:rsidRPr="00362307">
          <w:rPr>
            <w:rStyle w:val="Hyperlink"/>
          </w:rPr>
          <w:t>Commonwealth environmental water portfolio management planning</w:t>
        </w:r>
        <w:r w:rsidR="0084737D">
          <w:rPr>
            <w:webHidden/>
          </w:rPr>
          <w:tab/>
        </w:r>
        <w:r>
          <w:rPr>
            <w:webHidden/>
          </w:rPr>
          <w:fldChar w:fldCharType="begin"/>
        </w:r>
        <w:r w:rsidR="0084737D">
          <w:rPr>
            <w:webHidden/>
          </w:rPr>
          <w:instrText xml:space="preserve"> PAGEREF _Toc422406845 \h </w:instrText>
        </w:r>
        <w:r>
          <w:rPr>
            <w:webHidden/>
          </w:rPr>
        </w:r>
        <w:r>
          <w:rPr>
            <w:webHidden/>
          </w:rPr>
          <w:fldChar w:fldCharType="separate"/>
        </w:r>
        <w:r w:rsidR="00864A9A">
          <w:rPr>
            <w:webHidden/>
          </w:rPr>
          <w:t>4</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46" w:history="1">
        <w:r w:rsidR="0084737D" w:rsidRPr="00362307">
          <w:rPr>
            <w:rStyle w:val="Hyperlink"/>
          </w:rPr>
          <w:t>Purpose of the document</w:t>
        </w:r>
        <w:r w:rsidR="0084737D">
          <w:rPr>
            <w:webHidden/>
          </w:rPr>
          <w:tab/>
        </w:r>
        <w:r>
          <w:rPr>
            <w:webHidden/>
          </w:rPr>
          <w:fldChar w:fldCharType="begin"/>
        </w:r>
        <w:r w:rsidR="0084737D">
          <w:rPr>
            <w:webHidden/>
          </w:rPr>
          <w:instrText xml:space="preserve"> PAGEREF _Toc422406846 \h </w:instrText>
        </w:r>
        <w:r>
          <w:rPr>
            <w:webHidden/>
          </w:rPr>
        </w:r>
        <w:r>
          <w:rPr>
            <w:webHidden/>
          </w:rPr>
          <w:fldChar w:fldCharType="separate"/>
        </w:r>
        <w:r w:rsidR="00864A9A">
          <w:rPr>
            <w:webHidden/>
          </w:rPr>
          <w:t>4</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47" w:history="1">
        <w:r w:rsidR="0084737D" w:rsidRPr="00362307">
          <w:rPr>
            <w:rStyle w:val="Hyperlink"/>
          </w:rPr>
          <w:t>Purpose of portfolio management planning</w:t>
        </w:r>
        <w:r w:rsidR="0084737D">
          <w:rPr>
            <w:webHidden/>
          </w:rPr>
          <w:tab/>
        </w:r>
        <w:r>
          <w:rPr>
            <w:webHidden/>
          </w:rPr>
          <w:fldChar w:fldCharType="begin"/>
        </w:r>
        <w:r w:rsidR="0084737D">
          <w:rPr>
            <w:webHidden/>
          </w:rPr>
          <w:instrText xml:space="preserve"> PAGEREF _Toc422406847 \h </w:instrText>
        </w:r>
        <w:r>
          <w:rPr>
            <w:webHidden/>
          </w:rPr>
        </w:r>
        <w:r>
          <w:rPr>
            <w:webHidden/>
          </w:rPr>
          <w:fldChar w:fldCharType="separate"/>
        </w:r>
        <w:r w:rsidR="00864A9A">
          <w:rPr>
            <w:webHidden/>
          </w:rPr>
          <w:t>4</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48" w:history="1">
        <w:r w:rsidR="0084737D" w:rsidRPr="00362307">
          <w:rPr>
            <w:rStyle w:val="Hyperlink"/>
          </w:rPr>
          <w:t>Scope of integrated portfolio management planning</w:t>
        </w:r>
        <w:r w:rsidR="0084737D">
          <w:rPr>
            <w:webHidden/>
          </w:rPr>
          <w:tab/>
        </w:r>
        <w:r>
          <w:rPr>
            <w:webHidden/>
          </w:rPr>
          <w:fldChar w:fldCharType="begin"/>
        </w:r>
        <w:r w:rsidR="0084737D">
          <w:rPr>
            <w:webHidden/>
          </w:rPr>
          <w:instrText xml:space="preserve"> PAGEREF _Toc422406848 \h </w:instrText>
        </w:r>
        <w:r>
          <w:rPr>
            <w:webHidden/>
          </w:rPr>
        </w:r>
        <w:r>
          <w:rPr>
            <w:webHidden/>
          </w:rPr>
          <w:fldChar w:fldCharType="separate"/>
        </w:r>
        <w:r w:rsidR="00864A9A">
          <w:rPr>
            <w:webHidden/>
          </w:rPr>
          <w:t>4</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49" w:history="1">
        <w:r w:rsidR="0084737D" w:rsidRPr="00362307">
          <w:rPr>
            <w:rStyle w:val="Hyperlink"/>
          </w:rPr>
          <w:t>Part I: Portfolio management planning in the Lower Murray–Darling Region</w:t>
        </w:r>
        <w:r w:rsidR="0084737D">
          <w:rPr>
            <w:webHidden/>
          </w:rPr>
          <w:tab/>
        </w:r>
        <w:r>
          <w:rPr>
            <w:webHidden/>
          </w:rPr>
          <w:fldChar w:fldCharType="begin"/>
        </w:r>
        <w:r w:rsidR="0084737D">
          <w:rPr>
            <w:webHidden/>
          </w:rPr>
          <w:instrText xml:space="preserve"> PAGEREF _Toc422406849 \h </w:instrText>
        </w:r>
        <w:r>
          <w:rPr>
            <w:webHidden/>
          </w:rPr>
        </w:r>
        <w:r>
          <w:rPr>
            <w:webHidden/>
          </w:rPr>
          <w:fldChar w:fldCharType="separate"/>
        </w:r>
        <w:r w:rsidR="00864A9A">
          <w:rPr>
            <w:webHidden/>
          </w:rPr>
          <w:t>5</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50" w:history="1">
        <w:r w:rsidR="0084737D" w:rsidRPr="00362307">
          <w:rPr>
            <w:rStyle w:val="Hyperlink"/>
          </w:rPr>
          <w:t>1.</w:t>
        </w:r>
        <w:r w:rsidR="0084737D">
          <w:rPr>
            <w:rFonts w:asciiTheme="minorHAnsi" w:eastAsiaTheme="minorEastAsia" w:hAnsiTheme="minorHAnsi" w:cstheme="minorBidi"/>
            <w:b w:val="0"/>
            <w:sz w:val="22"/>
            <w:szCs w:val="22"/>
          </w:rPr>
          <w:tab/>
        </w:r>
        <w:r w:rsidR="0084737D" w:rsidRPr="00362307">
          <w:rPr>
            <w:rStyle w:val="Hyperlink"/>
          </w:rPr>
          <w:t>Purpose and portfolio management in 2015–16</w:t>
        </w:r>
        <w:r w:rsidR="0084737D">
          <w:rPr>
            <w:webHidden/>
          </w:rPr>
          <w:tab/>
        </w:r>
        <w:r>
          <w:rPr>
            <w:webHidden/>
          </w:rPr>
          <w:fldChar w:fldCharType="begin"/>
        </w:r>
        <w:r w:rsidR="0084737D">
          <w:rPr>
            <w:webHidden/>
          </w:rPr>
          <w:instrText xml:space="preserve"> PAGEREF _Toc422406850 \h </w:instrText>
        </w:r>
        <w:r>
          <w:rPr>
            <w:webHidden/>
          </w:rPr>
        </w:r>
        <w:r>
          <w:rPr>
            <w:webHidden/>
          </w:rPr>
          <w:fldChar w:fldCharType="separate"/>
        </w:r>
        <w:r w:rsidR="00864A9A">
          <w:rPr>
            <w:webHidden/>
          </w:rPr>
          <w:t>5</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1" w:history="1">
        <w:r w:rsidR="0084737D" w:rsidRPr="00362307">
          <w:rPr>
            <w:rStyle w:val="Hyperlink"/>
          </w:rPr>
          <w:t>1.1.</w:t>
        </w:r>
        <w:r w:rsidR="0084737D">
          <w:rPr>
            <w:rFonts w:asciiTheme="minorHAnsi" w:eastAsiaTheme="minorEastAsia" w:hAnsiTheme="minorHAnsi" w:cstheme="minorBidi"/>
            <w:sz w:val="22"/>
            <w:szCs w:val="22"/>
          </w:rPr>
          <w:tab/>
        </w:r>
        <w:r w:rsidR="0084737D" w:rsidRPr="00362307">
          <w:rPr>
            <w:rStyle w:val="Hyperlink"/>
          </w:rPr>
          <w:t>Overall purpose</w:t>
        </w:r>
        <w:r w:rsidR="0084737D">
          <w:rPr>
            <w:webHidden/>
          </w:rPr>
          <w:tab/>
        </w:r>
        <w:r>
          <w:rPr>
            <w:webHidden/>
          </w:rPr>
          <w:fldChar w:fldCharType="begin"/>
        </w:r>
        <w:r w:rsidR="0084737D">
          <w:rPr>
            <w:webHidden/>
          </w:rPr>
          <w:instrText xml:space="preserve"> PAGEREF _Toc422406851 \h </w:instrText>
        </w:r>
        <w:r>
          <w:rPr>
            <w:webHidden/>
          </w:rPr>
        </w:r>
        <w:r>
          <w:rPr>
            <w:webHidden/>
          </w:rPr>
          <w:fldChar w:fldCharType="separate"/>
        </w:r>
        <w:r w:rsidR="00864A9A">
          <w:rPr>
            <w:webHidden/>
          </w:rPr>
          <w:t>5</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2" w:history="1">
        <w:r w:rsidR="0084737D" w:rsidRPr="00362307">
          <w:rPr>
            <w:rStyle w:val="Hyperlink"/>
            <w:bCs/>
          </w:rPr>
          <w:t>1.2.</w:t>
        </w:r>
        <w:r w:rsidR="0084737D">
          <w:rPr>
            <w:rFonts w:asciiTheme="minorHAnsi" w:eastAsiaTheme="minorEastAsia" w:hAnsiTheme="minorHAnsi" w:cstheme="minorBidi"/>
            <w:sz w:val="22"/>
            <w:szCs w:val="22"/>
          </w:rPr>
          <w:tab/>
        </w:r>
        <w:r w:rsidR="0084737D" w:rsidRPr="00362307">
          <w:rPr>
            <w:rStyle w:val="Hyperlink"/>
          </w:rPr>
          <w:t>Water Use</w:t>
        </w:r>
        <w:r w:rsidR="0084737D">
          <w:rPr>
            <w:webHidden/>
          </w:rPr>
          <w:tab/>
        </w:r>
        <w:r>
          <w:rPr>
            <w:webHidden/>
          </w:rPr>
          <w:fldChar w:fldCharType="begin"/>
        </w:r>
        <w:r w:rsidR="0084737D">
          <w:rPr>
            <w:webHidden/>
          </w:rPr>
          <w:instrText xml:space="preserve"> PAGEREF _Toc422406852 \h </w:instrText>
        </w:r>
        <w:r>
          <w:rPr>
            <w:webHidden/>
          </w:rPr>
        </w:r>
        <w:r>
          <w:rPr>
            <w:webHidden/>
          </w:rPr>
          <w:fldChar w:fldCharType="separate"/>
        </w:r>
        <w:r w:rsidR="00864A9A">
          <w:rPr>
            <w:webHidden/>
          </w:rPr>
          <w:t>7</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3" w:history="1">
        <w:r w:rsidR="0084737D" w:rsidRPr="00362307">
          <w:rPr>
            <w:rStyle w:val="Hyperlink"/>
          </w:rPr>
          <w:t>1.3.</w:t>
        </w:r>
        <w:r w:rsidR="0084737D">
          <w:rPr>
            <w:rFonts w:asciiTheme="minorHAnsi" w:eastAsiaTheme="minorEastAsia" w:hAnsiTheme="minorHAnsi" w:cstheme="minorBidi"/>
            <w:sz w:val="22"/>
            <w:szCs w:val="22"/>
          </w:rPr>
          <w:tab/>
        </w:r>
        <w:r w:rsidR="0084737D" w:rsidRPr="00362307">
          <w:rPr>
            <w:rStyle w:val="Hyperlink"/>
          </w:rPr>
          <w:t>Carryover</w:t>
        </w:r>
        <w:r w:rsidR="0084737D">
          <w:rPr>
            <w:webHidden/>
          </w:rPr>
          <w:tab/>
        </w:r>
        <w:r>
          <w:rPr>
            <w:webHidden/>
          </w:rPr>
          <w:fldChar w:fldCharType="begin"/>
        </w:r>
        <w:r w:rsidR="0084737D">
          <w:rPr>
            <w:webHidden/>
          </w:rPr>
          <w:instrText xml:space="preserve"> PAGEREF _Toc422406853 \h </w:instrText>
        </w:r>
        <w:r>
          <w:rPr>
            <w:webHidden/>
          </w:rPr>
        </w:r>
        <w:r>
          <w:rPr>
            <w:webHidden/>
          </w:rPr>
          <w:fldChar w:fldCharType="separate"/>
        </w:r>
        <w:r w:rsidR="00864A9A">
          <w:rPr>
            <w:webHidden/>
          </w:rPr>
          <w:t>9</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4" w:history="1">
        <w:r w:rsidR="0084737D" w:rsidRPr="00362307">
          <w:rPr>
            <w:rStyle w:val="Hyperlink"/>
          </w:rPr>
          <w:t>1.4.</w:t>
        </w:r>
        <w:r w:rsidR="0084737D">
          <w:rPr>
            <w:rFonts w:asciiTheme="minorHAnsi" w:eastAsiaTheme="minorEastAsia" w:hAnsiTheme="minorHAnsi" w:cstheme="minorBidi"/>
            <w:sz w:val="22"/>
            <w:szCs w:val="22"/>
          </w:rPr>
          <w:tab/>
        </w:r>
        <w:r w:rsidR="0084737D" w:rsidRPr="00362307">
          <w:rPr>
            <w:rStyle w:val="Hyperlink"/>
          </w:rPr>
          <w:t>Trade</w:t>
        </w:r>
        <w:r w:rsidR="0084737D">
          <w:rPr>
            <w:webHidden/>
          </w:rPr>
          <w:tab/>
        </w:r>
        <w:r>
          <w:rPr>
            <w:webHidden/>
          </w:rPr>
          <w:fldChar w:fldCharType="begin"/>
        </w:r>
        <w:r w:rsidR="0084737D">
          <w:rPr>
            <w:webHidden/>
          </w:rPr>
          <w:instrText xml:space="preserve"> PAGEREF _Toc422406854 \h </w:instrText>
        </w:r>
        <w:r>
          <w:rPr>
            <w:webHidden/>
          </w:rPr>
        </w:r>
        <w:r>
          <w:rPr>
            <w:webHidden/>
          </w:rPr>
          <w:fldChar w:fldCharType="separate"/>
        </w:r>
        <w:r w:rsidR="00864A9A">
          <w:rPr>
            <w:webHidden/>
          </w:rPr>
          <w:t>10</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5" w:history="1">
        <w:r w:rsidR="0084737D" w:rsidRPr="00362307">
          <w:rPr>
            <w:rStyle w:val="Hyperlink"/>
          </w:rPr>
          <w:t>1.5.</w:t>
        </w:r>
        <w:r w:rsidR="0084737D">
          <w:rPr>
            <w:rFonts w:asciiTheme="minorHAnsi" w:eastAsiaTheme="minorEastAsia" w:hAnsiTheme="minorHAnsi" w:cstheme="minorBidi"/>
            <w:sz w:val="22"/>
            <w:szCs w:val="22"/>
          </w:rPr>
          <w:tab/>
        </w:r>
        <w:r w:rsidR="0084737D" w:rsidRPr="00362307">
          <w:rPr>
            <w:rStyle w:val="Hyperlink"/>
          </w:rPr>
          <w:t>A note on transfer</w:t>
        </w:r>
        <w:r w:rsidR="0084737D">
          <w:rPr>
            <w:webHidden/>
          </w:rPr>
          <w:tab/>
        </w:r>
        <w:r>
          <w:rPr>
            <w:webHidden/>
          </w:rPr>
          <w:fldChar w:fldCharType="begin"/>
        </w:r>
        <w:r w:rsidR="0084737D">
          <w:rPr>
            <w:webHidden/>
          </w:rPr>
          <w:instrText xml:space="preserve"> PAGEREF _Toc422406855 \h </w:instrText>
        </w:r>
        <w:r>
          <w:rPr>
            <w:webHidden/>
          </w:rPr>
        </w:r>
        <w:r>
          <w:rPr>
            <w:webHidden/>
          </w:rPr>
          <w:fldChar w:fldCharType="separate"/>
        </w:r>
        <w:r w:rsidR="00864A9A">
          <w:rPr>
            <w:webHidden/>
          </w:rPr>
          <w:t>10</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6" w:history="1">
        <w:r w:rsidR="0084737D" w:rsidRPr="00362307">
          <w:rPr>
            <w:rStyle w:val="Hyperlink"/>
          </w:rPr>
          <w:t>1.6.</w:t>
        </w:r>
        <w:r w:rsidR="0084737D">
          <w:rPr>
            <w:rFonts w:asciiTheme="minorHAnsi" w:eastAsiaTheme="minorEastAsia" w:hAnsiTheme="minorHAnsi" w:cstheme="minorBidi"/>
            <w:sz w:val="22"/>
            <w:szCs w:val="22"/>
          </w:rPr>
          <w:tab/>
        </w:r>
        <w:r w:rsidR="0084737D" w:rsidRPr="00362307">
          <w:rPr>
            <w:rStyle w:val="Hyperlink"/>
          </w:rPr>
          <w:t>Your input</w:t>
        </w:r>
        <w:r w:rsidR="0084737D">
          <w:rPr>
            <w:webHidden/>
          </w:rPr>
          <w:tab/>
        </w:r>
        <w:r>
          <w:rPr>
            <w:webHidden/>
          </w:rPr>
          <w:fldChar w:fldCharType="begin"/>
        </w:r>
        <w:r w:rsidR="0084737D">
          <w:rPr>
            <w:webHidden/>
          </w:rPr>
          <w:instrText xml:space="preserve"> PAGEREF _Toc422406856 \h </w:instrText>
        </w:r>
        <w:r>
          <w:rPr>
            <w:webHidden/>
          </w:rPr>
        </w:r>
        <w:r>
          <w:rPr>
            <w:webHidden/>
          </w:rPr>
          <w:fldChar w:fldCharType="separate"/>
        </w:r>
        <w:r w:rsidR="00864A9A">
          <w:rPr>
            <w:webHidden/>
          </w:rPr>
          <w:t>10</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57" w:history="1">
        <w:r w:rsidR="0084737D" w:rsidRPr="00362307">
          <w:rPr>
            <w:rStyle w:val="Hyperlink"/>
          </w:rPr>
          <w:t>Part II: Commonwealth environmental water portfolio management planning</w:t>
        </w:r>
        <w:r w:rsidR="0084737D">
          <w:rPr>
            <w:webHidden/>
          </w:rPr>
          <w:tab/>
        </w:r>
        <w:r>
          <w:rPr>
            <w:webHidden/>
          </w:rPr>
          <w:fldChar w:fldCharType="begin"/>
        </w:r>
        <w:r w:rsidR="0084737D">
          <w:rPr>
            <w:webHidden/>
          </w:rPr>
          <w:instrText xml:space="preserve"> PAGEREF _Toc422406857 \h </w:instrText>
        </w:r>
        <w:r>
          <w:rPr>
            <w:webHidden/>
          </w:rPr>
        </w:r>
        <w:r>
          <w:rPr>
            <w:webHidden/>
          </w:rPr>
          <w:fldChar w:fldCharType="separate"/>
        </w:r>
        <w:r w:rsidR="00864A9A">
          <w:rPr>
            <w:webHidden/>
          </w:rPr>
          <w:t>15</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58" w:history="1">
        <w:r w:rsidR="0084737D" w:rsidRPr="00362307">
          <w:rPr>
            <w:rStyle w:val="Hyperlink"/>
          </w:rPr>
          <w:t>2.</w:t>
        </w:r>
        <w:r w:rsidR="0084737D">
          <w:rPr>
            <w:rFonts w:asciiTheme="minorHAnsi" w:eastAsiaTheme="minorEastAsia" w:hAnsiTheme="minorHAnsi" w:cstheme="minorBidi"/>
            <w:b w:val="0"/>
            <w:sz w:val="22"/>
            <w:szCs w:val="22"/>
          </w:rPr>
          <w:tab/>
        </w:r>
        <w:r w:rsidR="0084737D" w:rsidRPr="00362307">
          <w:rPr>
            <w:rStyle w:val="Hyperlink"/>
          </w:rPr>
          <w:t>Background</w:t>
        </w:r>
        <w:r w:rsidR="0084737D">
          <w:rPr>
            <w:webHidden/>
          </w:rPr>
          <w:tab/>
        </w:r>
        <w:r>
          <w:rPr>
            <w:webHidden/>
          </w:rPr>
          <w:fldChar w:fldCharType="begin"/>
        </w:r>
        <w:r w:rsidR="0084737D">
          <w:rPr>
            <w:webHidden/>
          </w:rPr>
          <w:instrText xml:space="preserve"> PAGEREF _Toc422406858 \h </w:instrText>
        </w:r>
        <w:r>
          <w:rPr>
            <w:webHidden/>
          </w:rPr>
        </w:r>
        <w:r>
          <w:rPr>
            <w:webHidden/>
          </w:rPr>
          <w:fldChar w:fldCharType="separate"/>
        </w:r>
        <w:r w:rsidR="00864A9A">
          <w:rPr>
            <w:webHidden/>
          </w:rPr>
          <w:t>15</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59" w:history="1">
        <w:r w:rsidR="0084737D" w:rsidRPr="00362307">
          <w:rPr>
            <w:rStyle w:val="Hyperlink"/>
          </w:rPr>
          <w:t>2.1.</w:t>
        </w:r>
        <w:r w:rsidR="0084737D">
          <w:rPr>
            <w:rFonts w:asciiTheme="minorHAnsi" w:eastAsiaTheme="minorEastAsia" w:hAnsiTheme="minorHAnsi" w:cstheme="minorBidi"/>
            <w:sz w:val="22"/>
            <w:szCs w:val="22"/>
          </w:rPr>
          <w:tab/>
        </w:r>
        <w:r w:rsidR="0084737D" w:rsidRPr="00362307">
          <w:rPr>
            <w:rStyle w:val="Hyperlink"/>
          </w:rPr>
          <w:t>Commonwealth environmental water</w:t>
        </w:r>
        <w:r w:rsidR="0084737D">
          <w:rPr>
            <w:webHidden/>
          </w:rPr>
          <w:tab/>
        </w:r>
        <w:r>
          <w:rPr>
            <w:webHidden/>
          </w:rPr>
          <w:fldChar w:fldCharType="begin"/>
        </w:r>
        <w:r w:rsidR="0084737D">
          <w:rPr>
            <w:webHidden/>
          </w:rPr>
          <w:instrText xml:space="preserve"> PAGEREF _Toc422406859 \h </w:instrText>
        </w:r>
        <w:r>
          <w:rPr>
            <w:webHidden/>
          </w:rPr>
        </w:r>
        <w:r>
          <w:rPr>
            <w:webHidden/>
          </w:rPr>
          <w:fldChar w:fldCharType="separate"/>
        </w:r>
        <w:r w:rsidR="00864A9A">
          <w:rPr>
            <w:webHidden/>
          </w:rPr>
          <w:t>15</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0" w:history="1">
        <w:r w:rsidR="0084737D" w:rsidRPr="00362307">
          <w:rPr>
            <w:rStyle w:val="Hyperlink"/>
          </w:rPr>
          <w:t>2.2.</w:t>
        </w:r>
        <w:r w:rsidR="0084737D">
          <w:rPr>
            <w:rFonts w:asciiTheme="minorHAnsi" w:eastAsiaTheme="minorEastAsia" w:hAnsiTheme="minorHAnsi" w:cstheme="minorBidi"/>
            <w:sz w:val="22"/>
            <w:szCs w:val="22"/>
          </w:rPr>
          <w:tab/>
        </w:r>
        <w:r w:rsidR="0084737D" w:rsidRPr="00362307">
          <w:rPr>
            <w:rStyle w:val="Hyperlink"/>
          </w:rPr>
          <w:t>The Lower Murray–Darling Region</w:t>
        </w:r>
        <w:r w:rsidR="0084737D">
          <w:rPr>
            <w:webHidden/>
          </w:rPr>
          <w:tab/>
        </w:r>
        <w:r>
          <w:rPr>
            <w:webHidden/>
          </w:rPr>
          <w:fldChar w:fldCharType="begin"/>
        </w:r>
        <w:r w:rsidR="0084737D">
          <w:rPr>
            <w:webHidden/>
          </w:rPr>
          <w:instrText xml:space="preserve"> PAGEREF _Toc422406860 \h </w:instrText>
        </w:r>
        <w:r>
          <w:rPr>
            <w:webHidden/>
          </w:rPr>
        </w:r>
        <w:r>
          <w:rPr>
            <w:webHidden/>
          </w:rPr>
          <w:fldChar w:fldCharType="separate"/>
        </w:r>
        <w:r w:rsidR="00864A9A">
          <w:rPr>
            <w:webHidden/>
          </w:rPr>
          <w:t>15</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61" w:history="1">
        <w:r w:rsidR="0084737D" w:rsidRPr="00362307">
          <w:rPr>
            <w:rStyle w:val="Hyperlink"/>
          </w:rPr>
          <w:t>3.</w:t>
        </w:r>
        <w:r w:rsidR="0084737D">
          <w:rPr>
            <w:rFonts w:asciiTheme="minorHAnsi" w:eastAsiaTheme="minorEastAsia" w:hAnsiTheme="minorHAnsi" w:cstheme="minorBidi"/>
            <w:b w:val="0"/>
            <w:sz w:val="22"/>
            <w:szCs w:val="22"/>
          </w:rPr>
          <w:tab/>
        </w:r>
        <w:r w:rsidR="0084737D" w:rsidRPr="00362307">
          <w:rPr>
            <w:rStyle w:val="Hyperlink"/>
          </w:rPr>
          <w:t>Long-term environmental water demands in the Lower Murray–Darling Region</w:t>
        </w:r>
        <w:r w:rsidR="0084737D">
          <w:rPr>
            <w:webHidden/>
          </w:rPr>
          <w:tab/>
        </w:r>
        <w:r>
          <w:rPr>
            <w:webHidden/>
          </w:rPr>
          <w:fldChar w:fldCharType="begin"/>
        </w:r>
        <w:r w:rsidR="0084737D">
          <w:rPr>
            <w:webHidden/>
          </w:rPr>
          <w:instrText xml:space="preserve"> PAGEREF _Toc422406861 \h </w:instrText>
        </w:r>
        <w:r>
          <w:rPr>
            <w:webHidden/>
          </w:rPr>
        </w:r>
        <w:r>
          <w:rPr>
            <w:webHidden/>
          </w:rPr>
          <w:fldChar w:fldCharType="separate"/>
        </w:r>
        <w:r w:rsidR="00864A9A">
          <w:rPr>
            <w:webHidden/>
          </w:rPr>
          <w:t>17</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2" w:history="1">
        <w:r w:rsidR="0084737D" w:rsidRPr="00362307">
          <w:rPr>
            <w:rStyle w:val="Hyperlink"/>
          </w:rPr>
          <w:t>3.1.</w:t>
        </w:r>
        <w:r w:rsidR="0084737D">
          <w:rPr>
            <w:rFonts w:asciiTheme="minorHAnsi" w:eastAsiaTheme="minorEastAsia" w:hAnsiTheme="minorHAnsi" w:cstheme="minorBidi"/>
            <w:sz w:val="22"/>
            <w:szCs w:val="22"/>
          </w:rPr>
          <w:tab/>
        </w:r>
        <w:r w:rsidR="0084737D" w:rsidRPr="00362307">
          <w:rPr>
            <w:rStyle w:val="Hyperlink"/>
          </w:rPr>
          <w:t>Basin-wide environmental watering strategy</w:t>
        </w:r>
        <w:r w:rsidR="0084737D">
          <w:rPr>
            <w:webHidden/>
          </w:rPr>
          <w:tab/>
        </w:r>
        <w:r>
          <w:rPr>
            <w:webHidden/>
          </w:rPr>
          <w:fldChar w:fldCharType="begin"/>
        </w:r>
        <w:r w:rsidR="0084737D">
          <w:rPr>
            <w:webHidden/>
          </w:rPr>
          <w:instrText xml:space="preserve"> PAGEREF _Toc422406862 \h </w:instrText>
        </w:r>
        <w:r>
          <w:rPr>
            <w:webHidden/>
          </w:rPr>
        </w:r>
        <w:r>
          <w:rPr>
            <w:webHidden/>
          </w:rPr>
          <w:fldChar w:fldCharType="separate"/>
        </w:r>
        <w:r w:rsidR="00864A9A">
          <w:rPr>
            <w:webHidden/>
          </w:rPr>
          <w:t>17</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3" w:history="1">
        <w:r w:rsidR="0084737D" w:rsidRPr="00362307">
          <w:rPr>
            <w:rStyle w:val="Hyperlink"/>
          </w:rPr>
          <w:t>3.2.</w:t>
        </w:r>
        <w:r w:rsidR="0084737D">
          <w:rPr>
            <w:rFonts w:asciiTheme="minorHAnsi" w:eastAsiaTheme="minorEastAsia" w:hAnsiTheme="minorHAnsi" w:cstheme="minorBidi"/>
            <w:sz w:val="22"/>
            <w:szCs w:val="22"/>
          </w:rPr>
          <w:tab/>
        </w:r>
        <w:r w:rsidR="0084737D" w:rsidRPr="00362307">
          <w:rPr>
            <w:rStyle w:val="Hyperlink"/>
          </w:rPr>
          <w:t>Long-term watering plans</w:t>
        </w:r>
        <w:r w:rsidR="0084737D">
          <w:rPr>
            <w:webHidden/>
          </w:rPr>
          <w:tab/>
        </w:r>
        <w:r>
          <w:rPr>
            <w:webHidden/>
          </w:rPr>
          <w:fldChar w:fldCharType="begin"/>
        </w:r>
        <w:r w:rsidR="0084737D">
          <w:rPr>
            <w:webHidden/>
          </w:rPr>
          <w:instrText xml:space="preserve"> PAGEREF _Toc422406863 \h </w:instrText>
        </w:r>
        <w:r>
          <w:rPr>
            <w:webHidden/>
          </w:rPr>
        </w:r>
        <w:r>
          <w:rPr>
            <w:webHidden/>
          </w:rPr>
          <w:fldChar w:fldCharType="separate"/>
        </w:r>
        <w:r w:rsidR="00864A9A">
          <w:rPr>
            <w:webHidden/>
          </w:rPr>
          <w:t>17</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4" w:history="1">
        <w:r w:rsidR="0084737D" w:rsidRPr="00362307">
          <w:rPr>
            <w:rStyle w:val="Hyperlink"/>
          </w:rPr>
          <w:t>3.3.</w:t>
        </w:r>
        <w:r w:rsidR="0084737D">
          <w:rPr>
            <w:rFonts w:asciiTheme="minorHAnsi" w:eastAsiaTheme="minorEastAsia" w:hAnsiTheme="minorHAnsi" w:cstheme="minorBidi"/>
            <w:sz w:val="22"/>
            <w:szCs w:val="22"/>
          </w:rPr>
          <w:tab/>
        </w:r>
        <w:r w:rsidR="0084737D" w:rsidRPr="00362307">
          <w:rPr>
            <w:rStyle w:val="Hyperlink"/>
          </w:rPr>
          <w:t>Expected outcomes in the Lower Murray-Darling Region</w:t>
        </w:r>
        <w:r w:rsidR="0084737D">
          <w:rPr>
            <w:webHidden/>
          </w:rPr>
          <w:tab/>
        </w:r>
        <w:r>
          <w:rPr>
            <w:webHidden/>
          </w:rPr>
          <w:fldChar w:fldCharType="begin"/>
        </w:r>
        <w:r w:rsidR="0084737D">
          <w:rPr>
            <w:webHidden/>
          </w:rPr>
          <w:instrText xml:space="preserve"> PAGEREF _Toc422406864 \h </w:instrText>
        </w:r>
        <w:r>
          <w:rPr>
            <w:webHidden/>
          </w:rPr>
        </w:r>
        <w:r>
          <w:rPr>
            <w:webHidden/>
          </w:rPr>
          <w:fldChar w:fldCharType="separate"/>
        </w:r>
        <w:r w:rsidR="00864A9A">
          <w:rPr>
            <w:webHidden/>
          </w:rPr>
          <w:t>18</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5" w:history="1">
        <w:r w:rsidR="0084737D" w:rsidRPr="00362307">
          <w:rPr>
            <w:rStyle w:val="Hyperlink"/>
          </w:rPr>
          <w:t>3.4.</w:t>
        </w:r>
        <w:r w:rsidR="0084737D">
          <w:rPr>
            <w:rFonts w:asciiTheme="minorHAnsi" w:eastAsiaTheme="minorEastAsia" w:hAnsiTheme="minorHAnsi" w:cstheme="minorBidi"/>
            <w:sz w:val="22"/>
            <w:szCs w:val="22"/>
          </w:rPr>
          <w:tab/>
        </w:r>
        <w:r w:rsidR="0084737D" w:rsidRPr="00362307">
          <w:rPr>
            <w:rStyle w:val="Hyperlink"/>
          </w:rPr>
          <w:t>Flows in scope for Commonwealth environmental watering over the long-term</w:t>
        </w:r>
        <w:r w:rsidR="0084737D">
          <w:rPr>
            <w:webHidden/>
          </w:rPr>
          <w:tab/>
        </w:r>
        <w:r>
          <w:rPr>
            <w:webHidden/>
          </w:rPr>
          <w:fldChar w:fldCharType="begin"/>
        </w:r>
        <w:r w:rsidR="0084737D">
          <w:rPr>
            <w:webHidden/>
          </w:rPr>
          <w:instrText xml:space="preserve"> PAGEREF _Toc422406865 \h </w:instrText>
        </w:r>
        <w:r>
          <w:rPr>
            <w:webHidden/>
          </w:rPr>
        </w:r>
        <w:r>
          <w:rPr>
            <w:webHidden/>
          </w:rPr>
          <w:fldChar w:fldCharType="separate"/>
        </w:r>
        <w:r w:rsidR="00864A9A">
          <w:rPr>
            <w:webHidden/>
          </w:rPr>
          <w:t>21</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6" w:history="1">
        <w:r w:rsidR="0084737D" w:rsidRPr="00362307">
          <w:rPr>
            <w:rStyle w:val="Hyperlink"/>
          </w:rPr>
          <w:t>3.5.</w:t>
        </w:r>
        <w:r w:rsidR="0084737D">
          <w:rPr>
            <w:rFonts w:asciiTheme="minorHAnsi" w:eastAsiaTheme="minorEastAsia" w:hAnsiTheme="minorHAnsi" w:cstheme="minorBidi"/>
            <w:sz w:val="22"/>
            <w:szCs w:val="22"/>
          </w:rPr>
          <w:tab/>
        </w:r>
        <w:r w:rsidR="0084737D" w:rsidRPr="00362307">
          <w:rPr>
            <w:rStyle w:val="Hyperlink"/>
          </w:rPr>
          <w:t>Potential watering actions under different levels of water resource availability</w:t>
        </w:r>
        <w:r w:rsidR="0084737D">
          <w:rPr>
            <w:webHidden/>
          </w:rPr>
          <w:tab/>
        </w:r>
        <w:r>
          <w:rPr>
            <w:webHidden/>
          </w:rPr>
          <w:fldChar w:fldCharType="begin"/>
        </w:r>
        <w:r w:rsidR="0084737D">
          <w:rPr>
            <w:webHidden/>
          </w:rPr>
          <w:instrText xml:space="preserve"> PAGEREF _Toc422406866 \h </w:instrText>
        </w:r>
        <w:r>
          <w:rPr>
            <w:webHidden/>
          </w:rPr>
        </w:r>
        <w:r>
          <w:rPr>
            <w:webHidden/>
          </w:rPr>
          <w:fldChar w:fldCharType="separate"/>
        </w:r>
        <w:r w:rsidR="00864A9A">
          <w:rPr>
            <w:webHidden/>
          </w:rPr>
          <w:t>23</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7" w:history="1">
        <w:r w:rsidR="0084737D" w:rsidRPr="00362307">
          <w:rPr>
            <w:rStyle w:val="Hyperlink"/>
          </w:rPr>
          <w:t>3.6.</w:t>
        </w:r>
        <w:r w:rsidR="0084737D">
          <w:rPr>
            <w:rFonts w:asciiTheme="minorHAnsi" w:eastAsiaTheme="minorEastAsia" w:hAnsiTheme="minorHAnsi" w:cstheme="minorBidi"/>
            <w:sz w:val="22"/>
            <w:szCs w:val="22"/>
          </w:rPr>
          <w:tab/>
        </w:r>
        <w:r w:rsidR="0084737D" w:rsidRPr="00362307">
          <w:rPr>
            <w:rStyle w:val="Hyperlink"/>
          </w:rPr>
          <w:t>Potential watering actions – standard operational considerations</w:t>
        </w:r>
        <w:r w:rsidR="0084737D">
          <w:rPr>
            <w:webHidden/>
          </w:rPr>
          <w:tab/>
        </w:r>
        <w:r>
          <w:rPr>
            <w:webHidden/>
          </w:rPr>
          <w:fldChar w:fldCharType="begin"/>
        </w:r>
        <w:r w:rsidR="0084737D">
          <w:rPr>
            <w:webHidden/>
          </w:rPr>
          <w:instrText xml:space="preserve"> PAGEREF _Toc422406867 \h </w:instrText>
        </w:r>
        <w:r>
          <w:rPr>
            <w:webHidden/>
          </w:rPr>
        </w:r>
        <w:r>
          <w:rPr>
            <w:webHidden/>
          </w:rPr>
          <w:fldChar w:fldCharType="separate"/>
        </w:r>
        <w:r w:rsidR="00864A9A">
          <w:rPr>
            <w:webHidden/>
          </w:rPr>
          <w:t>26</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68" w:history="1">
        <w:r w:rsidR="0084737D" w:rsidRPr="00362307">
          <w:rPr>
            <w:rStyle w:val="Hyperlink"/>
          </w:rPr>
          <w:t>4.</w:t>
        </w:r>
        <w:r w:rsidR="0084737D">
          <w:rPr>
            <w:rFonts w:asciiTheme="minorHAnsi" w:eastAsiaTheme="minorEastAsia" w:hAnsiTheme="minorHAnsi" w:cstheme="minorBidi"/>
            <w:b w:val="0"/>
            <w:sz w:val="22"/>
            <w:szCs w:val="22"/>
          </w:rPr>
          <w:tab/>
        </w:r>
        <w:r w:rsidR="0084737D" w:rsidRPr="00362307">
          <w:rPr>
            <w:rStyle w:val="Hyperlink"/>
          </w:rPr>
          <w:t>Long-term water availability</w:t>
        </w:r>
        <w:r w:rsidR="0084737D">
          <w:rPr>
            <w:webHidden/>
          </w:rPr>
          <w:tab/>
        </w:r>
        <w:r>
          <w:rPr>
            <w:webHidden/>
          </w:rPr>
          <w:fldChar w:fldCharType="begin"/>
        </w:r>
        <w:r w:rsidR="0084737D">
          <w:rPr>
            <w:webHidden/>
          </w:rPr>
          <w:instrText xml:space="preserve"> PAGEREF _Toc422406868 \h </w:instrText>
        </w:r>
        <w:r>
          <w:rPr>
            <w:webHidden/>
          </w:rPr>
        </w:r>
        <w:r>
          <w:rPr>
            <w:webHidden/>
          </w:rPr>
          <w:fldChar w:fldCharType="separate"/>
        </w:r>
        <w:r w:rsidR="00864A9A">
          <w:rPr>
            <w:webHidden/>
          </w:rPr>
          <w:t>30</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69" w:history="1">
        <w:r w:rsidR="0084737D" w:rsidRPr="00362307">
          <w:rPr>
            <w:rStyle w:val="Hyperlink"/>
          </w:rPr>
          <w:t>4.1.</w:t>
        </w:r>
        <w:r w:rsidR="0084737D">
          <w:rPr>
            <w:rFonts w:asciiTheme="minorHAnsi" w:eastAsiaTheme="minorEastAsia" w:hAnsiTheme="minorHAnsi" w:cstheme="minorBidi"/>
            <w:sz w:val="22"/>
            <w:szCs w:val="22"/>
          </w:rPr>
          <w:tab/>
        </w:r>
        <w:r w:rsidR="0084737D" w:rsidRPr="00362307">
          <w:rPr>
            <w:rStyle w:val="Hyperlink"/>
          </w:rPr>
          <w:t>Commonwealth environmental water holdings</w:t>
        </w:r>
        <w:r w:rsidR="0084737D">
          <w:rPr>
            <w:webHidden/>
          </w:rPr>
          <w:tab/>
        </w:r>
        <w:r>
          <w:rPr>
            <w:webHidden/>
          </w:rPr>
          <w:fldChar w:fldCharType="begin"/>
        </w:r>
        <w:r w:rsidR="0084737D">
          <w:rPr>
            <w:webHidden/>
          </w:rPr>
          <w:instrText xml:space="preserve"> PAGEREF _Toc422406869 \h </w:instrText>
        </w:r>
        <w:r>
          <w:rPr>
            <w:webHidden/>
          </w:rPr>
        </w:r>
        <w:r>
          <w:rPr>
            <w:webHidden/>
          </w:rPr>
          <w:fldChar w:fldCharType="separate"/>
        </w:r>
        <w:r w:rsidR="00864A9A">
          <w:rPr>
            <w:webHidden/>
          </w:rPr>
          <w:t>30</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70" w:history="1">
        <w:r w:rsidR="0084737D" w:rsidRPr="00362307">
          <w:rPr>
            <w:rStyle w:val="Hyperlink"/>
          </w:rPr>
          <w:t>4.2.</w:t>
        </w:r>
        <w:r w:rsidR="0084737D">
          <w:rPr>
            <w:rFonts w:asciiTheme="minorHAnsi" w:eastAsiaTheme="minorEastAsia" w:hAnsiTheme="minorHAnsi" w:cstheme="minorBidi"/>
            <w:sz w:val="22"/>
            <w:szCs w:val="22"/>
          </w:rPr>
          <w:tab/>
        </w:r>
        <w:r w:rsidR="0084737D" w:rsidRPr="00362307">
          <w:rPr>
            <w:rStyle w:val="Hyperlink"/>
          </w:rPr>
          <w:t>Other sources of environmental water</w:t>
        </w:r>
        <w:r w:rsidR="0084737D">
          <w:rPr>
            <w:webHidden/>
          </w:rPr>
          <w:tab/>
        </w:r>
        <w:r>
          <w:rPr>
            <w:webHidden/>
          </w:rPr>
          <w:fldChar w:fldCharType="begin"/>
        </w:r>
        <w:r w:rsidR="0084737D">
          <w:rPr>
            <w:webHidden/>
          </w:rPr>
          <w:instrText xml:space="preserve"> PAGEREF _Toc422406870 \h </w:instrText>
        </w:r>
        <w:r>
          <w:rPr>
            <w:webHidden/>
          </w:rPr>
        </w:r>
        <w:r>
          <w:rPr>
            <w:webHidden/>
          </w:rPr>
          <w:fldChar w:fldCharType="separate"/>
        </w:r>
        <w:r w:rsidR="00864A9A">
          <w:rPr>
            <w:webHidden/>
          </w:rPr>
          <w:t>31</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71" w:history="1">
        <w:r w:rsidR="0084737D" w:rsidRPr="00362307">
          <w:rPr>
            <w:rStyle w:val="Hyperlink"/>
          </w:rPr>
          <w:t>4.3.</w:t>
        </w:r>
        <w:r w:rsidR="0084737D">
          <w:rPr>
            <w:rFonts w:asciiTheme="minorHAnsi" w:eastAsiaTheme="minorEastAsia" w:hAnsiTheme="minorHAnsi" w:cstheme="minorBidi"/>
            <w:sz w:val="22"/>
            <w:szCs w:val="22"/>
          </w:rPr>
          <w:tab/>
        </w:r>
        <w:r w:rsidR="0084737D" w:rsidRPr="00362307">
          <w:rPr>
            <w:rStyle w:val="Hyperlink"/>
          </w:rPr>
          <w:t>Planned environmental water</w:t>
        </w:r>
        <w:r w:rsidR="0084737D">
          <w:rPr>
            <w:webHidden/>
          </w:rPr>
          <w:tab/>
        </w:r>
        <w:r>
          <w:rPr>
            <w:webHidden/>
          </w:rPr>
          <w:fldChar w:fldCharType="begin"/>
        </w:r>
        <w:r w:rsidR="0084737D">
          <w:rPr>
            <w:webHidden/>
          </w:rPr>
          <w:instrText xml:space="preserve"> PAGEREF _Toc422406871 \h </w:instrText>
        </w:r>
        <w:r>
          <w:rPr>
            <w:webHidden/>
          </w:rPr>
        </w:r>
        <w:r>
          <w:rPr>
            <w:webHidden/>
          </w:rPr>
          <w:fldChar w:fldCharType="separate"/>
        </w:r>
        <w:r w:rsidR="00864A9A">
          <w:rPr>
            <w:webHidden/>
          </w:rPr>
          <w:t>31</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72" w:history="1">
        <w:r w:rsidR="0084737D" w:rsidRPr="00362307">
          <w:rPr>
            <w:rStyle w:val="Hyperlink"/>
          </w:rPr>
          <w:t>5.</w:t>
        </w:r>
        <w:r w:rsidR="0084737D">
          <w:rPr>
            <w:rFonts w:asciiTheme="minorHAnsi" w:eastAsiaTheme="minorEastAsia" w:hAnsiTheme="minorHAnsi" w:cstheme="minorBidi"/>
            <w:b w:val="0"/>
            <w:sz w:val="22"/>
            <w:szCs w:val="22"/>
          </w:rPr>
          <w:tab/>
        </w:r>
        <w:r w:rsidR="0084737D" w:rsidRPr="00362307">
          <w:rPr>
            <w:rStyle w:val="Hyperlink"/>
          </w:rPr>
          <w:t>Next steps</w:t>
        </w:r>
        <w:r w:rsidR="0084737D">
          <w:rPr>
            <w:webHidden/>
          </w:rPr>
          <w:tab/>
        </w:r>
        <w:r>
          <w:rPr>
            <w:webHidden/>
          </w:rPr>
          <w:fldChar w:fldCharType="begin"/>
        </w:r>
        <w:r w:rsidR="0084737D">
          <w:rPr>
            <w:webHidden/>
          </w:rPr>
          <w:instrText xml:space="preserve"> PAGEREF _Toc422406872 \h </w:instrText>
        </w:r>
        <w:r>
          <w:rPr>
            <w:webHidden/>
          </w:rPr>
        </w:r>
        <w:r>
          <w:rPr>
            <w:webHidden/>
          </w:rPr>
          <w:fldChar w:fldCharType="separate"/>
        </w:r>
        <w:r w:rsidR="00864A9A">
          <w:rPr>
            <w:webHidden/>
          </w:rPr>
          <w:t>31</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73" w:history="1">
        <w:r w:rsidR="0084737D" w:rsidRPr="00362307">
          <w:rPr>
            <w:rStyle w:val="Hyperlink"/>
            <w:bCs/>
          </w:rPr>
          <w:t>5.1.</w:t>
        </w:r>
        <w:r w:rsidR="0084737D">
          <w:rPr>
            <w:rFonts w:asciiTheme="minorHAnsi" w:eastAsiaTheme="minorEastAsia" w:hAnsiTheme="minorHAnsi" w:cstheme="minorBidi"/>
            <w:sz w:val="22"/>
            <w:szCs w:val="22"/>
          </w:rPr>
          <w:tab/>
        </w:r>
        <w:r w:rsidR="0084737D" w:rsidRPr="00362307">
          <w:rPr>
            <w:rStyle w:val="Hyperlink"/>
            <w:rFonts w:cs="Arial"/>
            <w:bCs/>
          </w:rPr>
          <w:t>From planning to decision making</w:t>
        </w:r>
        <w:r w:rsidR="0084737D">
          <w:rPr>
            <w:webHidden/>
          </w:rPr>
          <w:tab/>
        </w:r>
        <w:r>
          <w:rPr>
            <w:webHidden/>
          </w:rPr>
          <w:fldChar w:fldCharType="begin"/>
        </w:r>
        <w:r w:rsidR="0084737D">
          <w:rPr>
            <w:webHidden/>
          </w:rPr>
          <w:instrText xml:space="preserve"> PAGEREF _Toc422406873 \h </w:instrText>
        </w:r>
        <w:r>
          <w:rPr>
            <w:webHidden/>
          </w:rPr>
        </w:r>
        <w:r>
          <w:rPr>
            <w:webHidden/>
          </w:rPr>
          <w:fldChar w:fldCharType="separate"/>
        </w:r>
        <w:r w:rsidR="00864A9A">
          <w:rPr>
            <w:webHidden/>
          </w:rPr>
          <w:t>31</w:t>
        </w:r>
        <w:r>
          <w:rPr>
            <w:webHidden/>
          </w:rPr>
          <w:fldChar w:fldCharType="end"/>
        </w:r>
      </w:hyperlink>
    </w:p>
    <w:p w:rsidR="0084737D" w:rsidRDefault="00B64803">
      <w:pPr>
        <w:pStyle w:val="TOC2"/>
        <w:rPr>
          <w:rFonts w:asciiTheme="minorHAnsi" w:eastAsiaTheme="minorEastAsia" w:hAnsiTheme="minorHAnsi" w:cstheme="minorBidi"/>
          <w:sz w:val="22"/>
          <w:szCs w:val="22"/>
        </w:rPr>
      </w:pPr>
      <w:hyperlink w:anchor="_Toc422406874" w:history="1">
        <w:r w:rsidR="0084737D" w:rsidRPr="00362307">
          <w:rPr>
            <w:rStyle w:val="Hyperlink"/>
            <w:bCs/>
          </w:rPr>
          <w:t>5.2.</w:t>
        </w:r>
        <w:r w:rsidR="0084737D">
          <w:rPr>
            <w:rFonts w:asciiTheme="minorHAnsi" w:eastAsiaTheme="minorEastAsia" w:hAnsiTheme="minorHAnsi" w:cstheme="minorBidi"/>
            <w:sz w:val="22"/>
            <w:szCs w:val="22"/>
          </w:rPr>
          <w:tab/>
        </w:r>
        <w:r w:rsidR="0084737D" w:rsidRPr="00362307">
          <w:rPr>
            <w:rStyle w:val="Hyperlink"/>
            <w:rFonts w:cs="Arial"/>
            <w:bCs/>
          </w:rPr>
          <w:t>Further information</w:t>
        </w:r>
        <w:r w:rsidR="0084737D">
          <w:rPr>
            <w:webHidden/>
          </w:rPr>
          <w:tab/>
        </w:r>
        <w:r>
          <w:rPr>
            <w:webHidden/>
          </w:rPr>
          <w:fldChar w:fldCharType="begin"/>
        </w:r>
        <w:r w:rsidR="0084737D">
          <w:rPr>
            <w:webHidden/>
          </w:rPr>
          <w:instrText xml:space="preserve"> PAGEREF _Toc422406874 \h </w:instrText>
        </w:r>
        <w:r>
          <w:rPr>
            <w:webHidden/>
          </w:rPr>
        </w:r>
        <w:r>
          <w:rPr>
            <w:webHidden/>
          </w:rPr>
          <w:fldChar w:fldCharType="separate"/>
        </w:r>
        <w:r w:rsidR="00864A9A">
          <w:rPr>
            <w:webHidden/>
          </w:rPr>
          <w:t>32</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75" w:history="1">
        <w:r w:rsidR="0084737D" w:rsidRPr="00362307">
          <w:rPr>
            <w:rStyle w:val="Hyperlink"/>
          </w:rPr>
          <w:t>Attachment A – Expected outcomes from the Basin-wide environmental watering strategy</w:t>
        </w:r>
        <w:r w:rsidR="0084737D">
          <w:rPr>
            <w:webHidden/>
          </w:rPr>
          <w:tab/>
        </w:r>
        <w:r>
          <w:rPr>
            <w:webHidden/>
          </w:rPr>
          <w:fldChar w:fldCharType="begin"/>
        </w:r>
        <w:r w:rsidR="0084737D">
          <w:rPr>
            <w:webHidden/>
          </w:rPr>
          <w:instrText xml:space="preserve"> PAGEREF _Toc422406875 \h </w:instrText>
        </w:r>
        <w:r>
          <w:rPr>
            <w:webHidden/>
          </w:rPr>
        </w:r>
        <w:r>
          <w:rPr>
            <w:webHidden/>
          </w:rPr>
          <w:fldChar w:fldCharType="separate"/>
        </w:r>
        <w:r w:rsidR="00864A9A">
          <w:rPr>
            <w:webHidden/>
          </w:rPr>
          <w:t>33</w:t>
        </w:r>
        <w:r>
          <w:rPr>
            <w:webHidden/>
          </w:rPr>
          <w:fldChar w:fldCharType="end"/>
        </w:r>
      </w:hyperlink>
    </w:p>
    <w:p w:rsidR="0084737D" w:rsidRDefault="00B64803">
      <w:pPr>
        <w:pStyle w:val="TOC1"/>
        <w:rPr>
          <w:rFonts w:asciiTheme="minorHAnsi" w:eastAsiaTheme="minorEastAsia" w:hAnsiTheme="minorHAnsi" w:cstheme="minorBidi"/>
          <w:b w:val="0"/>
          <w:sz w:val="22"/>
          <w:szCs w:val="22"/>
        </w:rPr>
      </w:pPr>
      <w:hyperlink w:anchor="_Toc422406876" w:history="1">
        <w:r w:rsidR="0084737D" w:rsidRPr="00362307">
          <w:rPr>
            <w:rStyle w:val="Hyperlink"/>
          </w:rPr>
          <w:t>Bibliography</w:t>
        </w:r>
        <w:r w:rsidR="0084737D">
          <w:rPr>
            <w:webHidden/>
          </w:rPr>
          <w:tab/>
        </w:r>
        <w:r>
          <w:rPr>
            <w:webHidden/>
          </w:rPr>
          <w:fldChar w:fldCharType="begin"/>
        </w:r>
        <w:r w:rsidR="0084737D">
          <w:rPr>
            <w:webHidden/>
          </w:rPr>
          <w:instrText xml:space="preserve"> PAGEREF _Toc422406876 \h </w:instrText>
        </w:r>
        <w:r>
          <w:rPr>
            <w:webHidden/>
          </w:rPr>
        </w:r>
        <w:r>
          <w:rPr>
            <w:webHidden/>
          </w:rPr>
          <w:fldChar w:fldCharType="separate"/>
        </w:r>
        <w:r w:rsidR="00864A9A">
          <w:rPr>
            <w:webHidden/>
          </w:rPr>
          <w:t>38</w:t>
        </w:r>
        <w:r>
          <w:rPr>
            <w:webHidden/>
          </w:rPr>
          <w:fldChar w:fldCharType="end"/>
        </w:r>
      </w:hyperlink>
    </w:p>
    <w:p w:rsidR="009535AA" w:rsidRDefault="00B64803" w:rsidP="00060C7A">
      <w:pPr>
        <w:pStyle w:val="Heading1"/>
        <w:numPr>
          <w:ilvl w:val="0"/>
          <w:numId w:val="0"/>
        </w:numPr>
        <w:jc w:val="left"/>
        <w:rPr>
          <w:rFonts w:ascii="Century Gothic" w:hAnsi="Century Gothic"/>
          <w:color w:val="5F497A" w:themeColor="accent4" w:themeShade="BF"/>
          <w:sz w:val="48"/>
          <w:szCs w:val="48"/>
        </w:rPr>
        <w:sectPr w:rsidR="009535AA" w:rsidSect="009535AA">
          <w:pgSz w:w="11906" w:h="16838"/>
          <w:pgMar w:top="0" w:right="707" w:bottom="709" w:left="851" w:header="708" w:footer="0" w:gutter="0"/>
          <w:cols w:space="708"/>
          <w:titlePg/>
          <w:docGrid w:linePitch="360"/>
        </w:sectPr>
      </w:pPr>
      <w:r w:rsidRPr="008D2B6B">
        <w:rPr>
          <w:lang w:val="en-AU"/>
        </w:rPr>
        <w:fldChar w:fldCharType="end"/>
      </w:r>
    </w:p>
    <w:p w:rsidR="00060C7A" w:rsidRPr="005B54FD" w:rsidRDefault="00060C7A" w:rsidP="00060C7A">
      <w:pPr>
        <w:pStyle w:val="Heading1"/>
        <w:numPr>
          <w:ilvl w:val="0"/>
          <w:numId w:val="0"/>
        </w:numPr>
        <w:jc w:val="left"/>
        <w:rPr>
          <w:rFonts w:ascii="Century Gothic" w:hAnsi="Century Gothic"/>
          <w:color w:val="5F497A" w:themeColor="accent4" w:themeShade="BF"/>
          <w:sz w:val="48"/>
          <w:szCs w:val="48"/>
        </w:rPr>
      </w:pPr>
      <w:bookmarkStart w:id="4" w:name="_Toc422406845"/>
      <w:r w:rsidRPr="005B54FD">
        <w:rPr>
          <w:rFonts w:ascii="Century Gothic" w:hAnsi="Century Gothic"/>
          <w:color w:val="5F497A" w:themeColor="accent4" w:themeShade="BF"/>
          <w:sz w:val="48"/>
          <w:szCs w:val="48"/>
        </w:rPr>
        <w:lastRenderedPageBreak/>
        <w:t>Commonwealth environmental water portfolio management planning</w:t>
      </w:r>
      <w:bookmarkEnd w:id="4"/>
      <w:r w:rsidRPr="005B54FD">
        <w:rPr>
          <w:rFonts w:ascii="Century Gothic" w:hAnsi="Century Gothic"/>
          <w:color w:val="5F497A" w:themeColor="accent4" w:themeShade="BF"/>
          <w:sz w:val="48"/>
          <w:szCs w:val="48"/>
        </w:rPr>
        <w:t xml:space="preserve"> </w:t>
      </w:r>
    </w:p>
    <w:p w:rsidR="00060C7A" w:rsidRPr="008D2B6B" w:rsidRDefault="00060C7A" w:rsidP="00060C7A">
      <w:pPr>
        <w:pStyle w:val="Heading2"/>
        <w:numPr>
          <w:ilvl w:val="0"/>
          <w:numId w:val="0"/>
        </w:numPr>
        <w:spacing w:before="0"/>
        <w:rPr>
          <w:rFonts w:ascii="Century Gothic" w:hAnsi="Century Gothic"/>
          <w:noProof/>
          <w:color w:val="5F497A" w:themeColor="accent4" w:themeShade="BF"/>
          <w:lang w:val="en-AU"/>
        </w:rPr>
      </w:pPr>
      <w:bookmarkStart w:id="5" w:name="_Toc422406846"/>
      <w:r w:rsidRPr="008D2B6B">
        <w:rPr>
          <w:rFonts w:ascii="Century Gothic" w:hAnsi="Century Gothic"/>
          <w:noProof/>
          <w:color w:val="5F497A" w:themeColor="accent4" w:themeShade="BF"/>
          <w:lang w:val="en-AU"/>
        </w:rPr>
        <w:t>Purpose of the document</w:t>
      </w:r>
      <w:bookmarkEnd w:id="5"/>
    </w:p>
    <w:p w:rsidR="00060C7A" w:rsidRPr="008417AE" w:rsidRDefault="00060C7A" w:rsidP="00060C7A">
      <w:pPr>
        <w:spacing w:after="240"/>
        <w:outlineLvl w:val="0"/>
        <w:rPr>
          <w:rFonts w:ascii="Century Gothic" w:hAnsi="Century Gothic"/>
          <w:sz w:val="20"/>
          <w:szCs w:val="20"/>
        </w:rPr>
      </w:pPr>
      <w:r w:rsidRPr="008417AE">
        <w:rPr>
          <w:rFonts w:ascii="Century Gothic" w:hAnsi="Century Gothic"/>
          <w:sz w:val="20"/>
          <w:szCs w:val="20"/>
        </w:rPr>
        <w:t xml:space="preserve">This document consists of two parts. Part I sets out the Commonwealth Environmental Water Office’s (the Office) portfolio management planning for the 2015–16 water year and for the following two years. While focussed on the </w:t>
      </w:r>
      <w:r>
        <w:rPr>
          <w:rFonts w:ascii="Century Gothic" w:hAnsi="Century Gothic"/>
          <w:color w:val="000000" w:themeColor="text1"/>
          <w:sz w:val="20"/>
          <w:szCs w:val="20"/>
        </w:rPr>
        <w:t>L</w:t>
      </w:r>
      <w:r w:rsidRPr="008417AE">
        <w:rPr>
          <w:rFonts w:ascii="Century Gothic" w:hAnsi="Century Gothic"/>
          <w:color w:val="000000" w:themeColor="text1"/>
          <w:sz w:val="20"/>
          <w:szCs w:val="20"/>
        </w:rPr>
        <w:t>ower Murray</w:t>
      </w:r>
      <w:r>
        <w:rPr>
          <w:rFonts w:ascii="Century Gothic" w:hAnsi="Century Gothic"/>
          <w:color w:val="000000" w:themeColor="text1"/>
          <w:sz w:val="20"/>
          <w:szCs w:val="20"/>
        </w:rPr>
        <w:t>-</w:t>
      </w:r>
      <w:r w:rsidRPr="008417AE">
        <w:rPr>
          <w:rFonts w:ascii="Century Gothic" w:hAnsi="Century Gothic"/>
          <w:color w:val="000000" w:themeColor="text1"/>
          <w:sz w:val="20"/>
          <w:szCs w:val="20"/>
        </w:rPr>
        <w:t>Darling Region</w:t>
      </w:r>
      <w:r w:rsidRPr="008417AE">
        <w:rPr>
          <w:rFonts w:ascii="Century Gothic" w:hAnsi="Century Gothic"/>
          <w:sz w:val="20"/>
          <w:szCs w:val="20"/>
        </w:rPr>
        <w:t xml:space="preserve">, the identified use, carryover and trading intentions have been considered together with those for other catchments in a Murray-Darling Basin-wide analysis. </w:t>
      </w:r>
    </w:p>
    <w:p w:rsidR="00060C7A" w:rsidRPr="008417AE" w:rsidRDefault="00060C7A" w:rsidP="00060C7A">
      <w:pPr>
        <w:spacing w:after="240"/>
        <w:outlineLvl w:val="0"/>
        <w:rPr>
          <w:rFonts w:ascii="Century Gothic" w:hAnsi="Century Gothic"/>
          <w:sz w:val="20"/>
          <w:szCs w:val="20"/>
        </w:rPr>
      </w:pPr>
      <w:r w:rsidRPr="008417AE">
        <w:rPr>
          <w:rFonts w:ascii="Century Gothic" w:hAnsi="Century Gothic"/>
          <w:sz w:val="20"/>
          <w:szCs w:val="20"/>
        </w:rPr>
        <w:t xml:space="preserve">Part II of this document establishes the context for how the Office integrates its management of the Commonwealth environmental water portfolio in the </w:t>
      </w:r>
      <w:r>
        <w:rPr>
          <w:rFonts w:ascii="Century Gothic" w:hAnsi="Century Gothic"/>
          <w:color w:val="000000" w:themeColor="text1"/>
          <w:sz w:val="20"/>
          <w:szCs w:val="20"/>
        </w:rPr>
        <w:t>Lower Murray-</w:t>
      </w:r>
      <w:r w:rsidRPr="008417AE">
        <w:rPr>
          <w:rFonts w:ascii="Century Gothic" w:hAnsi="Century Gothic"/>
          <w:color w:val="000000" w:themeColor="text1"/>
          <w:sz w:val="20"/>
          <w:szCs w:val="20"/>
        </w:rPr>
        <w:t xml:space="preserve">Darling </w:t>
      </w:r>
      <w:r w:rsidRPr="008417AE">
        <w:rPr>
          <w:rFonts w:ascii="Century Gothic" w:hAnsi="Century Gothic"/>
          <w:sz w:val="20"/>
          <w:szCs w:val="20"/>
        </w:rPr>
        <w:t xml:space="preserve">and across the Murray-Darling Basin more broadly. It sets out the environmental demands that Commonwealth environmental water may contribute to in the </w:t>
      </w:r>
      <w:r>
        <w:rPr>
          <w:rFonts w:ascii="Century Gothic" w:hAnsi="Century Gothic"/>
          <w:color w:val="000000" w:themeColor="text1"/>
          <w:sz w:val="20"/>
          <w:szCs w:val="20"/>
        </w:rPr>
        <w:t>Lower Murray-</w:t>
      </w:r>
      <w:r w:rsidRPr="008417AE">
        <w:rPr>
          <w:rFonts w:ascii="Century Gothic" w:hAnsi="Century Gothic"/>
          <w:color w:val="000000" w:themeColor="text1"/>
          <w:sz w:val="20"/>
          <w:szCs w:val="20"/>
        </w:rPr>
        <w:t>Darling</w:t>
      </w:r>
      <w:r w:rsidRPr="008417AE">
        <w:rPr>
          <w:rFonts w:ascii="Century Gothic" w:hAnsi="Century Gothic"/>
          <w:sz w:val="20"/>
          <w:szCs w:val="20"/>
        </w:rPr>
        <w:t xml:space="preserve">, as well as the long-term supply profile for Commonwealth environmental water. Part II also explains how these two factors are considered together to inform an overall purpose for portfolio management, as well as the most appropriate mix of portfolio management options to maximise the benefits that can be achieved with the water portfolio across multiple years. </w:t>
      </w:r>
    </w:p>
    <w:p w:rsidR="00060C7A" w:rsidRPr="008D2B6B" w:rsidRDefault="00060C7A" w:rsidP="00060C7A">
      <w:pPr>
        <w:pStyle w:val="Heading2"/>
        <w:numPr>
          <w:ilvl w:val="0"/>
          <w:numId w:val="0"/>
        </w:numPr>
        <w:spacing w:before="0"/>
        <w:rPr>
          <w:rFonts w:ascii="Century Gothic" w:hAnsi="Century Gothic"/>
          <w:noProof/>
          <w:color w:val="5F497A" w:themeColor="accent4" w:themeShade="BF"/>
          <w:lang w:val="en-AU"/>
        </w:rPr>
      </w:pPr>
      <w:bookmarkStart w:id="6" w:name="_Toc422406847"/>
      <w:r w:rsidRPr="008D2B6B">
        <w:rPr>
          <w:rFonts w:ascii="Century Gothic" w:hAnsi="Century Gothic"/>
          <w:noProof/>
          <w:color w:val="5F497A" w:themeColor="accent4" w:themeShade="BF"/>
          <w:lang w:val="en-AU"/>
        </w:rPr>
        <w:t>Purpose of portfolio management planning</w:t>
      </w:r>
      <w:bookmarkEnd w:id="6"/>
      <w:r w:rsidRPr="008D2B6B">
        <w:rPr>
          <w:rFonts w:ascii="Century Gothic" w:hAnsi="Century Gothic"/>
          <w:noProof/>
          <w:color w:val="5F497A" w:themeColor="accent4" w:themeShade="BF"/>
          <w:lang w:val="en-AU"/>
        </w:rPr>
        <w:t xml:space="preserve"> </w:t>
      </w:r>
    </w:p>
    <w:p w:rsidR="00060C7A" w:rsidRPr="008417AE" w:rsidRDefault="00060C7A" w:rsidP="00060C7A">
      <w:pPr>
        <w:spacing w:after="240"/>
        <w:ind w:right="-1"/>
        <w:outlineLvl w:val="0"/>
        <w:rPr>
          <w:rFonts w:ascii="Century Gothic" w:hAnsi="Century Gothic"/>
          <w:sz w:val="20"/>
          <w:szCs w:val="20"/>
        </w:rPr>
      </w:pPr>
      <w:r w:rsidRPr="008417AE">
        <w:rPr>
          <w:rFonts w:ascii="Century Gothic" w:hAnsi="Century Gothic"/>
          <w:sz w:val="20"/>
          <w:szCs w:val="20"/>
        </w:rPr>
        <w:t>Efficient and effective management of the Commonwealth environmental water holdings requires the utilisation of all portfolio management options (use, carryover and trade). To support improved outcomes from water use over time, carryover provides the opportunity to optimise water use across water years and to improve water availability early in a water year, while trade provides further capacity to optimise use over the long-term as well as across catchments.</w:t>
      </w:r>
    </w:p>
    <w:p w:rsidR="00060C7A" w:rsidRPr="008417AE" w:rsidRDefault="00060C7A" w:rsidP="00060C7A">
      <w:pPr>
        <w:spacing w:after="120"/>
        <w:ind w:right="-1"/>
        <w:outlineLvl w:val="0"/>
        <w:rPr>
          <w:rFonts w:ascii="Century Gothic" w:hAnsi="Century Gothic"/>
          <w:sz w:val="20"/>
          <w:szCs w:val="20"/>
        </w:rPr>
      </w:pPr>
      <w:r w:rsidRPr="008417AE">
        <w:rPr>
          <w:rFonts w:ascii="Century Gothic" w:hAnsi="Century Gothic"/>
          <w:sz w:val="20"/>
          <w:szCs w:val="20"/>
        </w:rPr>
        <w:t>Through multi-year integrated planning, portfolio management tools such as use, carryover and trade can be strategically managed for maximising environmental outcomes. Integrated portfolio management planning will also support the Office in:</w:t>
      </w:r>
    </w:p>
    <w:p w:rsidR="00060C7A" w:rsidRPr="008417AE" w:rsidRDefault="00060C7A" w:rsidP="00060C7A">
      <w:pPr>
        <w:numPr>
          <w:ilvl w:val="0"/>
          <w:numId w:val="21"/>
        </w:numPr>
        <w:spacing w:after="120"/>
        <w:rPr>
          <w:rFonts w:ascii="Century Gothic" w:hAnsi="Century Gothic"/>
          <w:sz w:val="20"/>
          <w:szCs w:val="20"/>
        </w:rPr>
      </w:pPr>
      <w:r w:rsidRPr="008417AE">
        <w:rPr>
          <w:rFonts w:ascii="Century Gothic" w:hAnsi="Century Gothic"/>
          <w:sz w:val="20"/>
          <w:szCs w:val="20"/>
        </w:rPr>
        <w:t>meeting Basin Plan obligations and contributing to the long-term objectives of the environmental watering plan, the expected outcomes in the Basin-wide environmental watering strategy and Basin annual environmental watering priorities</w:t>
      </w:r>
    </w:p>
    <w:p w:rsidR="00060C7A" w:rsidRPr="008417AE" w:rsidRDefault="00060C7A" w:rsidP="00060C7A">
      <w:pPr>
        <w:numPr>
          <w:ilvl w:val="0"/>
          <w:numId w:val="21"/>
        </w:numPr>
        <w:spacing w:after="120"/>
        <w:rPr>
          <w:rFonts w:ascii="Century Gothic" w:hAnsi="Century Gothic"/>
          <w:sz w:val="20"/>
          <w:szCs w:val="20"/>
        </w:rPr>
      </w:pPr>
      <w:r w:rsidRPr="008417AE">
        <w:rPr>
          <w:rFonts w:ascii="Century Gothic" w:hAnsi="Century Gothic"/>
          <w:sz w:val="20"/>
          <w:szCs w:val="20"/>
        </w:rPr>
        <w:t>managing the Commonwealth environmental water portfolio in response to the demands identified by Basin States in long-term environmental watering plans, once available</w:t>
      </w:r>
    </w:p>
    <w:p w:rsidR="00060C7A" w:rsidRPr="008417AE" w:rsidRDefault="00060C7A" w:rsidP="00060C7A">
      <w:pPr>
        <w:numPr>
          <w:ilvl w:val="0"/>
          <w:numId w:val="21"/>
        </w:numPr>
        <w:spacing w:after="120"/>
        <w:rPr>
          <w:rFonts w:ascii="Century Gothic" w:hAnsi="Century Gothic"/>
          <w:sz w:val="20"/>
          <w:szCs w:val="20"/>
        </w:rPr>
      </w:pPr>
      <w:r w:rsidRPr="008417AE">
        <w:rPr>
          <w:rFonts w:ascii="Century Gothic" w:hAnsi="Century Gothic"/>
          <w:sz w:val="20"/>
          <w:szCs w:val="20"/>
        </w:rPr>
        <w:t>applying adaptive management (including the setting of objectives, evaluating outcomes and informing future decision making)</w:t>
      </w:r>
    </w:p>
    <w:p w:rsidR="00060C7A" w:rsidRPr="008417AE" w:rsidRDefault="00060C7A" w:rsidP="00060C7A">
      <w:pPr>
        <w:numPr>
          <w:ilvl w:val="0"/>
          <w:numId w:val="21"/>
        </w:numPr>
        <w:spacing w:after="120"/>
        <w:rPr>
          <w:rFonts w:ascii="Century Gothic" w:hAnsi="Century Gothic"/>
          <w:sz w:val="20"/>
          <w:szCs w:val="20"/>
        </w:rPr>
      </w:pPr>
      <w:r w:rsidRPr="008417AE">
        <w:rPr>
          <w:rFonts w:ascii="Century Gothic" w:hAnsi="Century Gothic"/>
          <w:sz w:val="20"/>
          <w:szCs w:val="20"/>
        </w:rPr>
        <w:t>providing increased transparency in relation to the Commonwealth Environmental Water Holder’s portfolio management (use, trade and carryover) behaviour</w:t>
      </w:r>
    </w:p>
    <w:p w:rsidR="00060C7A" w:rsidRPr="008417AE" w:rsidRDefault="00060C7A" w:rsidP="00060C7A">
      <w:pPr>
        <w:numPr>
          <w:ilvl w:val="0"/>
          <w:numId w:val="21"/>
        </w:numPr>
        <w:spacing w:after="240"/>
        <w:rPr>
          <w:rFonts w:ascii="Century Gothic" w:hAnsi="Century Gothic"/>
          <w:sz w:val="20"/>
          <w:szCs w:val="20"/>
        </w:rPr>
      </w:pPr>
      <w:r w:rsidRPr="008417AE">
        <w:rPr>
          <w:rFonts w:ascii="Century Gothic" w:hAnsi="Century Gothic"/>
          <w:sz w:val="20"/>
          <w:szCs w:val="20"/>
        </w:rPr>
        <w:t xml:space="preserve">coordinating water use with delivery partners, including developing long-term delivery arrangements </w:t>
      </w:r>
    </w:p>
    <w:p w:rsidR="00060C7A" w:rsidRPr="008D2B6B" w:rsidRDefault="00060C7A" w:rsidP="00060C7A">
      <w:pPr>
        <w:pStyle w:val="Heading2"/>
        <w:numPr>
          <w:ilvl w:val="0"/>
          <w:numId w:val="0"/>
        </w:numPr>
        <w:spacing w:before="0"/>
        <w:rPr>
          <w:rFonts w:ascii="Century Gothic" w:hAnsi="Century Gothic"/>
          <w:noProof/>
          <w:color w:val="5F497A" w:themeColor="accent4" w:themeShade="BF"/>
          <w:lang w:val="en-AU"/>
        </w:rPr>
      </w:pPr>
      <w:bookmarkStart w:id="7" w:name="_Toc422406848"/>
      <w:r w:rsidRPr="008D2B6B">
        <w:rPr>
          <w:rFonts w:ascii="Century Gothic" w:hAnsi="Century Gothic"/>
          <w:noProof/>
          <w:color w:val="5F497A" w:themeColor="accent4" w:themeShade="BF"/>
          <w:lang w:val="en-AU"/>
        </w:rPr>
        <w:t>Scope of integrated portfolio management planning</w:t>
      </w:r>
      <w:bookmarkEnd w:id="7"/>
    </w:p>
    <w:p w:rsidR="00060C7A" w:rsidRPr="002E048C" w:rsidRDefault="00060C7A" w:rsidP="00060C7A">
      <w:pPr>
        <w:spacing w:after="120"/>
        <w:ind w:right="866"/>
        <w:outlineLvl w:val="0"/>
        <w:rPr>
          <w:rFonts w:ascii="Century Gothic" w:hAnsi="Century Gothic"/>
          <w:sz w:val="20"/>
          <w:szCs w:val="20"/>
        </w:rPr>
      </w:pPr>
      <w:r w:rsidRPr="002E048C">
        <w:rPr>
          <w:rFonts w:ascii="Century Gothic" w:hAnsi="Century Gothic"/>
          <w:sz w:val="20"/>
          <w:szCs w:val="20"/>
        </w:rPr>
        <w:t>The following portfolio management options have been determined to be in scope for integrated planning by the Office:</w:t>
      </w:r>
    </w:p>
    <w:p w:rsidR="00060C7A" w:rsidRPr="002E048C" w:rsidRDefault="00060C7A" w:rsidP="00060C7A">
      <w:pPr>
        <w:numPr>
          <w:ilvl w:val="0"/>
          <w:numId w:val="21"/>
        </w:numPr>
        <w:spacing w:after="120"/>
        <w:rPr>
          <w:rFonts w:ascii="Century Gothic" w:hAnsi="Century Gothic"/>
          <w:sz w:val="20"/>
          <w:szCs w:val="20"/>
        </w:rPr>
      </w:pPr>
      <w:r w:rsidRPr="002E048C">
        <w:rPr>
          <w:rFonts w:ascii="Century Gothic" w:hAnsi="Century Gothic"/>
          <w:sz w:val="20"/>
          <w:szCs w:val="20"/>
        </w:rPr>
        <w:t>use</w:t>
      </w:r>
    </w:p>
    <w:p w:rsidR="00060C7A" w:rsidRPr="002E048C" w:rsidRDefault="00060C7A" w:rsidP="00060C7A">
      <w:pPr>
        <w:numPr>
          <w:ilvl w:val="0"/>
          <w:numId w:val="21"/>
        </w:numPr>
        <w:spacing w:after="120"/>
        <w:rPr>
          <w:rFonts w:ascii="Century Gothic" w:hAnsi="Century Gothic"/>
          <w:sz w:val="20"/>
          <w:szCs w:val="20"/>
        </w:rPr>
      </w:pPr>
      <w:r w:rsidRPr="002E048C">
        <w:rPr>
          <w:rFonts w:ascii="Century Gothic" w:hAnsi="Century Gothic"/>
          <w:sz w:val="20"/>
          <w:szCs w:val="20"/>
        </w:rPr>
        <w:t xml:space="preserve">carryover </w:t>
      </w:r>
    </w:p>
    <w:p w:rsidR="00060C7A" w:rsidRPr="002E048C" w:rsidRDefault="00060C7A" w:rsidP="00060C7A">
      <w:pPr>
        <w:numPr>
          <w:ilvl w:val="0"/>
          <w:numId w:val="21"/>
        </w:numPr>
        <w:spacing w:after="120"/>
        <w:rPr>
          <w:rFonts w:ascii="Century Gothic" w:hAnsi="Century Gothic"/>
          <w:sz w:val="20"/>
          <w:szCs w:val="20"/>
        </w:rPr>
      </w:pPr>
      <w:r w:rsidRPr="002E048C">
        <w:rPr>
          <w:rFonts w:ascii="Century Gothic" w:hAnsi="Century Gothic"/>
          <w:sz w:val="20"/>
          <w:szCs w:val="20"/>
        </w:rPr>
        <w:t>trade of allocations including:</w:t>
      </w:r>
    </w:p>
    <w:p w:rsidR="00060C7A" w:rsidRPr="002E048C" w:rsidRDefault="00060C7A" w:rsidP="00060C7A">
      <w:pPr>
        <w:numPr>
          <w:ilvl w:val="1"/>
          <w:numId w:val="22"/>
        </w:numPr>
        <w:spacing w:after="120"/>
        <w:rPr>
          <w:rFonts w:ascii="Century Gothic" w:hAnsi="Century Gothic"/>
          <w:sz w:val="20"/>
          <w:szCs w:val="20"/>
        </w:rPr>
      </w:pPr>
      <w:r w:rsidRPr="002E048C">
        <w:rPr>
          <w:rFonts w:ascii="Century Gothic" w:hAnsi="Century Gothic"/>
          <w:sz w:val="20"/>
          <w:szCs w:val="20"/>
        </w:rPr>
        <w:t xml:space="preserve">transfer of allocations between connected catchments </w:t>
      </w:r>
    </w:p>
    <w:p w:rsidR="00060C7A" w:rsidRPr="002E048C" w:rsidRDefault="00060C7A" w:rsidP="00060C7A">
      <w:pPr>
        <w:numPr>
          <w:ilvl w:val="1"/>
          <w:numId w:val="22"/>
        </w:numPr>
        <w:spacing w:after="120"/>
        <w:rPr>
          <w:rFonts w:ascii="Century Gothic" w:hAnsi="Century Gothic"/>
          <w:sz w:val="20"/>
          <w:szCs w:val="20"/>
        </w:rPr>
      </w:pPr>
      <w:r w:rsidRPr="002E048C">
        <w:rPr>
          <w:rFonts w:ascii="Century Gothic" w:hAnsi="Century Gothic"/>
          <w:sz w:val="20"/>
          <w:szCs w:val="20"/>
        </w:rPr>
        <w:t>sale of allocations</w:t>
      </w:r>
    </w:p>
    <w:p w:rsidR="00060C7A" w:rsidRPr="002E048C" w:rsidRDefault="00060C7A" w:rsidP="00060C7A">
      <w:pPr>
        <w:numPr>
          <w:ilvl w:val="1"/>
          <w:numId w:val="22"/>
        </w:numPr>
        <w:spacing w:after="120"/>
        <w:rPr>
          <w:rFonts w:ascii="Century Gothic" w:hAnsi="Century Gothic"/>
          <w:sz w:val="20"/>
          <w:szCs w:val="20"/>
        </w:rPr>
      </w:pPr>
      <w:r w:rsidRPr="002E048C">
        <w:rPr>
          <w:rFonts w:ascii="Century Gothic" w:hAnsi="Century Gothic"/>
          <w:sz w:val="20"/>
          <w:szCs w:val="20"/>
        </w:rPr>
        <w:t>purchase of allocations</w:t>
      </w:r>
    </w:p>
    <w:p w:rsidR="00060C7A" w:rsidRPr="005B54FD" w:rsidRDefault="00060C7A" w:rsidP="00060C7A">
      <w:pPr>
        <w:spacing w:after="120"/>
        <w:ind w:right="866"/>
        <w:outlineLvl w:val="0"/>
        <w:rPr>
          <w:rFonts w:ascii="Century Gothic" w:hAnsi="Century Gothic"/>
          <w:sz w:val="20"/>
          <w:szCs w:val="20"/>
        </w:rPr>
      </w:pPr>
      <w:r w:rsidRPr="002E048C">
        <w:rPr>
          <w:rFonts w:ascii="Century Gothic" w:hAnsi="Century Gothic"/>
          <w:sz w:val="20"/>
          <w:szCs w:val="20"/>
        </w:rPr>
        <w:t xml:space="preserve">The Office’s portfolio management planning seeks to consider long-term demands (i.e. flow regimes) and supply, covering at least the preceding three years and out to three years. </w:t>
      </w:r>
    </w:p>
    <w:p w:rsidR="00060C7A" w:rsidRPr="00E82F3B" w:rsidRDefault="00060C7A" w:rsidP="00060C7A">
      <w:pPr>
        <w:pStyle w:val="Heading1"/>
        <w:numPr>
          <w:ilvl w:val="0"/>
          <w:numId w:val="0"/>
        </w:numPr>
        <w:jc w:val="left"/>
        <w:rPr>
          <w:rFonts w:ascii="Century Gothic" w:hAnsi="Century Gothic"/>
          <w:color w:val="5F497A" w:themeColor="accent4" w:themeShade="BF"/>
          <w:sz w:val="48"/>
          <w:szCs w:val="48"/>
        </w:rPr>
      </w:pPr>
      <w:bookmarkStart w:id="8" w:name="_Toc422406849"/>
      <w:r w:rsidRPr="00E82F3B">
        <w:rPr>
          <w:rFonts w:ascii="Century Gothic" w:hAnsi="Century Gothic"/>
          <w:color w:val="5F497A" w:themeColor="accent4" w:themeShade="BF"/>
          <w:sz w:val="48"/>
          <w:szCs w:val="48"/>
        </w:rPr>
        <w:lastRenderedPageBreak/>
        <w:t xml:space="preserve">Part I: Portfolio management planning in the Lower </w:t>
      </w:r>
      <w:r>
        <w:rPr>
          <w:rFonts w:ascii="Century Gothic" w:hAnsi="Century Gothic"/>
          <w:color w:val="5F497A" w:themeColor="accent4" w:themeShade="BF"/>
          <w:sz w:val="48"/>
          <w:szCs w:val="48"/>
        </w:rPr>
        <w:t>Murray–Darling</w:t>
      </w:r>
      <w:r w:rsidRPr="00E82F3B">
        <w:rPr>
          <w:rFonts w:ascii="Century Gothic" w:hAnsi="Century Gothic"/>
          <w:color w:val="5F497A" w:themeColor="accent4" w:themeShade="BF"/>
          <w:sz w:val="48"/>
          <w:szCs w:val="48"/>
        </w:rPr>
        <w:t xml:space="preserve"> Region</w:t>
      </w:r>
      <w:bookmarkEnd w:id="8"/>
      <w:r w:rsidRPr="00E82F3B">
        <w:rPr>
          <w:rFonts w:ascii="Century Gothic" w:hAnsi="Century Gothic"/>
          <w:color w:val="5F497A" w:themeColor="accent4" w:themeShade="BF"/>
          <w:sz w:val="48"/>
          <w:szCs w:val="48"/>
        </w:rPr>
        <w:t xml:space="preserve"> </w:t>
      </w:r>
    </w:p>
    <w:p w:rsidR="00060C7A" w:rsidRPr="00DA47EF" w:rsidRDefault="00060C7A" w:rsidP="00060C7A">
      <w:pPr>
        <w:pStyle w:val="Heading1"/>
        <w:spacing w:before="0"/>
        <w:ind w:left="567" w:hanging="567"/>
        <w:jc w:val="left"/>
        <w:rPr>
          <w:rFonts w:ascii="Century Gothic" w:hAnsi="Century Gothic"/>
          <w:color w:val="5F497A" w:themeColor="accent4" w:themeShade="BF"/>
        </w:rPr>
      </w:pPr>
      <w:bookmarkStart w:id="9" w:name="_Toc422406850"/>
      <w:r w:rsidRPr="00DA47EF">
        <w:rPr>
          <w:rFonts w:ascii="Century Gothic" w:hAnsi="Century Gothic"/>
          <w:color w:val="5F497A" w:themeColor="accent4" w:themeShade="BF"/>
        </w:rPr>
        <w:t>Purpose a</w:t>
      </w:r>
      <w:r>
        <w:rPr>
          <w:rFonts w:ascii="Century Gothic" w:hAnsi="Century Gothic"/>
          <w:color w:val="5F497A" w:themeColor="accent4" w:themeShade="BF"/>
        </w:rPr>
        <w:t>nd portfolio management in 2015–</w:t>
      </w:r>
      <w:r w:rsidRPr="00DA47EF">
        <w:rPr>
          <w:rFonts w:ascii="Century Gothic" w:hAnsi="Century Gothic"/>
          <w:color w:val="5F497A" w:themeColor="accent4" w:themeShade="BF"/>
        </w:rPr>
        <w:t>16</w:t>
      </w:r>
      <w:bookmarkEnd w:id="9"/>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10" w:name="_Toc422406851"/>
      <w:r w:rsidRPr="008D2B6B">
        <w:rPr>
          <w:rFonts w:ascii="Century Gothic" w:hAnsi="Century Gothic"/>
          <w:noProof/>
          <w:color w:val="5F497A" w:themeColor="accent4" w:themeShade="BF"/>
          <w:lang w:val="en-AU"/>
        </w:rPr>
        <w:t>Overall purpose</w:t>
      </w:r>
      <w:bookmarkEnd w:id="10"/>
    </w:p>
    <w:p w:rsidR="00060C7A" w:rsidRPr="002E048C" w:rsidRDefault="00060C7A" w:rsidP="00060C7A">
      <w:pPr>
        <w:pStyle w:val="NormalWeb"/>
        <w:spacing w:before="0" w:beforeAutospacing="0" w:after="240" w:afterAutospacing="0"/>
        <w:jc w:val="left"/>
        <w:rPr>
          <w:rFonts w:ascii="Century Gothic" w:hAnsi="Century Gothic"/>
          <w:u w:val="single"/>
          <w:lang w:val="en-AU"/>
        </w:rPr>
      </w:pPr>
      <w:r w:rsidRPr="002E048C">
        <w:rPr>
          <w:rFonts w:ascii="Century Gothic" w:hAnsi="Century Gothic"/>
          <w:u w:val="single"/>
          <w:lang w:val="en-AU"/>
        </w:rPr>
        <w:t>Demand for environmental water</w:t>
      </w:r>
    </w:p>
    <w:p w:rsidR="00060C7A" w:rsidRPr="002E048C" w:rsidRDefault="00060C7A" w:rsidP="00060C7A">
      <w:pPr>
        <w:pStyle w:val="NormalWeb"/>
        <w:spacing w:before="0" w:beforeAutospacing="0" w:after="240" w:afterAutospacing="0"/>
        <w:jc w:val="left"/>
        <w:rPr>
          <w:rFonts w:ascii="Century Gothic" w:hAnsi="Century Gothic"/>
          <w:color w:val="0070C0"/>
          <w:lang w:val="en-AU"/>
        </w:rPr>
      </w:pPr>
      <w:r w:rsidRPr="002E048C">
        <w:rPr>
          <w:rFonts w:ascii="Century Gothic" w:hAnsi="Century Gothic"/>
          <w:lang w:val="en-AU"/>
        </w:rPr>
        <w:t xml:space="preserve">Since 2010, natural flow events and environmental watering actions have resulted in improvements in the condition of many wetlands in the Lower Murray-Darling and promoted </w:t>
      </w:r>
      <w:r>
        <w:rPr>
          <w:rFonts w:ascii="Century Gothic" w:hAnsi="Century Gothic"/>
          <w:lang w:val="en-AU"/>
        </w:rPr>
        <w:t xml:space="preserve">ecological </w:t>
      </w:r>
      <w:r w:rsidRPr="002E048C">
        <w:rPr>
          <w:rFonts w:ascii="Century Gothic" w:hAnsi="Century Gothic"/>
          <w:lang w:val="en-AU"/>
        </w:rPr>
        <w:t>recovery following the millennium drought. Drier conditions in 2013–14 and 2014</w:t>
      </w:r>
      <w:r>
        <w:rPr>
          <w:rFonts w:ascii="Century Gothic" w:hAnsi="Century Gothic"/>
          <w:lang w:val="en-AU"/>
        </w:rPr>
        <w:t>–</w:t>
      </w:r>
      <w:r w:rsidRPr="002E048C">
        <w:rPr>
          <w:rFonts w:ascii="Century Gothic" w:hAnsi="Century Gothic"/>
          <w:lang w:val="en-AU"/>
        </w:rPr>
        <w:t xml:space="preserve">15 have seen some floodplain wetlands entering into a natural drying phase. Environmental water demands for the Lower Murray-Darling in </w:t>
      </w:r>
      <w:r>
        <w:rPr>
          <w:rFonts w:ascii="Century Gothic" w:hAnsi="Century Gothic"/>
          <w:lang w:val="en-AU"/>
        </w:rPr>
        <w:t>2015–16</w:t>
      </w:r>
      <w:r w:rsidRPr="002E048C">
        <w:rPr>
          <w:rFonts w:ascii="Century Gothic" w:hAnsi="Century Gothic"/>
          <w:lang w:val="en-AU"/>
        </w:rPr>
        <w:t xml:space="preserve"> are represented in Table 2 and summarised below:</w:t>
      </w:r>
    </w:p>
    <w:p w:rsidR="00060C7A" w:rsidRPr="002E048C" w:rsidRDefault="00060C7A" w:rsidP="00060C7A">
      <w:pPr>
        <w:pStyle w:val="NormalWeb"/>
        <w:spacing w:before="0" w:beforeAutospacing="0" w:after="240" w:afterAutospacing="0"/>
        <w:ind w:left="227"/>
        <w:jc w:val="left"/>
        <w:rPr>
          <w:rFonts w:ascii="Century Gothic" w:hAnsi="Century Gothic"/>
          <w:i/>
          <w:lang w:val="en-AU"/>
        </w:rPr>
      </w:pPr>
      <w:r w:rsidRPr="002E048C">
        <w:rPr>
          <w:rFonts w:ascii="Century Gothic" w:hAnsi="Century Gothic"/>
          <w:i/>
          <w:lang w:val="en-AU"/>
        </w:rPr>
        <w:t>Lower Darling and Great Darling Anabranch:</w:t>
      </w:r>
      <w:r w:rsidRPr="002E048C">
        <w:rPr>
          <w:rFonts w:ascii="Century Gothic" w:hAnsi="Century Gothic"/>
          <w:lang w:val="en-AU"/>
        </w:rPr>
        <w:t xml:space="preserve"> </w:t>
      </w:r>
      <w:r>
        <w:rPr>
          <w:rFonts w:ascii="Century Gothic" w:hAnsi="Century Gothic"/>
          <w:lang w:val="en-AU"/>
        </w:rPr>
        <w:t>R</w:t>
      </w:r>
      <w:r w:rsidRPr="002E048C">
        <w:rPr>
          <w:rFonts w:ascii="Century Gothic" w:hAnsi="Century Gothic"/>
          <w:lang w:val="en-AU"/>
        </w:rPr>
        <w:t xml:space="preserve">iver red gum and black box </w:t>
      </w:r>
      <w:r>
        <w:rPr>
          <w:rFonts w:ascii="Century Gothic" w:hAnsi="Century Gothic"/>
          <w:lang w:val="en-AU"/>
        </w:rPr>
        <w:t xml:space="preserve">vegetation </w:t>
      </w:r>
      <w:r w:rsidRPr="002E048C">
        <w:rPr>
          <w:rFonts w:ascii="Century Gothic" w:hAnsi="Century Gothic"/>
          <w:lang w:val="en-AU"/>
        </w:rPr>
        <w:t>in the Great Darling Anabranch</w:t>
      </w:r>
      <w:r>
        <w:rPr>
          <w:rFonts w:ascii="Century Gothic" w:hAnsi="Century Gothic"/>
          <w:lang w:val="en-AU"/>
        </w:rPr>
        <w:t xml:space="preserve"> showed positive responses following natural and environmental watering events during 2011 to 2013. However, the Anabranch </w:t>
      </w:r>
      <w:r w:rsidRPr="002E048C">
        <w:rPr>
          <w:rFonts w:ascii="Century Gothic" w:hAnsi="Century Gothic"/>
          <w:lang w:val="en-AU"/>
        </w:rPr>
        <w:t>did not receive flows during 2014</w:t>
      </w:r>
      <w:r>
        <w:rPr>
          <w:rFonts w:ascii="Century Gothic" w:hAnsi="Century Gothic"/>
          <w:lang w:val="en-AU"/>
        </w:rPr>
        <w:t>–</w:t>
      </w:r>
      <w:r w:rsidRPr="002E048C">
        <w:rPr>
          <w:rFonts w:ascii="Century Gothic" w:hAnsi="Century Gothic"/>
          <w:lang w:val="en-AU"/>
        </w:rPr>
        <w:t>15 resulting in a moderate demand for water in 2015</w:t>
      </w:r>
      <w:r>
        <w:rPr>
          <w:rFonts w:ascii="Century Gothic" w:hAnsi="Century Gothic"/>
          <w:lang w:val="en-AU"/>
        </w:rPr>
        <w:t>–</w:t>
      </w:r>
      <w:r w:rsidRPr="002E048C">
        <w:rPr>
          <w:rFonts w:ascii="Century Gothic" w:hAnsi="Century Gothic"/>
          <w:lang w:val="en-AU"/>
        </w:rPr>
        <w:t>16</w:t>
      </w:r>
      <w:r>
        <w:rPr>
          <w:rFonts w:ascii="Century Gothic" w:hAnsi="Century Gothic"/>
          <w:lang w:val="en-AU"/>
        </w:rPr>
        <w:t xml:space="preserve"> to support on-going vegetation recovery</w:t>
      </w:r>
      <w:r w:rsidRPr="002E048C">
        <w:rPr>
          <w:rFonts w:ascii="Century Gothic" w:hAnsi="Century Gothic"/>
          <w:lang w:val="en-AU"/>
        </w:rPr>
        <w:t xml:space="preserve">. Due to very low water levels in the Menindee Lakes, the Lower Darling </w:t>
      </w:r>
      <w:r>
        <w:rPr>
          <w:rFonts w:ascii="Century Gothic" w:hAnsi="Century Gothic"/>
          <w:lang w:val="en-AU"/>
        </w:rPr>
        <w:t xml:space="preserve">River </w:t>
      </w:r>
      <w:r w:rsidRPr="002E048C">
        <w:rPr>
          <w:rFonts w:ascii="Century Gothic" w:hAnsi="Century Gothic"/>
          <w:lang w:val="en-AU"/>
        </w:rPr>
        <w:t>channel received minimum flows in 2014</w:t>
      </w:r>
      <w:r>
        <w:rPr>
          <w:rFonts w:ascii="Century Gothic" w:hAnsi="Century Gothic"/>
          <w:lang w:val="en-AU"/>
        </w:rPr>
        <w:t>–</w:t>
      </w:r>
      <w:r w:rsidRPr="002E048C">
        <w:rPr>
          <w:rFonts w:ascii="Century Gothic" w:hAnsi="Century Gothic"/>
          <w:lang w:val="en-AU"/>
        </w:rPr>
        <w:t xml:space="preserve">15. </w:t>
      </w:r>
      <w:r>
        <w:rPr>
          <w:rFonts w:ascii="Century Gothic" w:hAnsi="Century Gothic"/>
          <w:lang w:val="en-AU"/>
        </w:rPr>
        <w:t>Under dry conditions t</w:t>
      </w:r>
      <w:r w:rsidRPr="002E048C">
        <w:rPr>
          <w:rFonts w:ascii="Century Gothic" w:hAnsi="Century Gothic"/>
          <w:lang w:val="en-AU"/>
        </w:rPr>
        <w:t xml:space="preserve">here is a </w:t>
      </w:r>
      <w:r>
        <w:rPr>
          <w:rFonts w:ascii="Century Gothic" w:hAnsi="Century Gothic"/>
          <w:lang w:val="en-AU"/>
        </w:rPr>
        <w:t xml:space="preserve">likely </w:t>
      </w:r>
      <w:r w:rsidRPr="002E048C">
        <w:rPr>
          <w:rFonts w:ascii="Century Gothic" w:hAnsi="Century Gothic"/>
          <w:lang w:val="en-AU"/>
        </w:rPr>
        <w:t xml:space="preserve">high demand for water to manage water quality and </w:t>
      </w:r>
      <w:r>
        <w:rPr>
          <w:rFonts w:ascii="Century Gothic" w:hAnsi="Century Gothic"/>
          <w:lang w:val="en-AU"/>
        </w:rPr>
        <w:t>reinstate</w:t>
      </w:r>
      <w:r w:rsidRPr="002E048C">
        <w:rPr>
          <w:rFonts w:ascii="Century Gothic" w:hAnsi="Century Gothic"/>
          <w:lang w:val="en-AU"/>
        </w:rPr>
        <w:t xml:space="preserve"> </w:t>
      </w:r>
      <w:r>
        <w:rPr>
          <w:rFonts w:ascii="Century Gothic" w:hAnsi="Century Gothic"/>
          <w:lang w:val="en-AU"/>
        </w:rPr>
        <w:t xml:space="preserve">aquatic </w:t>
      </w:r>
      <w:r w:rsidRPr="002E048C">
        <w:rPr>
          <w:rFonts w:ascii="Century Gothic" w:hAnsi="Century Gothic"/>
          <w:lang w:val="en-AU"/>
        </w:rPr>
        <w:t>habitat for native fish populations.</w:t>
      </w:r>
    </w:p>
    <w:p w:rsidR="00060C7A" w:rsidRPr="002E048C" w:rsidRDefault="00060C7A" w:rsidP="00060C7A">
      <w:pPr>
        <w:pStyle w:val="NormalWeb"/>
        <w:spacing w:before="0" w:beforeAutospacing="0" w:after="240" w:afterAutospacing="0"/>
        <w:ind w:left="227"/>
        <w:jc w:val="left"/>
        <w:rPr>
          <w:rFonts w:ascii="Century Gothic" w:hAnsi="Century Gothic" w:cs="Arial"/>
          <w:noProof/>
          <w:color w:val="000000" w:themeColor="text1"/>
          <w:lang w:val="en-AU"/>
        </w:rPr>
      </w:pPr>
      <w:r w:rsidRPr="002E048C">
        <w:rPr>
          <w:rFonts w:ascii="Century Gothic" w:hAnsi="Century Gothic"/>
          <w:i/>
          <w:lang w:val="en-AU"/>
        </w:rPr>
        <w:t xml:space="preserve">River Murray Channel: </w:t>
      </w:r>
      <w:r w:rsidRPr="002E048C">
        <w:rPr>
          <w:rFonts w:ascii="Century Gothic" w:hAnsi="Century Gothic"/>
          <w:lang w:val="en-AU"/>
        </w:rPr>
        <w:t xml:space="preserve">There is a moderate demand for environmental water to contribute to </w:t>
      </w:r>
      <w:r w:rsidRPr="002E048C">
        <w:rPr>
          <w:rFonts w:ascii="Century Gothic" w:hAnsi="Century Gothic" w:cs="Arial"/>
          <w:noProof/>
          <w:color w:val="000000" w:themeColor="text1"/>
          <w:lang w:val="en-AU"/>
        </w:rPr>
        <w:t xml:space="preserve">improved seasonality and variability of flows </w:t>
      </w:r>
      <w:r>
        <w:rPr>
          <w:rFonts w:ascii="Century Gothic" w:hAnsi="Century Gothic" w:cs="Arial"/>
          <w:noProof/>
          <w:color w:val="000000" w:themeColor="text1"/>
          <w:lang w:val="en-AU"/>
        </w:rPr>
        <w:t xml:space="preserve">along the length of the river channel </w:t>
      </w:r>
      <w:r w:rsidRPr="002E048C">
        <w:rPr>
          <w:rFonts w:ascii="Century Gothic" w:hAnsi="Century Gothic" w:cs="Arial"/>
          <w:noProof/>
          <w:color w:val="000000" w:themeColor="text1"/>
          <w:lang w:val="en-AU"/>
        </w:rPr>
        <w:t xml:space="preserve">and to connect the river with low-lying wetlands. </w:t>
      </w:r>
    </w:p>
    <w:p w:rsidR="00060C7A" w:rsidRPr="002E048C" w:rsidRDefault="00060C7A" w:rsidP="00060C7A">
      <w:pPr>
        <w:pStyle w:val="NormalWeb"/>
        <w:spacing w:before="0" w:beforeAutospacing="0" w:after="240" w:afterAutospacing="0"/>
        <w:ind w:left="227"/>
        <w:jc w:val="left"/>
        <w:rPr>
          <w:rFonts w:ascii="Century Gothic" w:hAnsi="Century Gothic"/>
          <w:lang w:val="en-AU"/>
        </w:rPr>
      </w:pPr>
      <w:r w:rsidRPr="002E048C">
        <w:rPr>
          <w:rFonts w:ascii="Century Gothic" w:hAnsi="Century Gothic"/>
          <w:i/>
          <w:lang w:val="en-AU"/>
        </w:rPr>
        <w:t>Hattah Lakes:</w:t>
      </w:r>
      <w:r w:rsidRPr="002E048C">
        <w:rPr>
          <w:rFonts w:ascii="Century Gothic" w:hAnsi="Century Gothic"/>
          <w:lang w:val="en-AU"/>
        </w:rPr>
        <w:t xml:space="preserve"> Due to the significant watering actions in 2013–14 and 2014–15 that supported floodplain vegetation, fish spawning and bird breeding, there is a low demand for environmental water in Hattah Lakes.  </w:t>
      </w:r>
    </w:p>
    <w:p w:rsidR="00060C7A" w:rsidRPr="002E048C" w:rsidRDefault="00060C7A" w:rsidP="00060C7A">
      <w:pPr>
        <w:pStyle w:val="NormalWeb"/>
        <w:spacing w:before="0" w:beforeAutospacing="0" w:after="240" w:afterAutospacing="0"/>
        <w:ind w:left="227"/>
        <w:jc w:val="left"/>
        <w:rPr>
          <w:rFonts w:ascii="Century Gothic" w:hAnsi="Century Gothic"/>
          <w:lang w:val="en-AU"/>
        </w:rPr>
      </w:pPr>
      <w:r w:rsidRPr="002E048C">
        <w:rPr>
          <w:rFonts w:ascii="Century Gothic" w:hAnsi="Century Gothic"/>
          <w:i/>
          <w:lang w:val="en-AU"/>
        </w:rPr>
        <w:t>Floodplain and wetlands from Euston to South Australian border:</w:t>
      </w:r>
      <w:r w:rsidRPr="002E048C">
        <w:rPr>
          <w:rFonts w:ascii="Century Gothic" w:hAnsi="Century Gothic"/>
          <w:lang w:val="en-AU"/>
        </w:rPr>
        <w:t xml:space="preserve"> </w:t>
      </w:r>
      <w:r>
        <w:rPr>
          <w:rFonts w:ascii="Century Gothic" w:hAnsi="Century Gothic"/>
          <w:lang w:val="en-AU"/>
        </w:rPr>
        <w:t>T</w:t>
      </w:r>
      <w:r w:rsidRPr="002E048C">
        <w:rPr>
          <w:rFonts w:ascii="Century Gothic" w:hAnsi="Century Gothic"/>
          <w:lang w:val="en-AU"/>
        </w:rPr>
        <w:t xml:space="preserve">hese off-channel assets were </w:t>
      </w:r>
      <w:r>
        <w:rPr>
          <w:rFonts w:ascii="Century Gothic" w:hAnsi="Century Gothic"/>
          <w:lang w:val="en-AU"/>
        </w:rPr>
        <w:t>watered naturally</w:t>
      </w:r>
      <w:r w:rsidRPr="002E048C">
        <w:rPr>
          <w:rFonts w:ascii="Century Gothic" w:hAnsi="Century Gothic"/>
          <w:lang w:val="en-AU"/>
        </w:rPr>
        <w:t xml:space="preserve"> during the 2011</w:t>
      </w:r>
      <w:r>
        <w:rPr>
          <w:rFonts w:ascii="Century Gothic" w:hAnsi="Century Gothic"/>
          <w:lang w:val="en-AU"/>
        </w:rPr>
        <w:t xml:space="preserve"> and 2012</w:t>
      </w:r>
      <w:r w:rsidRPr="002E048C">
        <w:rPr>
          <w:rFonts w:ascii="Century Gothic" w:hAnsi="Century Gothic"/>
          <w:lang w:val="en-AU"/>
        </w:rPr>
        <w:t xml:space="preserve"> </w:t>
      </w:r>
      <w:r>
        <w:rPr>
          <w:rFonts w:ascii="Century Gothic" w:hAnsi="Century Gothic"/>
          <w:lang w:val="en-AU"/>
        </w:rPr>
        <w:t>river flow events</w:t>
      </w:r>
      <w:r w:rsidRPr="002E048C">
        <w:rPr>
          <w:rFonts w:ascii="Century Gothic" w:hAnsi="Century Gothic"/>
          <w:lang w:val="en-AU"/>
        </w:rPr>
        <w:t>. Smaller-scal</w:t>
      </w:r>
      <w:r>
        <w:rPr>
          <w:rFonts w:ascii="Century Gothic" w:hAnsi="Century Gothic"/>
          <w:lang w:val="en-AU"/>
        </w:rPr>
        <w:t xml:space="preserve">e inundation has also occurred </w:t>
      </w:r>
      <w:r w:rsidRPr="002E048C">
        <w:rPr>
          <w:rFonts w:ascii="Century Gothic" w:hAnsi="Century Gothic"/>
          <w:lang w:val="en-AU"/>
        </w:rPr>
        <w:t>since 2012–13</w:t>
      </w:r>
      <w:r>
        <w:rPr>
          <w:rFonts w:ascii="Century Gothic" w:hAnsi="Century Gothic"/>
          <w:lang w:val="en-AU"/>
        </w:rPr>
        <w:t xml:space="preserve"> assisted by the use of regulating infrastructure or pumping</w:t>
      </w:r>
      <w:r w:rsidRPr="002E048C">
        <w:rPr>
          <w:rFonts w:ascii="Century Gothic" w:hAnsi="Century Gothic"/>
          <w:lang w:val="en-AU"/>
        </w:rPr>
        <w:t xml:space="preserve">. </w:t>
      </w:r>
      <w:r>
        <w:rPr>
          <w:rFonts w:ascii="Century Gothic" w:hAnsi="Century Gothic"/>
          <w:lang w:val="en-AU"/>
        </w:rPr>
        <w:t xml:space="preserve">To maintain on-going recovery of vegetation communities </w:t>
      </w:r>
      <w:r w:rsidRPr="002E048C">
        <w:rPr>
          <w:rFonts w:ascii="Century Gothic" w:hAnsi="Century Gothic"/>
          <w:lang w:val="en-AU"/>
        </w:rPr>
        <w:t xml:space="preserve">there </w:t>
      </w:r>
      <w:r>
        <w:rPr>
          <w:rFonts w:ascii="Century Gothic" w:hAnsi="Century Gothic"/>
          <w:lang w:val="en-AU"/>
        </w:rPr>
        <w:t>is</w:t>
      </w:r>
      <w:r w:rsidRPr="002E048C">
        <w:rPr>
          <w:rFonts w:ascii="Century Gothic" w:hAnsi="Century Gothic"/>
          <w:lang w:val="en-AU"/>
        </w:rPr>
        <w:t xml:space="preserve"> generally a </w:t>
      </w:r>
      <w:r>
        <w:rPr>
          <w:rFonts w:ascii="Century Gothic" w:hAnsi="Century Gothic"/>
          <w:lang w:val="en-AU"/>
        </w:rPr>
        <w:t xml:space="preserve">moderate </w:t>
      </w:r>
      <w:r w:rsidRPr="002E048C">
        <w:rPr>
          <w:rFonts w:ascii="Century Gothic" w:hAnsi="Century Gothic"/>
          <w:lang w:val="en-AU"/>
        </w:rPr>
        <w:t xml:space="preserve">demand for environmental water in these </w:t>
      </w:r>
      <w:r>
        <w:rPr>
          <w:rFonts w:ascii="Century Gothic" w:hAnsi="Century Gothic"/>
          <w:lang w:val="en-AU"/>
        </w:rPr>
        <w:t xml:space="preserve">floodplain </w:t>
      </w:r>
      <w:r w:rsidRPr="002E048C">
        <w:rPr>
          <w:rFonts w:ascii="Century Gothic" w:hAnsi="Century Gothic"/>
          <w:lang w:val="en-AU"/>
        </w:rPr>
        <w:t xml:space="preserve">wetlands. </w:t>
      </w:r>
    </w:p>
    <w:p w:rsidR="00060C7A" w:rsidRPr="009F2E79" w:rsidRDefault="00060C7A" w:rsidP="00060C7A">
      <w:pPr>
        <w:pStyle w:val="NormalWeb"/>
        <w:spacing w:before="0" w:beforeAutospacing="0" w:after="240" w:afterAutospacing="0"/>
        <w:ind w:left="227"/>
        <w:jc w:val="left"/>
        <w:rPr>
          <w:rFonts w:ascii="Century Gothic" w:hAnsi="Century Gothic"/>
          <w:lang w:val="en-AU"/>
        </w:rPr>
      </w:pPr>
      <w:r w:rsidRPr="009F2E79">
        <w:rPr>
          <w:rFonts w:ascii="Century Gothic" w:hAnsi="Century Gothic"/>
          <w:i/>
          <w:lang w:val="en-AU"/>
        </w:rPr>
        <w:t xml:space="preserve">Floodplain and wetlands from South Australian border to </w:t>
      </w:r>
      <w:r>
        <w:rPr>
          <w:rFonts w:ascii="Century Gothic" w:hAnsi="Century Gothic"/>
          <w:i/>
          <w:lang w:val="en-AU"/>
        </w:rPr>
        <w:t>Lower Lakes</w:t>
      </w:r>
      <w:r w:rsidRPr="009F2E79">
        <w:rPr>
          <w:rFonts w:ascii="Century Gothic" w:hAnsi="Century Gothic"/>
          <w:i/>
          <w:lang w:val="en-AU"/>
        </w:rPr>
        <w:t xml:space="preserve">: </w:t>
      </w:r>
      <w:r w:rsidRPr="009F2E79">
        <w:rPr>
          <w:rFonts w:ascii="Century Gothic" w:hAnsi="Century Gothic"/>
          <w:lang w:val="en-AU"/>
        </w:rPr>
        <w:t xml:space="preserve">Considerable parts of the South Australian Murray floodplain were watered naturally during the 2011 and 2012 river flow events. Priority wetlands have since received water via infrastructure to support on-going ecosystem recovery (e.g. use of infrastructure within the Chowilla floodplain and pumping to individual wetland sites). To maintain on-going recovery of vegetation communities there is generally a moderate demand for environmental water in these floodplain wetlands.  </w:t>
      </w:r>
    </w:p>
    <w:p w:rsidR="00060C7A" w:rsidRDefault="00060C7A" w:rsidP="00060C7A">
      <w:pPr>
        <w:pStyle w:val="NormalWeb"/>
        <w:spacing w:before="0" w:beforeAutospacing="0" w:after="240" w:afterAutospacing="0"/>
        <w:ind w:left="227"/>
        <w:jc w:val="left"/>
        <w:rPr>
          <w:rFonts w:ascii="Century Gothic" w:hAnsi="Century Gothic"/>
          <w:lang w:val="en-AU"/>
        </w:rPr>
      </w:pPr>
      <w:r w:rsidRPr="002E048C">
        <w:rPr>
          <w:rFonts w:ascii="Century Gothic" w:hAnsi="Century Gothic"/>
          <w:i/>
          <w:lang w:val="en-AU"/>
        </w:rPr>
        <w:t>Coorong, Lower Lakes and Murray Mouth:</w:t>
      </w:r>
      <w:r w:rsidRPr="002E048C">
        <w:rPr>
          <w:rFonts w:ascii="Century Gothic" w:hAnsi="Century Gothic"/>
          <w:lang w:val="en-AU"/>
        </w:rPr>
        <w:t xml:space="preserve"> </w:t>
      </w:r>
      <w:r>
        <w:rPr>
          <w:rFonts w:ascii="Century Gothic" w:hAnsi="Century Gothic"/>
          <w:lang w:val="en-AU"/>
        </w:rPr>
        <w:t xml:space="preserve">Environmental water is required to maintain base flows through the barrages to support salt export from the River Murray and Lower Lakes, and to maintain suitable habitat conditions for fish and </w:t>
      </w:r>
      <w:proofErr w:type="spellStart"/>
      <w:r>
        <w:rPr>
          <w:rFonts w:ascii="Century Gothic" w:hAnsi="Century Gothic"/>
          <w:lang w:val="en-AU"/>
        </w:rPr>
        <w:t>Ruppia</w:t>
      </w:r>
      <w:proofErr w:type="spellEnd"/>
      <w:r>
        <w:rPr>
          <w:rFonts w:ascii="Century Gothic" w:hAnsi="Century Gothic"/>
          <w:lang w:val="en-AU"/>
        </w:rPr>
        <w:t xml:space="preserve"> within the Coorong lagoons.  With a seasonal outlook indicating dry to moderate conditions (MDBA 2015) the contribution of environmental water to achieving the minimum flow requirements throughout the year is critical. </w:t>
      </w:r>
    </w:p>
    <w:p w:rsidR="00060C7A" w:rsidRPr="007808A0" w:rsidRDefault="00060C7A" w:rsidP="00060C7A">
      <w:pPr>
        <w:pStyle w:val="NormalWeb"/>
        <w:keepNext/>
        <w:spacing w:before="0" w:beforeAutospacing="0" w:after="240" w:afterAutospacing="0"/>
        <w:jc w:val="left"/>
        <w:rPr>
          <w:rFonts w:ascii="Century Gothic" w:hAnsi="Century Gothic"/>
          <w:u w:val="single"/>
          <w:lang w:val="en-AU"/>
        </w:rPr>
      </w:pPr>
      <w:r w:rsidRPr="007808A0">
        <w:rPr>
          <w:rFonts w:ascii="Century Gothic" w:hAnsi="Century Gothic"/>
          <w:u w:val="single"/>
          <w:lang w:val="en-AU"/>
        </w:rPr>
        <w:lastRenderedPageBreak/>
        <w:t>Supply</w:t>
      </w:r>
    </w:p>
    <w:p w:rsidR="00060C7A" w:rsidRPr="002E048C" w:rsidRDefault="00060C7A" w:rsidP="00060C7A">
      <w:pPr>
        <w:pStyle w:val="NormalWeb"/>
        <w:keepNext/>
        <w:spacing w:before="0" w:beforeAutospacing="0" w:after="240" w:afterAutospacing="0"/>
        <w:jc w:val="left"/>
        <w:rPr>
          <w:rFonts w:ascii="Century Gothic" w:hAnsi="Century Gothic"/>
          <w:lang w:val="en-AU"/>
        </w:rPr>
      </w:pPr>
      <w:r w:rsidRPr="002E048C">
        <w:rPr>
          <w:rFonts w:ascii="Century Gothic" w:hAnsi="Century Gothic"/>
          <w:lang w:val="en-AU"/>
        </w:rPr>
        <w:t xml:space="preserve">Water resource availability (supply) in the context of meeting environmental demands is </w:t>
      </w:r>
      <w:r>
        <w:rPr>
          <w:rFonts w:ascii="Century Gothic" w:hAnsi="Century Gothic"/>
          <w:lang w:val="en-AU"/>
        </w:rPr>
        <w:t>contributed by</w:t>
      </w:r>
      <w:r w:rsidRPr="002E048C">
        <w:rPr>
          <w:rFonts w:ascii="Century Gothic" w:hAnsi="Century Gothic"/>
          <w:lang w:val="en-AU"/>
        </w:rPr>
        <w:t xml:space="preserve"> allocations against entitlements held for the environment by the Commonwealth Environmental Water Holder, New South Wales Office of Environment and Heritage, Victorian Environmental Water Holder</w:t>
      </w:r>
      <w:r>
        <w:rPr>
          <w:rFonts w:ascii="Century Gothic" w:hAnsi="Century Gothic"/>
          <w:lang w:val="en-AU"/>
        </w:rPr>
        <w:t>,</w:t>
      </w:r>
      <w:r w:rsidRPr="002E048C">
        <w:rPr>
          <w:rFonts w:ascii="Century Gothic" w:hAnsi="Century Gothic"/>
          <w:lang w:val="en-AU"/>
        </w:rPr>
        <w:t xml:space="preserve"> </w:t>
      </w:r>
      <w:r>
        <w:rPr>
          <w:rFonts w:ascii="Century Gothic" w:hAnsi="Century Gothic"/>
          <w:lang w:val="en-AU"/>
        </w:rPr>
        <w:t xml:space="preserve">South Australian Department of Environment, Water and Natural Resources </w:t>
      </w:r>
      <w:r w:rsidRPr="002E048C">
        <w:rPr>
          <w:rFonts w:ascii="Century Gothic" w:hAnsi="Century Gothic"/>
          <w:lang w:val="en-AU"/>
        </w:rPr>
        <w:t xml:space="preserve">and </w:t>
      </w:r>
      <w:r>
        <w:rPr>
          <w:rFonts w:ascii="Century Gothic" w:hAnsi="Century Gothic"/>
          <w:lang w:val="en-AU"/>
        </w:rPr>
        <w:t>the Murray-Darling Basin Authority (</w:t>
      </w:r>
      <w:r w:rsidRPr="002E048C">
        <w:rPr>
          <w:rFonts w:ascii="Century Gothic" w:hAnsi="Century Gothic"/>
          <w:lang w:val="en-AU"/>
        </w:rPr>
        <w:t>The Living Murray</w:t>
      </w:r>
      <w:r>
        <w:rPr>
          <w:rFonts w:ascii="Century Gothic" w:hAnsi="Century Gothic"/>
          <w:lang w:val="en-AU"/>
        </w:rPr>
        <w:t>)</w:t>
      </w:r>
      <w:r w:rsidRPr="002E048C">
        <w:rPr>
          <w:rFonts w:ascii="Century Gothic" w:hAnsi="Century Gothic"/>
          <w:lang w:val="en-AU"/>
        </w:rPr>
        <w:t>, as well as natural and unregulated flows, and planned environmental water provisions. Further detail i</w:t>
      </w:r>
      <w:r>
        <w:rPr>
          <w:rFonts w:ascii="Century Gothic" w:hAnsi="Century Gothic"/>
          <w:lang w:val="en-AU"/>
        </w:rPr>
        <w:t>s provided in Part II, Section 4</w:t>
      </w:r>
      <w:r w:rsidRPr="002E048C">
        <w:rPr>
          <w:rFonts w:ascii="Century Gothic" w:hAnsi="Century Gothic"/>
          <w:lang w:val="en-AU"/>
        </w:rPr>
        <w:t>.</w:t>
      </w:r>
    </w:p>
    <w:p w:rsidR="00060C7A" w:rsidRPr="002E048C" w:rsidRDefault="00060C7A" w:rsidP="00060C7A">
      <w:pPr>
        <w:pStyle w:val="NormalWeb"/>
        <w:spacing w:before="0" w:beforeAutospacing="0" w:after="240" w:afterAutospacing="0"/>
        <w:jc w:val="left"/>
        <w:rPr>
          <w:rFonts w:ascii="Century Gothic" w:hAnsi="Century Gothic"/>
          <w:lang w:val="en-AU"/>
        </w:rPr>
      </w:pPr>
      <w:r w:rsidRPr="002E048C">
        <w:rPr>
          <w:rFonts w:ascii="Century Gothic" w:hAnsi="Century Gothic"/>
          <w:lang w:val="en-AU"/>
        </w:rPr>
        <w:t>Considering carryover of Commonwealth environmental allo</w:t>
      </w:r>
      <w:r>
        <w:rPr>
          <w:rFonts w:ascii="Century Gothic" w:hAnsi="Century Gothic"/>
          <w:lang w:val="en-AU"/>
        </w:rPr>
        <w:t xml:space="preserve">cations from 2014–15 to 2015–16, </w:t>
      </w:r>
      <w:r w:rsidRPr="002E048C">
        <w:rPr>
          <w:rFonts w:ascii="Century Gothic" w:hAnsi="Century Gothic"/>
          <w:lang w:val="en-AU"/>
        </w:rPr>
        <w:t>the range of potential opening allocations for 2015</w:t>
      </w:r>
      <w:r>
        <w:rPr>
          <w:rFonts w:ascii="Century Gothic" w:hAnsi="Century Gothic"/>
          <w:lang w:val="en-AU"/>
        </w:rPr>
        <w:t>–</w:t>
      </w:r>
      <w:r w:rsidRPr="002E048C">
        <w:rPr>
          <w:rFonts w:ascii="Century Gothic" w:hAnsi="Century Gothic"/>
          <w:lang w:val="en-AU"/>
        </w:rPr>
        <w:t xml:space="preserve">16, </w:t>
      </w:r>
      <w:r>
        <w:rPr>
          <w:rFonts w:ascii="Century Gothic" w:hAnsi="Century Gothic"/>
          <w:lang w:val="en-AU"/>
        </w:rPr>
        <w:t xml:space="preserve">operational considerations, </w:t>
      </w:r>
      <w:r w:rsidRPr="002E048C">
        <w:rPr>
          <w:rFonts w:ascii="Century Gothic" w:hAnsi="Century Gothic"/>
          <w:lang w:val="en-AU"/>
        </w:rPr>
        <w:t xml:space="preserve">along with the full range of potential </w:t>
      </w:r>
      <w:proofErr w:type="spellStart"/>
      <w:r w:rsidRPr="002E048C">
        <w:rPr>
          <w:rFonts w:ascii="Century Gothic" w:hAnsi="Century Gothic"/>
          <w:lang w:val="en-AU"/>
        </w:rPr>
        <w:t>streamflows</w:t>
      </w:r>
      <w:proofErr w:type="spellEnd"/>
      <w:r w:rsidRPr="002E048C">
        <w:rPr>
          <w:rFonts w:ascii="Century Gothic" w:hAnsi="Century Gothic"/>
          <w:lang w:val="en-AU"/>
        </w:rPr>
        <w:t xml:space="preserve">, </w:t>
      </w:r>
      <w:r w:rsidRPr="0003563B">
        <w:rPr>
          <w:rFonts w:ascii="Century Gothic" w:hAnsi="Century Gothic"/>
        </w:rPr>
        <w:t>moderate to high</w:t>
      </w:r>
      <w:r>
        <w:rPr>
          <w:rFonts w:ascii="Century Gothic" w:hAnsi="Century Gothic"/>
        </w:rPr>
        <w:t xml:space="preserve"> resource availability scenarios are in scope for 2015–16. </w:t>
      </w:r>
      <w:r w:rsidRPr="0003563B">
        <w:rPr>
          <w:rFonts w:ascii="Century Gothic" w:hAnsi="Century Gothic"/>
        </w:rPr>
        <w:t xml:space="preserve">The condition of the Murray–Darling Basin is likely to be dry for the 2015–16 water </w:t>
      </w:r>
      <w:proofErr w:type="gramStart"/>
      <w:r w:rsidRPr="0003563B">
        <w:rPr>
          <w:rFonts w:ascii="Century Gothic" w:hAnsi="Century Gothic"/>
        </w:rPr>
        <w:t>year</w:t>
      </w:r>
      <w:proofErr w:type="gramEnd"/>
      <w:r>
        <w:rPr>
          <w:rFonts w:ascii="Century Gothic" w:hAnsi="Century Gothic"/>
        </w:rPr>
        <w:t xml:space="preserve"> (MDBA 2015)</w:t>
      </w:r>
      <w:r w:rsidRPr="0003563B">
        <w:rPr>
          <w:rFonts w:ascii="Century Gothic" w:hAnsi="Century Gothic"/>
        </w:rPr>
        <w:t xml:space="preserve">. </w:t>
      </w:r>
      <w:r>
        <w:rPr>
          <w:rFonts w:ascii="Century Gothic" w:hAnsi="Century Gothic"/>
        </w:rPr>
        <w:t xml:space="preserve">Dry conditions combined with reasonable carryover from 2015–16 and opening allocations presents a </w:t>
      </w:r>
      <w:r w:rsidRPr="0003563B">
        <w:rPr>
          <w:rFonts w:ascii="Century Gothic" w:hAnsi="Century Gothic"/>
          <w:b/>
        </w:rPr>
        <w:t>moderate resource availability</w:t>
      </w:r>
      <w:r>
        <w:rPr>
          <w:rFonts w:ascii="Century Gothic" w:hAnsi="Century Gothic"/>
        </w:rPr>
        <w:t xml:space="preserve"> scenario overall. High resource availability is only possible if conditions become wet, which is considered unlikely given the seasonal outlook.</w:t>
      </w:r>
    </w:p>
    <w:p w:rsidR="00060C7A" w:rsidRPr="002E048C" w:rsidRDefault="00060C7A" w:rsidP="00060C7A">
      <w:pPr>
        <w:pStyle w:val="NormalWeb"/>
        <w:spacing w:before="0" w:beforeAutospacing="0" w:after="240" w:afterAutospacing="0"/>
        <w:jc w:val="left"/>
        <w:rPr>
          <w:rFonts w:ascii="Century Gothic" w:hAnsi="Century Gothic"/>
          <w:u w:val="single"/>
          <w:lang w:val="en-AU"/>
        </w:rPr>
      </w:pPr>
      <w:r w:rsidRPr="002E048C">
        <w:rPr>
          <w:rFonts w:ascii="Century Gothic" w:hAnsi="Century Gothic"/>
          <w:u w:val="single"/>
          <w:lang w:val="en-AU"/>
        </w:rPr>
        <w:t>Purpose</w:t>
      </w:r>
    </w:p>
    <w:p w:rsidR="00060C7A" w:rsidRPr="002E048C" w:rsidRDefault="00060C7A" w:rsidP="00060C7A">
      <w:pPr>
        <w:pStyle w:val="NormalWeb"/>
        <w:spacing w:before="0" w:beforeAutospacing="0" w:after="240" w:afterAutospacing="0"/>
        <w:jc w:val="left"/>
        <w:rPr>
          <w:rFonts w:ascii="Century Gothic" w:hAnsi="Century Gothic"/>
          <w:lang w:val="en-AU"/>
        </w:rPr>
      </w:pPr>
      <w:r w:rsidRPr="002E048C">
        <w:rPr>
          <w:rFonts w:ascii="Century Gothic" w:hAnsi="Century Gothic"/>
          <w:lang w:val="en-AU"/>
        </w:rPr>
        <w:t xml:space="preserve">Figure 1 shows how </w:t>
      </w:r>
      <w:r>
        <w:rPr>
          <w:rFonts w:ascii="Century Gothic" w:hAnsi="Century Gothic"/>
          <w:lang w:val="en-AU"/>
        </w:rPr>
        <w:t>the demand for environmental water and water supply</w:t>
      </w:r>
      <w:r w:rsidRPr="002E048C">
        <w:rPr>
          <w:rFonts w:ascii="Century Gothic" w:hAnsi="Century Gothic"/>
          <w:lang w:val="en-AU"/>
        </w:rPr>
        <w:t xml:space="preserve"> are considered together. The overall ‘purpose’ for managing the Commonwealth’s water portfolio in the Lower Murray-Darling for 2015–16 is to </w:t>
      </w:r>
      <w:r w:rsidRPr="002E048C">
        <w:rPr>
          <w:rFonts w:ascii="Century Gothic" w:hAnsi="Century Gothic"/>
          <w:b/>
          <w:lang w:val="en-AU"/>
        </w:rPr>
        <w:t>protect</w:t>
      </w:r>
      <w:r>
        <w:rPr>
          <w:rFonts w:ascii="Century Gothic" w:hAnsi="Century Gothic"/>
          <w:lang w:val="en-AU"/>
        </w:rPr>
        <w:t xml:space="preserve"> habitats within the Coorong and the l</w:t>
      </w:r>
      <w:r w:rsidRPr="002E048C">
        <w:rPr>
          <w:rFonts w:ascii="Century Gothic" w:hAnsi="Century Gothic"/>
          <w:lang w:val="en-AU"/>
        </w:rPr>
        <w:t xml:space="preserve">ower Darling </w:t>
      </w:r>
      <w:r>
        <w:rPr>
          <w:rFonts w:ascii="Century Gothic" w:hAnsi="Century Gothic"/>
          <w:lang w:val="en-AU"/>
        </w:rPr>
        <w:t xml:space="preserve">River </w:t>
      </w:r>
      <w:r w:rsidRPr="002E048C">
        <w:rPr>
          <w:rFonts w:ascii="Century Gothic" w:hAnsi="Century Gothic"/>
          <w:lang w:val="en-AU"/>
        </w:rPr>
        <w:t>channel (subject to being able to access environmental wat</w:t>
      </w:r>
      <w:r>
        <w:rPr>
          <w:rFonts w:ascii="Century Gothic" w:hAnsi="Century Gothic"/>
          <w:lang w:val="en-AU"/>
        </w:rPr>
        <w:t>er allocations)</w:t>
      </w:r>
      <w:r w:rsidRPr="002E048C">
        <w:rPr>
          <w:rFonts w:ascii="Century Gothic" w:hAnsi="Century Gothic"/>
          <w:lang w:val="en-AU"/>
        </w:rPr>
        <w:t xml:space="preserve">, while seeking to </w:t>
      </w:r>
      <w:r w:rsidRPr="002E048C">
        <w:rPr>
          <w:rFonts w:ascii="Century Gothic" w:hAnsi="Century Gothic"/>
          <w:b/>
          <w:lang w:val="en-AU"/>
        </w:rPr>
        <w:t>maintain</w:t>
      </w:r>
      <w:r w:rsidRPr="002E048C">
        <w:rPr>
          <w:rFonts w:ascii="Century Gothic" w:hAnsi="Century Gothic"/>
          <w:lang w:val="en-AU"/>
        </w:rPr>
        <w:t xml:space="preserve"> the ecological health and resilience of other key sites in the system. If </w:t>
      </w:r>
      <w:r>
        <w:rPr>
          <w:rFonts w:ascii="Century Gothic" w:hAnsi="Century Gothic"/>
          <w:lang w:val="en-AU"/>
        </w:rPr>
        <w:t>water availability becomes high</w:t>
      </w:r>
      <w:r w:rsidRPr="002E048C">
        <w:rPr>
          <w:rFonts w:ascii="Century Gothic" w:hAnsi="Century Gothic"/>
          <w:lang w:val="en-AU"/>
        </w:rPr>
        <w:t xml:space="preserve"> there may be scope to </w:t>
      </w:r>
      <w:r w:rsidRPr="002E048C">
        <w:rPr>
          <w:rFonts w:ascii="Century Gothic" w:hAnsi="Century Gothic"/>
          <w:b/>
          <w:lang w:val="en-AU"/>
        </w:rPr>
        <w:t>improve</w:t>
      </w:r>
      <w:r w:rsidRPr="002E048C">
        <w:rPr>
          <w:rFonts w:ascii="Century Gothic" w:hAnsi="Century Gothic"/>
          <w:lang w:val="en-AU"/>
        </w:rPr>
        <w:t xml:space="preserve"> the health and resilience of aquatic ecosystems through the Lower Murray-Darling system.</w:t>
      </w:r>
    </w:p>
    <w:p w:rsidR="00060C7A" w:rsidRPr="008D2B6B" w:rsidRDefault="00AC5FC5" w:rsidP="00FB4BEB">
      <w:pPr>
        <w:pStyle w:val="NormalWeb"/>
        <w:spacing w:after="0" w:afterAutospacing="0" w:line="360" w:lineRule="atLeast"/>
        <w:rPr>
          <w:rFonts w:ascii="Century Gothic" w:hAnsi="Century Gothic"/>
          <w:sz w:val="19"/>
          <w:szCs w:val="19"/>
          <w:lang w:val="en-AU"/>
        </w:rPr>
      </w:pPr>
      <w:r w:rsidRPr="00AC5FC5">
        <w:rPr>
          <w:noProof/>
          <w:lang w:val="en-AU" w:eastAsia="en-AU"/>
        </w:rPr>
        <w:drawing>
          <wp:inline distT="0" distB="0" distL="0" distR="0">
            <wp:extent cx="6159113" cy="4506785"/>
            <wp:effectExtent l="19050" t="0" r="0" b="0"/>
            <wp:docPr id="8" name="Picture 8" descr="A figure depicting the range of potential water resource availability and environmental demands in the Lower Murray–Darling region for 2015-16.&#10;Resource availability is expected to be moderate in 2015-16, or high if wet conditions eventuate. Considered together with environmental demands, which are moderate on average, the overall purpose of environmental watering will be to maintain ecological health and resilience, or to improve health and resilience if conditions become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163275" cy="4509830"/>
                    </a:xfrm>
                    <a:prstGeom prst="rect">
                      <a:avLst/>
                    </a:prstGeom>
                    <a:noFill/>
                    <a:ln w="9525">
                      <a:noFill/>
                      <a:miter lim="800000"/>
                      <a:headEnd/>
                      <a:tailEnd/>
                    </a:ln>
                  </pic:spPr>
                </pic:pic>
              </a:graphicData>
            </a:graphic>
          </wp:inline>
        </w:drawing>
      </w:r>
    </w:p>
    <w:p w:rsidR="00060C7A" w:rsidRPr="008D2B6B" w:rsidRDefault="00060C7A" w:rsidP="00060C7A">
      <w:pPr>
        <w:pStyle w:val="NormalWeb"/>
        <w:spacing w:before="0" w:beforeAutospacing="0" w:line="360" w:lineRule="atLeast"/>
        <w:rPr>
          <w:rFonts w:ascii="Century Gothic" w:hAnsi="Century Gothic"/>
          <w:sz w:val="19"/>
          <w:szCs w:val="19"/>
          <w:lang w:val="en-AU"/>
        </w:rPr>
      </w:pPr>
      <w:r w:rsidRPr="008D2B6B">
        <w:rPr>
          <w:rFonts w:ascii="Century Gothic" w:hAnsi="Century Gothic"/>
          <w:noProof/>
          <w:sz w:val="19"/>
          <w:szCs w:val="19"/>
          <w:lang w:val="en-AU" w:eastAsia="en-AU"/>
        </w:rPr>
        <w:drawing>
          <wp:inline distT="0" distB="0" distL="0" distR="0">
            <wp:extent cx="5943600" cy="751840"/>
            <wp:effectExtent l="0" t="0" r="0" b="0"/>
            <wp:docPr id="1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040979"/>
                      <a:chOff x="518864" y="5484365"/>
                      <a:chExt cx="8229600" cy="1040979"/>
                    </a:xfrm>
                  </a:grpSpPr>
                  <a:sp>
                    <a:nvSpPr>
                      <a:cNvPr id="9" name="Content Placeholder 2"/>
                      <a:cNvSpPr txBox="1">
                        <a:spLocks/>
                      </a:cNvSpPr>
                    </a:nvSpPr>
                    <a:spPr>
                      <a:xfrm>
                        <a:off x="518864" y="5484365"/>
                        <a:ext cx="8229600" cy="1040979"/>
                      </a:xfrm>
                      <a:prstGeom prst="rect">
                        <a:avLst/>
                      </a:prstGeom>
                    </a:spPr>
                    <a:txSp>
                      <a:txBody>
                        <a:bodyPr vert="horz" lIns="91440" tIns="45720" rIns="91440" bIns="45720" rtlCol="0">
                          <a:normAutofit fontScale="4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2">
                                  <a:lumMod val="75000"/>
                                </a:schemeClr>
                              </a:solidFill>
                              <a:effectLst/>
                              <a:uLnTx/>
                              <a:uFillTx/>
                              <a:latin typeface="+mn-lt"/>
                              <a:ea typeface="+mn-ea"/>
                              <a:cs typeface="+mn-cs"/>
                            </a:rPr>
                            <a:t>Avoid damage:</a:t>
                          </a:r>
                          <a:r>
                            <a:rPr kumimoji="0" lang="en-AU" sz="2400" b="0" i="0" u="none" strike="noStrike" kern="1200" cap="none" spc="0" normalizeH="0" baseline="0" noProof="0" dirty="0" smtClean="0">
                              <a:ln>
                                <a:noFill/>
                              </a:ln>
                              <a:solidFill>
                                <a:schemeClr val="accent2">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Avoid damage to environmental assets</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6">
                                  <a:lumMod val="75000"/>
                                </a:schemeClr>
                              </a:solidFill>
                              <a:effectLst/>
                              <a:uLnTx/>
                              <a:uFillTx/>
                              <a:latin typeface="+mn-lt"/>
                              <a:ea typeface="+mn-ea"/>
                              <a:cs typeface="+mn-cs"/>
                            </a:rPr>
                            <a:t>Protect:</a:t>
                          </a:r>
                          <a:r>
                            <a:rPr kumimoji="0" lang="en-AU" sz="2400" b="0" i="0" u="none" strike="noStrike" kern="1200" cap="none" spc="0" normalizeH="0" baseline="0" noProof="0" dirty="0" smtClean="0">
                              <a:ln>
                                <a:noFill/>
                              </a:ln>
                              <a:solidFill>
                                <a:schemeClr val="accent6">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Ensure ecological capacity for recovery</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3"/>
                              </a:solidFill>
                              <a:effectLst/>
                              <a:uLnTx/>
                              <a:uFillTx/>
                              <a:latin typeface="+mn-lt"/>
                              <a:ea typeface="+mn-ea"/>
                              <a:cs typeface="+mn-cs"/>
                            </a:rPr>
                            <a:t>Maintain:</a:t>
                          </a:r>
                          <a:r>
                            <a:rPr kumimoji="0" lang="en-AU" sz="2400" b="0" i="0" u="none" strike="noStrike" kern="1200" cap="none" spc="0" normalizeH="0" baseline="0" noProof="0" dirty="0" smtClean="0">
                              <a:ln>
                                <a:noFill/>
                              </a:ln>
                              <a:solidFill>
                                <a:schemeClr val="accent3"/>
                              </a:solidFill>
                              <a:effectLst/>
                              <a:uLnTx/>
                              <a:uFillTx/>
                              <a:latin typeface="+mn-lt"/>
                              <a:ea typeface="+mn-ea"/>
                              <a:cs typeface="+mn-cs"/>
                            </a:rPr>
                            <a:t> </a:t>
                          </a:r>
                          <a:r>
                            <a:rPr kumimoji="0" lang="en-AU" sz="2400" b="0" i="0" u="none" strike="noStrike" kern="1200" cap="none" spc="0" normalizeH="0" baseline="0" noProof="0" dirty="0" smtClean="0">
                              <a:ln>
                                <a:noFill/>
                              </a:ln>
                              <a:solidFill>
                                <a:srgbClr val="92D050"/>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Maintain ecological health and resilience</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1">
                                  <a:lumMod val="75000"/>
                                </a:schemeClr>
                              </a:solidFill>
                              <a:effectLst/>
                              <a:uLnTx/>
                              <a:uFillTx/>
                              <a:latin typeface="+mn-lt"/>
                              <a:ea typeface="+mn-ea"/>
                              <a:cs typeface="+mn-cs"/>
                            </a:rPr>
                            <a:t>Improve: </a:t>
                          </a:r>
                          <a:r>
                            <a:rPr kumimoji="0" lang="en-AU" sz="2400" b="0" i="0" u="none" strike="noStrike" kern="1200" cap="none" spc="0" normalizeH="0" baseline="0" noProof="0" dirty="0" smtClean="0">
                              <a:ln>
                                <a:noFill/>
                              </a:ln>
                              <a:solidFill>
                                <a:schemeClr val="tx2">
                                  <a:lumMod val="60000"/>
                                  <a:lumOff val="40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Improve the health and resilience of aquatic ecosystems /  Build future capacity to support ecological health and resilience</a:t>
                          </a:r>
                        </a:p>
                        <a:p>
                          <a:pPr marL="342900" marR="0" lvl="0" indent="-342900" algn="l" defTabSz="914400" rtl="0" eaLnBrk="1" fontAlgn="auto" latinLnBrk="0" hangingPunct="1">
                            <a:lnSpc>
                              <a:spcPct val="100000"/>
                            </a:lnSpc>
                            <a:spcBef>
                              <a:spcPct val="20000"/>
                            </a:spcBef>
                            <a:spcAft>
                              <a:spcPts val="0"/>
                            </a:spcAft>
                            <a:buClrTx/>
                            <a:buSzTx/>
                            <a:buFont typeface="Arial" pitchFamily="34" charset="0"/>
                            <a:buNone/>
                            <a:tabLst/>
                            <a:defRPr/>
                          </a:pPr>
                          <a:endParaRPr kumimoji="0" lang="en-AU" sz="2400" b="1" i="0" u="none" strike="noStrike" kern="1200" cap="none" spc="0" normalizeH="0" baseline="0" noProof="0" dirty="0" smtClean="0">
                            <a:ln>
                              <a:noFill/>
                            </a:ln>
                            <a:solidFill>
                              <a:schemeClr val="tx1"/>
                            </a:solidFill>
                            <a:effectLst/>
                            <a:uLnTx/>
                            <a:uFillTx/>
                            <a:latin typeface="+mn-lt"/>
                            <a:ea typeface="+mn-ea"/>
                            <a:cs typeface="+mn-cs"/>
                          </a:endParaRPr>
                        </a:p>
                      </a:txBody>
                      <a:useSpRect/>
                    </a:txSp>
                  </a:sp>
                </lc:lockedCanvas>
              </a:graphicData>
            </a:graphic>
          </wp:inline>
        </w:drawing>
      </w:r>
      <w:r w:rsidRPr="008D2B6B">
        <w:rPr>
          <w:rFonts w:ascii="Century Gothic" w:hAnsi="Century Gothic"/>
          <w:sz w:val="19"/>
          <w:szCs w:val="19"/>
          <w:lang w:val="en-AU"/>
        </w:rPr>
        <w:t xml:space="preserve"> </w:t>
      </w:r>
    </w:p>
    <w:p w:rsidR="00060C7A" w:rsidRPr="008D2B6B" w:rsidRDefault="00060C7A" w:rsidP="00060C7A">
      <w:pPr>
        <w:pStyle w:val="Caption"/>
        <w:spacing w:after="0"/>
        <w:ind w:left="34"/>
        <w:jc w:val="left"/>
        <w:rPr>
          <w:rFonts w:ascii="Century Gothic" w:hAnsi="Century Gothic"/>
          <w:b w:val="0"/>
        </w:rPr>
      </w:pPr>
      <w:r w:rsidRPr="008D2B6B">
        <w:rPr>
          <w:rFonts w:ascii="Century Gothic" w:hAnsi="Century Gothic"/>
        </w:rPr>
        <w:t xml:space="preserve">Figure </w:t>
      </w:r>
      <w:r w:rsidR="00B64803" w:rsidRPr="008D2B6B">
        <w:rPr>
          <w:rFonts w:ascii="Century Gothic" w:hAnsi="Century Gothic"/>
        </w:rPr>
        <w:fldChar w:fldCharType="begin"/>
      </w:r>
      <w:r w:rsidRPr="008D2B6B">
        <w:rPr>
          <w:rFonts w:ascii="Century Gothic" w:hAnsi="Century Gothic"/>
        </w:rPr>
        <w:instrText xml:space="preserve"> SEQ Figure \* ARABIC </w:instrText>
      </w:r>
      <w:r w:rsidR="00B64803" w:rsidRPr="008D2B6B">
        <w:rPr>
          <w:rFonts w:ascii="Century Gothic" w:hAnsi="Century Gothic"/>
        </w:rPr>
        <w:fldChar w:fldCharType="separate"/>
      </w:r>
      <w:r w:rsidR="00E66785">
        <w:rPr>
          <w:rFonts w:ascii="Century Gothic" w:hAnsi="Century Gothic"/>
          <w:noProof/>
        </w:rPr>
        <w:t>1</w:t>
      </w:r>
      <w:r w:rsidR="00B64803" w:rsidRPr="008D2B6B">
        <w:rPr>
          <w:rFonts w:ascii="Century Gothic" w:hAnsi="Century Gothic"/>
        </w:rPr>
        <w:fldChar w:fldCharType="end"/>
      </w:r>
      <w:r w:rsidRPr="008D2B6B">
        <w:rPr>
          <w:rFonts w:ascii="Century Gothic" w:hAnsi="Century Gothic"/>
        </w:rPr>
        <w:t>:</w:t>
      </w:r>
      <w:r w:rsidRPr="008D2B6B">
        <w:rPr>
          <w:rFonts w:ascii="Century Gothic" w:hAnsi="Century Gothic"/>
          <w:b w:val="0"/>
        </w:rPr>
        <w:t xml:space="preserve"> Determining a broad purpose for portfolio management in the Lower Murray-Darling for 2015–16</w:t>
      </w:r>
    </w:p>
    <w:p w:rsidR="00060C7A" w:rsidRPr="008D2B6B" w:rsidRDefault="00060C7A" w:rsidP="00060C7A">
      <w:pPr>
        <w:pStyle w:val="NormalWeb"/>
        <w:spacing w:before="0" w:beforeAutospacing="0" w:after="0" w:afterAutospacing="0" w:line="360" w:lineRule="atLeast"/>
        <w:rPr>
          <w:rFonts w:ascii="Century Gothic" w:hAnsi="Century Gothic"/>
          <w:sz w:val="19"/>
          <w:szCs w:val="19"/>
          <w:lang w:val="en-AU"/>
        </w:rPr>
      </w:pPr>
      <w:r w:rsidRPr="008D2B6B">
        <w:rPr>
          <w:rFonts w:ascii="Century Gothic" w:hAnsi="Century Gothic"/>
          <w:sz w:val="16"/>
          <w:szCs w:val="16"/>
          <w:lang w:val="en-AU"/>
        </w:rPr>
        <w:t>Note: grey lines represent potential range in demand and resource availability</w:t>
      </w:r>
    </w:p>
    <w:p w:rsidR="00060C7A" w:rsidRPr="008D2B6B" w:rsidRDefault="00060C7A" w:rsidP="00060C7A">
      <w:pPr>
        <w:pStyle w:val="Heading2"/>
        <w:spacing w:before="0"/>
        <w:ind w:left="851" w:hanging="851"/>
        <w:rPr>
          <w:rFonts w:ascii="Century Gothic" w:hAnsi="Century Gothic" w:cs="Arial"/>
          <w:bCs/>
          <w:color w:val="5F497A" w:themeColor="accent4" w:themeShade="BF"/>
          <w:lang w:val="en-AU"/>
        </w:rPr>
      </w:pPr>
      <w:r w:rsidRPr="008D2B6B">
        <w:rPr>
          <w:rFonts w:ascii="Century Gothic" w:hAnsi="Century Gothic" w:cs="Arial"/>
          <w:bCs/>
          <w:color w:val="5F497A" w:themeColor="accent4" w:themeShade="BF"/>
          <w:lang w:val="en-AU"/>
        </w:rPr>
        <w:br w:type="column"/>
      </w:r>
      <w:bookmarkStart w:id="11" w:name="_Toc422406852"/>
      <w:r w:rsidRPr="008D2B6B">
        <w:rPr>
          <w:rFonts w:ascii="Century Gothic" w:hAnsi="Century Gothic"/>
          <w:noProof/>
          <w:color w:val="5F497A" w:themeColor="accent4" w:themeShade="BF"/>
          <w:lang w:val="en-AU"/>
        </w:rPr>
        <w:lastRenderedPageBreak/>
        <w:t>Water Use</w:t>
      </w:r>
      <w:bookmarkEnd w:id="11"/>
    </w:p>
    <w:p w:rsidR="00060C7A" w:rsidRPr="008D2B6B" w:rsidRDefault="00060C7A" w:rsidP="00060C7A">
      <w:pPr>
        <w:pStyle w:val="NormalWeb"/>
        <w:spacing w:before="0" w:beforeAutospacing="0" w:after="240" w:afterAutospacing="0"/>
        <w:jc w:val="left"/>
        <w:rPr>
          <w:rFonts w:ascii="Century Gothic" w:hAnsi="Century Gothic"/>
          <w:lang w:val="en-AU"/>
        </w:rPr>
      </w:pPr>
      <w:r w:rsidRPr="008D2B6B">
        <w:rPr>
          <w:rFonts w:ascii="Century Gothic" w:hAnsi="Century Gothic"/>
          <w:lang w:val="en-AU"/>
        </w:rPr>
        <w:t>Consistent with the demands and purpose described above</w:t>
      </w:r>
      <w:r>
        <w:rPr>
          <w:rFonts w:ascii="Century Gothic" w:hAnsi="Century Gothic"/>
          <w:lang w:val="en-AU"/>
        </w:rPr>
        <w:t>,</w:t>
      </w:r>
      <w:r w:rsidRPr="008D2B6B">
        <w:rPr>
          <w:rFonts w:ascii="Century Gothic" w:hAnsi="Century Gothic"/>
          <w:lang w:val="en-AU"/>
        </w:rPr>
        <w:t xml:space="preserve"> the Office is considering supplying environmental water </w:t>
      </w:r>
      <w:r>
        <w:rPr>
          <w:rFonts w:ascii="Century Gothic" w:hAnsi="Century Gothic"/>
          <w:lang w:val="en-AU"/>
        </w:rPr>
        <w:t>for</w:t>
      </w:r>
      <w:r w:rsidRPr="008D2B6B">
        <w:rPr>
          <w:rFonts w:ascii="Century Gothic" w:hAnsi="Century Gothic"/>
          <w:lang w:val="en-AU"/>
        </w:rPr>
        <w:t xml:space="preserve"> the following watering actions for 2015–16. Table 1 summarises which of these actions are relevant to which resource availability scenarios in 2015–16, with further detail and rationale established in Table 2, including implications for future years based on assumed </w:t>
      </w:r>
      <w:r>
        <w:rPr>
          <w:rFonts w:ascii="Century Gothic" w:hAnsi="Century Gothic"/>
          <w:lang w:val="en-AU"/>
        </w:rPr>
        <w:t xml:space="preserve">water </w:t>
      </w:r>
      <w:r w:rsidRPr="008D2B6B">
        <w:rPr>
          <w:rFonts w:ascii="Century Gothic" w:hAnsi="Century Gothic"/>
          <w:lang w:val="en-AU"/>
        </w:rPr>
        <w:t xml:space="preserve">use behaviour for 2015–16. Table 1 also identifies the 2015–16 </w:t>
      </w:r>
      <w:proofErr w:type="gramStart"/>
      <w:r w:rsidRPr="008D2B6B">
        <w:rPr>
          <w:rFonts w:ascii="Century Gothic" w:hAnsi="Century Gothic"/>
          <w:lang w:val="en-AU"/>
        </w:rPr>
        <w:t>Basin</w:t>
      </w:r>
      <w:proofErr w:type="gramEnd"/>
      <w:r w:rsidRPr="008D2B6B">
        <w:rPr>
          <w:rFonts w:ascii="Century Gothic" w:hAnsi="Century Gothic"/>
          <w:lang w:val="en-AU"/>
        </w:rPr>
        <w:t xml:space="preserve"> annual environmental watering priorities (published by the Murray-Darling Basin Authority) that the various watering actions may contribute to meeting.</w:t>
      </w:r>
    </w:p>
    <w:p w:rsidR="00060C7A" w:rsidRPr="008D2B6B" w:rsidRDefault="00060C7A" w:rsidP="00060C7A">
      <w:pPr>
        <w:rPr>
          <w:rFonts w:ascii="Century Gothic" w:hAnsi="Century Gothic"/>
          <w:color w:val="FF0000"/>
          <w:sz w:val="20"/>
          <w:szCs w:val="20"/>
        </w:rPr>
      </w:pPr>
      <w:r w:rsidRPr="008D2B6B">
        <w:rPr>
          <w:rFonts w:ascii="Century Gothic" w:hAnsi="Century Gothic"/>
          <w:b/>
          <w:sz w:val="20"/>
          <w:szCs w:val="20"/>
        </w:rPr>
        <w:t xml:space="preserve">Table </w:t>
      </w:r>
      <w:r w:rsidR="00B64803" w:rsidRPr="008D2B6B">
        <w:rPr>
          <w:rFonts w:ascii="Century Gothic" w:hAnsi="Century Gothic"/>
          <w:b/>
          <w:sz w:val="20"/>
          <w:szCs w:val="20"/>
        </w:rPr>
        <w:fldChar w:fldCharType="begin"/>
      </w:r>
      <w:r w:rsidRPr="008D2B6B">
        <w:rPr>
          <w:rFonts w:ascii="Century Gothic" w:hAnsi="Century Gothic"/>
          <w:b/>
          <w:sz w:val="20"/>
          <w:szCs w:val="20"/>
        </w:rPr>
        <w:instrText xml:space="preserve"> SEQ Table \* ARABIC </w:instrText>
      </w:r>
      <w:r w:rsidR="00B64803" w:rsidRPr="008D2B6B">
        <w:rPr>
          <w:rFonts w:ascii="Century Gothic" w:hAnsi="Century Gothic"/>
          <w:b/>
          <w:sz w:val="20"/>
          <w:szCs w:val="20"/>
        </w:rPr>
        <w:fldChar w:fldCharType="separate"/>
      </w:r>
      <w:r w:rsidR="00E66785">
        <w:rPr>
          <w:rFonts w:ascii="Century Gothic" w:hAnsi="Century Gothic"/>
          <w:b/>
          <w:noProof/>
          <w:sz w:val="20"/>
          <w:szCs w:val="20"/>
        </w:rPr>
        <w:t>1</w:t>
      </w:r>
      <w:r w:rsidR="00B64803" w:rsidRPr="008D2B6B">
        <w:rPr>
          <w:rFonts w:ascii="Century Gothic" w:hAnsi="Century Gothic"/>
          <w:b/>
          <w:sz w:val="20"/>
          <w:szCs w:val="20"/>
        </w:rPr>
        <w:fldChar w:fldCharType="end"/>
      </w:r>
      <w:r w:rsidRPr="008D2B6B">
        <w:rPr>
          <w:rFonts w:ascii="Century Gothic" w:hAnsi="Century Gothic"/>
          <w:sz w:val="20"/>
          <w:szCs w:val="20"/>
        </w:rPr>
        <w:t xml:space="preserve">: Potential Commonwealth watering actions and applicable resource availability scenarios for the </w:t>
      </w:r>
      <w:r w:rsidRPr="008D2B6B">
        <w:rPr>
          <w:rFonts w:ascii="Century Gothic" w:hAnsi="Century Gothic"/>
          <w:color w:val="000000" w:themeColor="text1"/>
          <w:sz w:val="20"/>
          <w:szCs w:val="20"/>
        </w:rPr>
        <w:t>Lower Murray</w:t>
      </w:r>
      <w:r>
        <w:rPr>
          <w:rFonts w:ascii="Century Gothic" w:hAnsi="Century Gothic"/>
          <w:color w:val="000000" w:themeColor="text1"/>
          <w:sz w:val="20"/>
          <w:szCs w:val="20"/>
        </w:rPr>
        <w:t>-</w:t>
      </w:r>
      <w:r w:rsidRPr="008D2B6B">
        <w:rPr>
          <w:rFonts w:ascii="Century Gothic" w:hAnsi="Century Gothic"/>
          <w:color w:val="000000" w:themeColor="text1"/>
          <w:sz w:val="20"/>
          <w:szCs w:val="20"/>
        </w:rPr>
        <w:t>Darling Region</w:t>
      </w:r>
      <w:r w:rsidRPr="008D2B6B">
        <w:rPr>
          <w:rFonts w:ascii="Century Gothic" w:hAnsi="Century Gothic"/>
          <w:color w:val="FF0000"/>
          <w:sz w:val="20"/>
          <w:szCs w:val="20"/>
        </w:rPr>
        <w:t xml:space="preserve"> </w:t>
      </w:r>
      <w:r w:rsidRPr="008D2B6B">
        <w:rPr>
          <w:rFonts w:ascii="Century Gothic" w:hAnsi="Century Gothic"/>
          <w:sz w:val="20"/>
          <w:szCs w:val="20"/>
        </w:rPr>
        <w:t>in 2015–16</w:t>
      </w:r>
    </w:p>
    <w:p w:rsidR="00060C7A" w:rsidRPr="008D2B6B" w:rsidRDefault="00060C7A" w:rsidP="00060C7A">
      <w:pPr>
        <w:rPr>
          <w:rFonts w:ascii="Century Gothic" w:hAnsi="Century Gothic"/>
          <w:b/>
          <w:color w:val="FF0000"/>
        </w:rPr>
      </w:pPr>
    </w:p>
    <w:tbl>
      <w:tblPr>
        <w:tblStyle w:val="TableGrid"/>
        <w:tblW w:w="10564" w:type="dxa"/>
        <w:tblLook w:val="04A0"/>
      </w:tblPr>
      <w:tblGrid>
        <w:gridCol w:w="2660"/>
        <w:gridCol w:w="4111"/>
        <w:gridCol w:w="1842"/>
        <w:gridCol w:w="1951"/>
      </w:tblGrid>
      <w:tr w:rsidR="00060C7A" w:rsidRPr="00D33D40" w:rsidTr="00363651">
        <w:trPr>
          <w:trHeight w:val="488"/>
        </w:trPr>
        <w:tc>
          <w:tcPr>
            <w:tcW w:w="2660" w:type="dxa"/>
            <w:vMerge w:val="restart"/>
            <w:shd w:val="clear" w:color="auto" w:fill="CCC0D9" w:themeFill="accent4" w:themeFillTint="66"/>
          </w:tcPr>
          <w:p w:rsidR="00060C7A" w:rsidRPr="00D33D40" w:rsidRDefault="00060C7A" w:rsidP="00EA1768">
            <w:pPr>
              <w:pStyle w:val="ListBullet"/>
              <w:numPr>
                <w:ilvl w:val="0"/>
                <w:numId w:val="0"/>
              </w:numPr>
              <w:spacing w:before="40" w:after="40"/>
              <w:ind w:left="369" w:hanging="369"/>
              <w:jc w:val="left"/>
              <w:rPr>
                <w:rFonts w:ascii="Century Gothic" w:hAnsi="Century Gothic"/>
                <w:b/>
              </w:rPr>
            </w:pPr>
            <w:r w:rsidRPr="00D33D40">
              <w:rPr>
                <w:rFonts w:ascii="Century Gothic" w:hAnsi="Century Gothic"/>
                <w:b/>
              </w:rPr>
              <w:t>Watering action</w:t>
            </w:r>
          </w:p>
        </w:tc>
        <w:tc>
          <w:tcPr>
            <w:tcW w:w="4111" w:type="dxa"/>
            <w:vMerge w:val="restart"/>
            <w:shd w:val="clear" w:color="auto" w:fill="CCC0D9" w:themeFill="accent4" w:themeFillTint="66"/>
          </w:tcPr>
          <w:p w:rsidR="00060C7A" w:rsidRPr="00D33D40" w:rsidRDefault="00060C7A" w:rsidP="00EA1768">
            <w:pPr>
              <w:pStyle w:val="ListBullet"/>
              <w:spacing w:before="40" w:after="40"/>
              <w:ind w:left="0"/>
              <w:jc w:val="left"/>
              <w:rPr>
                <w:rFonts w:ascii="Century Gothic" w:hAnsi="Century Gothic"/>
                <w:b/>
              </w:rPr>
            </w:pPr>
            <w:r w:rsidRPr="00D33D40">
              <w:rPr>
                <w:rFonts w:ascii="Century Gothic" w:hAnsi="Century Gothic"/>
                <w:b/>
              </w:rPr>
              <w:t>2015–16 Basin annual environmental watering priority(s)</w:t>
            </w:r>
            <w:r>
              <w:rPr>
                <w:rStyle w:val="FootnoteReference"/>
                <w:rFonts w:ascii="Century Gothic" w:hAnsi="Century Gothic"/>
                <w:b/>
              </w:rPr>
              <w:t xml:space="preserve"> </w:t>
            </w:r>
            <w:r>
              <w:rPr>
                <w:rStyle w:val="FootnoteReference"/>
                <w:rFonts w:ascii="Century Gothic" w:hAnsi="Century Gothic"/>
                <w:b/>
              </w:rPr>
              <w:footnoteReference w:id="1"/>
            </w:r>
          </w:p>
        </w:tc>
        <w:tc>
          <w:tcPr>
            <w:tcW w:w="3793" w:type="dxa"/>
            <w:gridSpan w:val="2"/>
            <w:shd w:val="clear" w:color="auto" w:fill="CCC0D9" w:themeFill="accent4" w:themeFillTint="66"/>
          </w:tcPr>
          <w:p w:rsidR="00060C7A" w:rsidRPr="00D33D40" w:rsidRDefault="00060C7A" w:rsidP="00EA1768">
            <w:pPr>
              <w:pStyle w:val="ListBullet"/>
              <w:numPr>
                <w:ilvl w:val="0"/>
                <w:numId w:val="0"/>
              </w:numPr>
              <w:spacing w:before="40" w:after="40"/>
              <w:contextualSpacing w:val="0"/>
              <w:jc w:val="center"/>
              <w:rPr>
                <w:rFonts w:ascii="Century Gothic" w:hAnsi="Century Gothic"/>
                <w:b/>
              </w:rPr>
            </w:pPr>
            <w:r w:rsidRPr="00D33D40">
              <w:rPr>
                <w:rFonts w:ascii="Century Gothic" w:hAnsi="Century Gothic"/>
                <w:b/>
              </w:rPr>
              <w:t>Resource availability scenarios action is likely to be pursued under</w:t>
            </w:r>
          </w:p>
        </w:tc>
      </w:tr>
      <w:tr w:rsidR="00060C7A" w:rsidRPr="00D33D40" w:rsidTr="00363651">
        <w:trPr>
          <w:trHeight w:val="488"/>
        </w:trPr>
        <w:tc>
          <w:tcPr>
            <w:tcW w:w="2660" w:type="dxa"/>
            <w:vMerge/>
            <w:shd w:val="clear" w:color="auto" w:fill="CCC0D9" w:themeFill="accent4" w:themeFillTint="66"/>
          </w:tcPr>
          <w:p w:rsidR="00060C7A" w:rsidRPr="00D33D40" w:rsidRDefault="00060C7A" w:rsidP="00EA1768">
            <w:pPr>
              <w:pStyle w:val="ListBullet"/>
              <w:numPr>
                <w:ilvl w:val="0"/>
                <w:numId w:val="0"/>
              </w:numPr>
              <w:spacing w:before="40" w:after="40"/>
              <w:ind w:firstLine="34"/>
              <w:contextualSpacing w:val="0"/>
              <w:jc w:val="left"/>
              <w:rPr>
                <w:rFonts w:ascii="Century Gothic" w:hAnsi="Century Gothic"/>
                <w:b/>
              </w:rPr>
            </w:pPr>
          </w:p>
        </w:tc>
        <w:tc>
          <w:tcPr>
            <w:tcW w:w="4111" w:type="dxa"/>
            <w:vMerge/>
            <w:shd w:val="clear" w:color="auto" w:fill="CCC0D9" w:themeFill="accent4" w:themeFillTint="66"/>
          </w:tcPr>
          <w:p w:rsidR="00060C7A" w:rsidRPr="00D33D40" w:rsidRDefault="00060C7A" w:rsidP="00EA1768">
            <w:pPr>
              <w:pStyle w:val="ListBullet"/>
              <w:numPr>
                <w:ilvl w:val="0"/>
                <w:numId w:val="0"/>
              </w:numPr>
              <w:spacing w:before="40" w:after="40"/>
              <w:contextualSpacing w:val="0"/>
              <w:jc w:val="left"/>
              <w:rPr>
                <w:rFonts w:ascii="Century Gothic" w:hAnsi="Century Gothic"/>
                <w:b/>
              </w:rPr>
            </w:pPr>
          </w:p>
        </w:tc>
        <w:tc>
          <w:tcPr>
            <w:tcW w:w="1842" w:type="dxa"/>
            <w:shd w:val="clear" w:color="auto" w:fill="CCC0D9" w:themeFill="accent4" w:themeFillTint="66"/>
          </w:tcPr>
          <w:p w:rsidR="00060C7A" w:rsidRPr="00D33D40" w:rsidRDefault="00060C7A" w:rsidP="00EA1768">
            <w:pPr>
              <w:pStyle w:val="ListBullet"/>
              <w:numPr>
                <w:ilvl w:val="0"/>
                <w:numId w:val="0"/>
              </w:numPr>
              <w:spacing w:before="40" w:after="40"/>
              <w:contextualSpacing w:val="0"/>
              <w:jc w:val="left"/>
              <w:rPr>
                <w:rFonts w:ascii="Century Gothic" w:hAnsi="Century Gothic"/>
                <w:b/>
              </w:rPr>
            </w:pPr>
            <w:r w:rsidRPr="00D33D40">
              <w:rPr>
                <w:rFonts w:ascii="Century Gothic" w:hAnsi="Century Gothic"/>
                <w:b/>
              </w:rPr>
              <w:t xml:space="preserve">Moderate </w:t>
            </w:r>
          </w:p>
        </w:tc>
        <w:tc>
          <w:tcPr>
            <w:tcW w:w="1951" w:type="dxa"/>
            <w:shd w:val="clear" w:color="auto" w:fill="CCC0D9" w:themeFill="accent4" w:themeFillTint="66"/>
          </w:tcPr>
          <w:p w:rsidR="00060C7A" w:rsidRPr="00D33D40" w:rsidRDefault="00060C7A" w:rsidP="00EA1768">
            <w:pPr>
              <w:pStyle w:val="ListBullet"/>
              <w:numPr>
                <w:ilvl w:val="0"/>
                <w:numId w:val="0"/>
              </w:numPr>
              <w:spacing w:before="40" w:after="40"/>
              <w:contextualSpacing w:val="0"/>
              <w:jc w:val="left"/>
              <w:rPr>
                <w:rFonts w:ascii="Century Gothic" w:hAnsi="Century Gothic"/>
                <w:b/>
              </w:rPr>
            </w:pPr>
            <w:r w:rsidRPr="00D33D40">
              <w:rPr>
                <w:rFonts w:ascii="Century Gothic" w:hAnsi="Century Gothic"/>
                <w:b/>
              </w:rPr>
              <w:t xml:space="preserve">High  </w:t>
            </w:r>
          </w:p>
        </w:tc>
      </w:tr>
      <w:tr w:rsidR="00060C7A" w:rsidRPr="00D33D40" w:rsidTr="00363651">
        <w:tc>
          <w:tcPr>
            <w:tcW w:w="2660" w:type="dxa"/>
          </w:tcPr>
          <w:p w:rsidR="00060C7A" w:rsidRPr="00D33D40" w:rsidRDefault="00060C7A" w:rsidP="00EA1768">
            <w:pPr>
              <w:pStyle w:val="ListBullet"/>
              <w:numPr>
                <w:ilvl w:val="0"/>
                <w:numId w:val="0"/>
              </w:numPr>
              <w:spacing w:before="40" w:after="40"/>
              <w:contextualSpacing w:val="0"/>
              <w:jc w:val="left"/>
              <w:rPr>
                <w:rFonts w:ascii="Century Gothic" w:hAnsi="Century Gothic"/>
              </w:rPr>
            </w:pPr>
            <w:r w:rsidRPr="00D33D40">
              <w:rPr>
                <w:rFonts w:ascii="Century Gothic" w:hAnsi="Century Gothic"/>
              </w:rPr>
              <w:t>River Murray from South Australian border to Coorong, Lower Lakes and Murray Mouth</w:t>
            </w:r>
          </w:p>
        </w:tc>
        <w:tc>
          <w:tcPr>
            <w:tcW w:w="4111" w:type="dxa"/>
          </w:tcPr>
          <w:p w:rsidR="00060C7A" w:rsidRPr="005D0C9D" w:rsidRDefault="002F1B46"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060C7A" w:rsidRPr="005D0C9D" w:rsidRDefault="009745F9"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River Murray weir pool variation</w:t>
            </w:r>
          </w:p>
          <w:p w:rsidR="00060C7A" w:rsidRPr="005D0C9D" w:rsidRDefault="00060C7A" w:rsidP="007A72AA">
            <w:pPr>
              <w:pStyle w:val="ListBullet"/>
              <w:spacing w:before="60" w:after="60"/>
              <w:ind w:left="175" w:hanging="175"/>
              <w:contextualSpacing w:val="0"/>
              <w:jc w:val="left"/>
              <w:rPr>
                <w:rFonts w:ascii="Century Gothic" w:hAnsi="Century Gothic"/>
                <w:noProof/>
              </w:rPr>
            </w:pPr>
            <w:r w:rsidRPr="005D0C9D">
              <w:rPr>
                <w:rFonts w:ascii="Century Gothic" w:hAnsi="Century Gothic"/>
                <w:noProof/>
              </w:rPr>
              <w:t>Coorong, Lower Lakes and Murray Mouth</w:t>
            </w:r>
            <w:r w:rsidRPr="007A72AA">
              <w:rPr>
                <w:rFonts w:ascii="Century Gothic" w:hAnsi="Century Gothic"/>
                <w:noProof/>
              </w:rPr>
              <w:t xml:space="preserve"> </w:t>
            </w:r>
          </w:p>
          <w:p w:rsidR="00060C7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060C7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p w:rsidR="00060C7A" w:rsidRPr="005D0C9D" w:rsidRDefault="00745E82"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060C7A" w:rsidRPr="003E14E3" w:rsidRDefault="00060C7A" w:rsidP="007A72AA">
            <w:pPr>
              <w:pStyle w:val="ListBullet"/>
              <w:spacing w:before="60" w:after="60"/>
              <w:ind w:left="175" w:hanging="175"/>
              <w:contextualSpacing w:val="0"/>
              <w:jc w:val="left"/>
              <w:rPr>
                <w:rFonts w:ascii="Century Gothic" w:hAnsi="Century Gothic"/>
                <w:noProof/>
              </w:rPr>
            </w:pPr>
            <w:r w:rsidRPr="005D0C9D">
              <w:rPr>
                <w:rFonts w:ascii="Century Gothic" w:hAnsi="Century Gothic"/>
                <w:noProof/>
              </w:rPr>
              <w:t>Silver perch</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lang w:val="en-AU"/>
              </w:rPr>
            </w:pPr>
            <w:r w:rsidRPr="00D33D40">
              <w:rPr>
                <w:rFonts w:ascii="Century Gothic" w:hAnsi="Century Gothic"/>
                <w:lang w:val="en-AU"/>
              </w:rPr>
              <w:t>Lower Darling and/or Great Darling Anabranch</w:t>
            </w:r>
          </w:p>
        </w:tc>
        <w:tc>
          <w:tcPr>
            <w:tcW w:w="4111" w:type="dxa"/>
          </w:tcPr>
          <w:p w:rsidR="00060C7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060C7A" w:rsidRPr="005D0C9D"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060C7A" w:rsidRPr="005D0C9D" w:rsidRDefault="00745E82"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060C7A" w:rsidRPr="007A72AA" w:rsidRDefault="00060C7A" w:rsidP="007A72AA">
            <w:pPr>
              <w:pStyle w:val="ListBullet"/>
              <w:spacing w:before="60" w:after="60"/>
              <w:ind w:left="175" w:hanging="175"/>
              <w:contextualSpacing w:val="0"/>
              <w:jc w:val="left"/>
              <w:rPr>
                <w:rFonts w:ascii="Century Gothic" w:hAnsi="Century Gothic"/>
                <w:noProof/>
              </w:rPr>
            </w:pPr>
            <w:r w:rsidRPr="005D0C9D">
              <w:rPr>
                <w:rFonts w:ascii="Century Gothic" w:hAnsi="Century Gothic"/>
                <w:noProof/>
              </w:rPr>
              <w:t>Silver perch</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 xml:space="preserve">Unlikely to be feasible </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 – high inflow conditions upstream of Menindee Lakes more likely</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lang w:val="en-AU"/>
              </w:rPr>
            </w:pPr>
            <w:r w:rsidRPr="00D33D40">
              <w:rPr>
                <w:rFonts w:ascii="Century Gothic" w:hAnsi="Century Gothic"/>
                <w:lang w:val="en-AU"/>
              </w:rPr>
              <w:t xml:space="preserve">New South Wales </w:t>
            </w:r>
            <w:proofErr w:type="spellStart"/>
            <w:r w:rsidRPr="00D33D40">
              <w:rPr>
                <w:rFonts w:ascii="Century Gothic" w:hAnsi="Century Gothic"/>
                <w:lang w:val="en-AU"/>
              </w:rPr>
              <w:t>Mallee</w:t>
            </w:r>
            <w:proofErr w:type="spellEnd"/>
            <w:r w:rsidRPr="00D33D40">
              <w:rPr>
                <w:rFonts w:ascii="Century Gothic" w:hAnsi="Century Gothic"/>
                <w:lang w:val="en-AU"/>
              </w:rPr>
              <w:t xml:space="preserve"> Wetlands</w:t>
            </w:r>
          </w:p>
        </w:tc>
        <w:tc>
          <w:tcPr>
            <w:tcW w:w="4111" w:type="dxa"/>
          </w:tcPr>
          <w:p w:rsidR="00060C7A" w:rsidRPr="005D0C9D"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lang w:val="en-AU"/>
              </w:rPr>
            </w:pPr>
            <w:r w:rsidRPr="00D33D40">
              <w:rPr>
                <w:rFonts w:ascii="Century Gothic" w:hAnsi="Century Gothic"/>
                <w:lang w:val="en-AU"/>
              </w:rPr>
              <w:t xml:space="preserve">Victorian </w:t>
            </w:r>
            <w:proofErr w:type="spellStart"/>
            <w:r w:rsidRPr="00D33D40">
              <w:rPr>
                <w:rFonts w:ascii="Century Gothic" w:hAnsi="Century Gothic"/>
                <w:lang w:val="en-AU"/>
              </w:rPr>
              <w:t>Mallee</w:t>
            </w:r>
            <w:proofErr w:type="spellEnd"/>
            <w:r w:rsidRPr="00D33D40">
              <w:rPr>
                <w:rFonts w:ascii="Century Gothic" w:hAnsi="Century Gothic"/>
                <w:lang w:val="en-AU"/>
              </w:rPr>
              <w:t xml:space="preserve"> Wetlands</w:t>
            </w:r>
          </w:p>
        </w:tc>
        <w:tc>
          <w:tcPr>
            <w:tcW w:w="4111" w:type="dxa"/>
          </w:tcPr>
          <w:p w:rsidR="00060C7A" w:rsidRPr="007A72AA" w:rsidRDefault="007A72AA" w:rsidP="00363651">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b/>
                <w:lang w:val="en-AU"/>
              </w:rPr>
            </w:pPr>
            <w:r w:rsidRPr="00D33D40">
              <w:rPr>
                <w:rFonts w:ascii="Century Gothic" w:hAnsi="Century Gothic"/>
                <w:lang w:val="en-AU"/>
              </w:rPr>
              <w:t>Hattah Lakes</w:t>
            </w:r>
          </w:p>
        </w:tc>
        <w:tc>
          <w:tcPr>
            <w:tcW w:w="4111" w:type="dxa"/>
          </w:tcPr>
          <w:p w:rsidR="00060C7A" w:rsidRPr="007A72A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060C7A" w:rsidRPr="007A72A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lang w:val="en-AU"/>
              </w:rPr>
            </w:pPr>
            <w:r w:rsidRPr="00D33D40">
              <w:rPr>
                <w:rFonts w:ascii="Century Gothic" w:hAnsi="Century Gothic"/>
                <w:lang w:val="en-AU"/>
              </w:rPr>
              <w:t xml:space="preserve">Lindsay- </w:t>
            </w:r>
            <w:proofErr w:type="spellStart"/>
            <w:r w:rsidRPr="00D33D40">
              <w:rPr>
                <w:rFonts w:ascii="Century Gothic" w:hAnsi="Century Gothic"/>
                <w:lang w:val="en-AU"/>
              </w:rPr>
              <w:t>Mulcra</w:t>
            </w:r>
            <w:proofErr w:type="spellEnd"/>
            <w:r w:rsidRPr="00D33D40">
              <w:rPr>
                <w:rFonts w:ascii="Century Gothic" w:hAnsi="Century Gothic"/>
                <w:lang w:val="en-AU"/>
              </w:rPr>
              <w:t>-Wallpolla Floodplain</w:t>
            </w:r>
          </w:p>
        </w:tc>
        <w:tc>
          <w:tcPr>
            <w:tcW w:w="4111" w:type="dxa"/>
          </w:tcPr>
          <w:p w:rsidR="00060C7A"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060C7A" w:rsidRPr="005D0C9D" w:rsidRDefault="007A72AA"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745E82" w:rsidRDefault="00745E82" w:rsidP="007A72AA">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r w:rsidRPr="005D0C9D">
              <w:rPr>
                <w:rFonts w:ascii="Century Gothic" w:hAnsi="Century Gothic"/>
                <w:noProof/>
              </w:rPr>
              <w:t xml:space="preserve"> </w:t>
            </w:r>
          </w:p>
          <w:p w:rsidR="00060C7A" w:rsidRPr="003E14E3" w:rsidRDefault="00060C7A" w:rsidP="007A72AA">
            <w:pPr>
              <w:pStyle w:val="ListBullet"/>
              <w:spacing w:before="60" w:after="60"/>
              <w:ind w:left="175" w:hanging="175"/>
              <w:contextualSpacing w:val="0"/>
              <w:jc w:val="left"/>
              <w:rPr>
                <w:rFonts w:ascii="Century Gothic" w:hAnsi="Century Gothic"/>
                <w:noProof/>
              </w:rPr>
            </w:pPr>
            <w:r w:rsidRPr="005D0C9D">
              <w:rPr>
                <w:rFonts w:ascii="Century Gothic" w:hAnsi="Century Gothic"/>
                <w:noProof/>
              </w:rPr>
              <w:t>Silver perch</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r w:rsidR="00060C7A" w:rsidRPr="00D33D40" w:rsidTr="00363651">
        <w:tc>
          <w:tcPr>
            <w:tcW w:w="2660" w:type="dxa"/>
          </w:tcPr>
          <w:p w:rsidR="00060C7A" w:rsidRPr="00D33D40" w:rsidRDefault="00060C7A" w:rsidP="00EA1768">
            <w:pPr>
              <w:pStyle w:val="NormalWeb"/>
              <w:spacing w:before="40" w:beforeAutospacing="0" w:after="40" w:afterAutospacing="0"/>
              <w:jc w:val="left"/>
              <w:textAlignment w:val="baseline"/>
              <w:rPr>
                <w:rFonts w:ascii="Century Gothic" w:hAnsi="Century Gothic"/>
                <w:lang w:val="en-AU"/>
              </w:rPr>
            </w:pPr>
            <w:r w:rsidRPr="00D33D40">
              <w:rPr>
                <w:rFonts w:ascii="Century Gothic" w:hAnsi="Century Gothic"/>
                <w:lang w:val="en-AU"/>
              </w:rPr>
              <w:t>South Australian Murray Wetlands</w:t>
            </w:r>
          </w:p>
        </w:tc>
        <w:tc>
          <w:tcPr>
            <w:tcW w:w="4111" w:type="dxa"/>
          </w:tcPr>
          <w:p w:rsidR="00060C7A" w:rsidRPr="005D0C9D" w:rsidRDefault="007A72AA" w:rsidP="00363651">
            <w:pPr>
              <w:pStyle w:val="ListBullet"/>
              <w:spacing w:before="60" w:after="0"/>
              <w:ind w:left="176" w:hanging="176"/>
              <w:contextualSpacing w:val="0"/>
              <w:jc w:val="left"/>
              <w:rPr>
                <w:rFonts w:ascii="Century Gothic" w:hAnsi="Century Gothic" w:cs="Arial"/>
                <w:noProof/>
                <w:color w:val="0070C0"/>
              </w:rPr>
            </w:pPr>
            <w:r>
              <w:rPr>
                <w:rFonts w:ascii="Century Gothic" w:hAnsi="Century Gothic"/>
                <w:noProof/>
              </w:rPr>
              <w:t xml:space="preserve">Basin-wide in-stream and </w:t>
            </w:r>
            <w:r w:rsidR="00363651">
              <w:rPr>
                <w:rFonts w:ascii="Century Gothic" w:hAnsi="Century Gothic"/>
                <w:noProof/>
              </w:rPr>
              <w:t>r</w:t>
            </w:r>
            <w:r>
              <w:rPr>
                <w:rFonts w:ascii="Century Gothic" w:hAnsi="Century Gothic"/>
                <w:noProof/>
              </w:rPr>
              <w:t>iparian vegetation</w:t>
            </w:r>
          </w:p>
        </w:tc>
        <w:tc>
          <w:tcPr>
            <w:tcW w:w="1842"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c>
          <w:tcPr>
            <w:tcW w:w="1951" w:type="dxa"/>
          </w:tcPr>
          <w:p w:rsidR="00060C7A" w:rsidRPr="00D33D40" w:rsidRDefault="00060C7A" w:rsidP="00EA1768">
            <w:pPr>
              <w:spacing w:before="40" w:after="40"/>
              <w:rPr>
                <w:rFonts w:ascii="Century Gothic" w:hAnsi="Century Gothic" w:cs="Arial"/>
                <w:noProof/>
                <w:sz w:val="20"/>
                <w:szCs w:val="20"/>
              </w:rPr>
            </w:pPr>
            <w:r w:rsidRPr="00D33D40">
              <w:rPr>
                <w:rFonts w:ascii="Century Gothic" w:hAnsi="Century Gothic" w:cs="Arial"/>
                <w:noProof/>
                <w:sz w:val="20"/>
                <w:szCs w:val="20"/>
              </w:rPr>
              <w:t>Yes</w:t>
            </w:r>
          </w:p>
        </w:tc>
      </w:tr>
    </w:tbl>
    <w:p w:rsidR="00060C7A" w:rsidRPr="00580527" w:rsidRDefault="00FB4BEB" w:rsidP="00FB4BEB">
      <w:pPr>
        <w:spacing w:after="160"/>
        <w:rPr>
          <w:rFonts w:ascii="Century Gothic" w:hAnsi="Century Gothic"/>
          <w:b/>
          <w:sz w:val="20"/>
          <w:szCs w:val="20"/>
        </w:rPr>
      </w:pPr>
      <w:r>
        <w:rPr>
          <w:rFonts w:ascii="Century Gothic" w:hAnsi="Century Gothic"/>
          <w:b/>
          <w:sz w:val="20"/>
          <w:szCs w:val="20"/>
        </w:rPr>
        <w:br w:type="column"/>
      </w:r>
      <w:r w:rsidR="00060C7A" w:rsidRPr="00580527">
        <w:rPr>
          <w:rFonts w:ascii="Century Gothic" w:hAnsi="Century Gothic"/>
          <w:b/>
          <w:sz w:val="20"/>
          <w:szCs w:val="20"/>
        </w:rPr>
        <w:lastRenderedPageBreak/>
        <w:t>River Murray from South Australian border to Coorong, Lower Lakes and Murray Mouth</w:t>
      </w:r>
    </w:p>
    <w:p w:rsidR="00060C7A" w:rsidRPr="008D2B6B" w:rsidRDefault="00060C7A" w:rsidP="00FB4BEB">
      <w:pPr>
        <w:spacing w:after="160"/>
        <w:rPr>
          <w:rFonts w:ascii="Century Gothic" w:hAnsi="Century Gothic"/>
          <w:sz w:val="20"/>
          <w:szCs w:val="20"/>
        </w:rPr>
      </w:pPr>
      <w:r w:rsidRPr="008D2B6B">
        <w:rPr>
          <w:rFonts w:ascii="Century Gothic" w:hAnsi="Century Gothic"/>
          <w:sz w:val="20"/>
          <w:szCs w:val="20"/>
          <w:u w:val="single"/>
        </w:rPr>
        <w:t>Summary</w:t>
      </w:r>
      <w:r w:rsidRPr="008D2B6B">
        <w:rPr>
          <w:rFonts w:ascii="Century Gothic" w:hAnsi="Century Gothic"/>
          <w:sz w:val="20"/>
          <w:szCs w:val="20"/>
        </w:rPr>
        <w:t xml:space="preserve">: </w:t>
      </w:r>
      <w:r>
        <w:rPr>
          <w:rFonts w:ascii="Century Gothic" w:hAnsi="Century Gothic"/>
          <w:sz w:val="20"/>
          <w:szCs w:val="20"/>
        </w:rPr>
        <w:t xml:space="preserve">Environmental water will be used to support base flows and </w:t>
      </w:r>
      <w:r w:rsidRPr="008D2B6B">
        <w:rPr>
          <w:rFonts w:ascii="Century Gothic" w:hAnsi="Century Gothic"/>
          <w:sz w:val="20"/>
          <w:szCs w:val="20"/>
        </w:rPr>
        <w:t xml:space="preserve">in-channel freshes </w:t>
      </w:r>
      <w:r>
        <w:rPr>
          <w:rFonts w:ascii="Century Gothic" w:hAnsi="Century Gothic"/>
          <w:sz w:val="20"/>
          <w:szCs w:val="20"/>
        </w:rPr>
        <w:t xml:space="preserve">aimed at supporting </w:t>
      </w:r>
      <w:r w:rsidRPr="008D2B6B">
        <w:rPr>
          <w:rFonts w:ascii="Century Gothic" w:hAnsi="Century Gothic"/>
          <w:sz w:val="20"/>
          <w:szCs w:val="20"/>
        </w:rPr>
        <w:t>suitable aquatic habitat for native fish, support longitudinal and lateral hydrological connectivity</w:t>
      </w:r>
      <w:r>
        <w:rPr>
          <w:rFonts w:ascii="Century Gothic" w:hAnsi="Century Gothic"/>
          <w:sz w:val="20"/>
          <w:szCs w:val="20"/>
        </w:rPr>
        <w:t>, improve the condition of native vegetation</w:t>
      </w:r>
      <w:r w:rsidRPr="008D2B6B">
        <w:rPr>
          <w:rFonts w:ascii="Century Gothic" w:hAnsi="Century Gothic"/>
          <w:sz w:val="20"/>
          <w:szCs w:val="20"/>
        </w:rPr>
        <w:t xml:space="preserve"> and contribute to the transport and export of salt </w:t>
      </w:r>
      <w:r>
        <w:rPr>
          <w:rFonts w:ascii="Century Gothic" w:hAnsi="Century Gothic"/>
          <w:sz w:val="20"/>
          <w:szCs w:val="20"/>
        </w:rPr>
        <w:t>from the basin</w:t>
      </w:r>
      <w:r w:rsidRPr="008D2B6B">
        <w:rPr>
          <w:rFonts w:ascii="Century Gothic" w:hAnsi="Century Gothic"/>
          <w:sz w:val="20"/>
          <w:szCs w:val="20"/>
        </w:rPr>
        <w:t xml:space="preserve">. </w:t>
      </w:r>
      <w:r>
        <w:rPr>
          <w:rFonts w:ascii="Century Gothic" w:hAnsi="Century Gothic"/>
          <w:sz w:val="20"/>
          <w:szCs w:val="20"/>
        </w:rPr>
        <w:t>The operational decisions to use environmental water for freshes and potential overbank flow events will be guided by natural hydrological cues. The effective use of environmental flows will be enhanced through the implementation of seasonally appropriate operating strategies for river, wetland and floodplain infrastructure, for example the</w:t>
      </w:r>
      <w:r w:rsidRPr="008D2B6B">
        <w:rPr>
          <w:rFonts w:ascii="Century Gothic" w:hAnsi="Century Gothic"/>
          <w:sz w:val="20"/>
          <w:szCs w:val="20"/>
        </w:rPr>
        <w:t xml:space="preserve"> manipulation of weir pool water levels to provide hydraulic variability and re-connect the river with temporary wetlands</w:t>
      </w:r>
      <w:r>
        <w:rPr>
          <w:rFonts w:ascii="Century Gothic" w:hAnsi="Century Gothic"/>
          <w:sz w:val="20"/>
          <w:szCs w:val="20"/>
        </w:rPr>
        <w:t>, and barrage releases to improve available habitat for native fish in the Coorong North Lagoon.</w:t>
      </w:r>
    </w:p>
    <w:p w:rsidR="00060C7A" w:rsidRPr="008D2B6B" w:rsidRDefault="00060C7A" w:rsidP="00FB4BEB">
      <w:pPr>
        <w:pStyle w:val="NormalWeb"/>
        <w:spacing w:before="0" w:beforeAutospacing="0" w:after="160" w:afterAutospacing="0"/>
        <w:jc w:val="left"/>
        <w:textAlignment w:val="baseline"/>
        <w:rPr>
          <w:rFonts w:ascii="Century Gothic" w:hAnsi="Century Gothic"/>
          <w:u w:val="single"/>
          <w:lang w:val="en-AU"/>
        </w:rPr>
      </w:pPr>
      <w:r w:rsidRPr="008D2B6B">
        <w:rPr>
          <w:rFonts w:ascii="Century Gothic" w:hAnsi="Century Gothic"/>
          <w:u w:val="single"/>
          <w:lang w:val="en-AU"/>
        </w:rPr>
        <w:t>Timing</w:t>
      </w:r>
      <w:r w:rsidRPr="008D2B6B">
        <w:rPr>
          <w:rFonts w:ascii="Century Gothic" w:hAnsi="Century Gothic"/>
          <w:lang w:val="en-AU"/>
        </w:rPr>
        <w:t>: Year round</w:t>
      </w:r>
    </w:p>
    <w:p w:rsidR="00060C7A" w:rsidRPr="008D2B6B" w:rsidRDefault="00060C7A" w:rsidP="00FB4BEB">
      <w:pPr>
        <w:pStyle w:val="NormalWeb"/>
        <w:spacing w:before="0" w:beforeAutospacing="0" w:after="160" w:afterAutospacing="0"/>
        <w:jc w:val="left"/>
        <w:textAlignment w:val="baseline"/>
        <w:rPr>
          <w:rFonts w:ascii="Century Gothic" w:hAnsi="Century Gothic"/>
          <w:u w:val="single"/>
          <w:lang w:val="en-AU"/>
        </w:rPr>
      </w:pPr>
      <w:r w:rsidRPr="008D2B6B">
        <w:rPr>
          <w:rFonts w:ascii="Century Gothic" w:hAnsi="Century Gothic"/>
          <w:u w:val="single"/>
          <w:lang w:val="en-AU"/>
        </w:rPr>
        <w:t xml:space="preserve">Operational considerations and feasibility: </w:t>
      </w:r>
    </w:p>
    <w:p w:rsidR="00060C7A" w:rsidRPr="008D2B6B" w:rsidRDefault="00060C7A" w:rsidP="00FB4BEB">
      <w:pPr>
        <w:numPr>
          <w:ilvl w:val="0"/>
          <w:numId w:val="20"/>
        </w:numPr>
        <w:spacing w:after="160"/>
        <w:ind w:left="357" w:hanging="357"/>
        <w:rPr>
          <w:rFonts w:ascii="Century Gothic" w:hAnsi="Century Gothic"/>
          <w:sz w:val="20"/>
          <w:szCs w:val="20"/>
        </w:rPr>
      </w:pPr>
      <w:r w:rsidRPr="008D2B6B">
        <w:rPr>
          <w:rFonts w:ascii="Century Gothic" w:hAnsi="Century Gothic"/>
          <w:sz w:val="20"/>
          <w:szCs w:val="20"/>
        </w:rPr>
        <w:t>As per the standard operational considerations for watering a</w:t>
      </w:r>
      <w:r>
        <w:rPr>
          <w:rFonts w:ascii="Century Gothic" w:hAnsi="Century Gothic"/>
          <w:sz w:val="20"/>
          <w:szCs w:val="20"/>
        </w:rPr>
        <w:t>ctions 3. River Murray channel f</w:t>
      </w:r>
      <w:r w:rsidRPr="008D2B6B">
        <w:rPr>
          <w:rFonts w:ascii="Century Gothic" w:hAnsi="Century Gothic"/>
          <w:sz w:val="20"/>
          <w:szCs w:val="20"/>
        </w:rPr>
        <w:t xml:space="preserve">lows; </w:t>
      </w:r>
      <w:r>
        <w:rPr>
          <w:rFonts w:ascii="Century Gothic" w:hAnsi="Century Gothic"/>
          <w:sz w:val="20"/>
          <w:szCs w:val="20"/>
        </w:rPr>
        <w:t>and 12. </w:t>
      </w:r>
      <w:r w:rsidRPr="00580527">
        <w:rPr>
          <w:rFonts w:ascii="Century Gothic" w:hAnsi="Century Gothic"/>
          <w:sz w:val="20"/>
          <w:szCs w:val="20"/>
        </w:rPr>
        <w:t xml:space="preserve">Seasonal lake level variation, </w:t>
      </w:r>
      <w:proofErr w:type="spellStart"/>
      <w:r w:rsidRPr="00580527">
        <w:rPr>
          <w:rFonts w:ascii="Century Gothic" w:hAnsi="Century Gothic"/>
          <w:sz w:val="20"/>
          <w:szCs w:val="20"/>
        </w:rPr>
        <w:t>fishway</w:t>
      </w:r>
      <w:proofErr w:type="spellEnd"/>
      <w:r w:rsidRPr="00580527">
        <w:rPr>
          <w:rFonts w:ascii="Century Gothic" w:hAnsi="Century Gothic"/>
          <w:sz w:val="20"/>
          <w:szCs w:val="20"/>
        </w:rPr>
        <w:t xml:space="preserve"> </w:t>
      </w:r>
      <w:proofErr w:type="gramStart"/>
      <w:r w:rsidRPr="00580527">
        <w:rPr>
          <w:rFonts w:ascii="Century Gothic" w:hAnsi="Century Gothic"/>
          <w:sz w:val="20"/>
          <w:szCs w:val="20"/>
        </w:rPr>
        <w:t>flows,</w:t>
      </w:r>
      <w:proofErr w:type="gramEnd"/>
      <w:r w:rsidRPr="00580527">
        <w:rPr>
          <w:rFonts w:ascii="Century Gothic" w:hAnsi="Century Gothic"/>
          <w:sz w:val="20"/>
          <w:szCs w:val="20"/>
        </w:rPr>
        <w:t xml:space="preserve"> differential barrage releases</w:t>
      </w:r>
      <w:r w:rsidR="005227DC">
        <w:rPr>
          <w:rFonts w:ascii="Century Gothic" w:hAnsi="Century Gothic"/>
          <w:sz w:val="20"/>
          <w:szCs w:val="20"/>
        </w:rPr>
        <w:t xml:space="preserve"> (see Part II, section </w:t>
      </w:r>
      <w:r w:rsidR="009573DB">
        <w:rPr>
          <w:rFonts w:ascii="Century Gothic" w:hAnsi="Century Gothic"/>
          <w:sz w:val="20"/>
          <w:szCs w:val="20"/>
        </w:rPr>
        <w:t>3.6</w:t>
      </w:r>
      <w:r w:rsidRPr="008D2B6B">
        <w:rPr>
          <w:rFonts w:ascii="Century Gothic" w:hAnsi="Century Gothic"/>
          <w:sz w:val="20"/>
          <w:szCs w:val="20"/>
        </w:rPr>
        <w:t>.</w:t>
      </w:r>
    </w:p>
    <w:p w:rsidR="00060C7A" w:rsidRPr="00EE4106" w:rsidRDefault="00060C7A" w:rsidP="00FB4BEB">
      <w:pPr>
        <w:numPr>
          <w:ilvl w:val="0"/>
          <w:numId w:val="20"/>
        </w:numPr>
        <w:spacing w:after="160"/>
        <w:ind w:left="357" w:hanging="357"/>
        <w:rPr>
          <w:rFonts w:ascii="Century Gothic" w:hAnsi="Century Gothic"/>
          <w:sz w:val="20"/>
          <w:szCs w:val="20"/>
        </w:rPr>
      </w:pPr>
      <w:r w:rsidRPr="008D2B6B">
        <w:rPr>
          <w:rFonts w:ascii="Century Gothic" w:hAnsi="Century Gothic"/>
          <w:sz w:val="20"/>
          <w:szCs w:val="20"/>
        </w:rPr>
        <w:t xml:space="preserve">Flows will coincide with the </w:t>
      </w:r>
      <w:r w:rsidRPr="008D2B6B">
        <w:rPr>
          <w:rFonts w:ascii="Century Gothic" w:hAnsi="Century Gothic"/>
          <w:i/>
          <w:sz w:val="20"/>
          <w:szCs w:val="20"/>
        </w:rPr>
        <w:t xml:space="preserve">‘River Murray from Yarrawonga to South Australian border’ </w:t>
      </w:r>
      <w:r>
        <w:rPr>
          <w:rFonts w:ascii="Century Gothic" w:hAnsi="Century Gothic"/>
          <w:sz w:val="20"/>
          <w:szCs w:val="20"/>
        </w:rPr>
        <w:t xml:space="preserve">action (refer to </w:t>
      </w:r>
      <w:proofErr w:type="gramStart"/>
      <w:r>
        <w:rPr>
          <w:rFonts w:ascii="Century Gothic" w:hAnsi="Century Gothic"/>
          <w:sz w:val="20"/>
          <w:szCs w:val="20"/>
        </w:rPr>
        <w:t>Mid</w:t>
      </w:r>
      <w:proofErr w:type="gramEnd"/>
      <w:r>
        <w:rPr>
          <w:rFonts w:ascii="Century Gothic" w:hAnsi="Century Gothic"/>
          <w:sz w:val="20"/>
          <w:szCs w:val="20"/>
        </w:rPr>
        <w:t xml:space="preserve">- River </w:t>
      </w:r>
      <w:r w:rsidRPr="008D2B6B">
        <w:rPr>
          <w:rFonts w:ascii="Century Gothic" w:hAnsi="Century Gothic"/>
          <w:sz w:val="20"/>
          <w:szCs w:val="20"/>
        </w:rPr>
        <w:t>Murray plan</w:t>
      </w:r>
      <w:r>
        <w:rPr>
          <w:rFonts w:ascii="Century Gothic" w:hAnsi="Century Gothic"/>
          <w:sz w:val="20"/>
          <w:szCs w:val="20"/>
        </w:rPr>
        <w:t>ning document</w:t>
      </w:r>
      <w:r w:rsidRPr="008D2B6B">
        <w:rPr>
          <w:rFonts w:ascii="Century Gothic" w:hAnsi="Century Gothic"/>
          <w:sz w:val="20"/>
          <w:szCs w:val="20"/>
        </w:rPr>
        <w:t xml:space="preserve">) and return flows from Victorian tributaries </w:t>
      </w:r>
      <w:r w:rsidRPr="00580527">
        <w:rPr>
          <w:rFonts w:ascii="Century Gothic" w:hAnsi="Century Gothic"/>
          <w:color w:val="000000" w:themeColor="text1"/>
          <w:sz w:val="20"/>
          <w:szCs w:val="20"/>
        </w:rPr>
        <w:t>(refer to Northern Victorian Rivers planning document)</w:t>
      </w:r>
      <w:r>
        <w:rPr>
          <w:rFonts w:ascii="Century Gothic" w:hAnsi="Century Gothic"/>
          <w:color w:val="000000" w:themeColor="text1"/>
          <w:sz w:val="20"/>
          <w:szCs w:val="20"/>
        </w:rPr>
        <w:t>.</w:t>
      </w:r>
    </w:p>
    <w:p w:rsidR="00060C7A" w:rsidRDefault="00060C7A" w:rsidP="00FB4BEB">
      <w:pPr>
        <w:numPr>
          <w:ilvl w:val="0"/>
          <w:numId w:val="20"/>
        </w:numPr>
        <w:spacing w:after="160"/>
        <w:ind w:left="357" w:hanging="357"/>
        <w:rPr>
          <w:rFonts w:ascii="Century Gothic" w:hAnsi="Century Gothic"/>
          <w:sz w:val="20"/>
          <w:szCs w:val="20"/>
        </w:rPr>
      </w:pPr>
      <w:r>
        <w:rPr>
          <w:rFonts w:ascii="Century Gothic" w:hAnsi="Century Gothic"/>
          <w:color w:val="000000" w:themeColor="text1"/>
          <w:sz w:val="20"/>
          <w:szCs w:val="20"/>
        </w:rPr>
        <w:t xml:space="preserve">Minimum water levels are required to be maintained in Lakes Alexandrina and Albert to manage acid sulphate soils in the lakes and the lower River Murray swamps. </w:t>
      </w:r>
      <w:r w:rsidRPr="008D2B6B">
        <w:rPr>
          <w:rFonts w:ascii="Century Gothic" w:hAnsi="Century Gothic"/>
          <w:sz w:val="20"/>
          <w:szCs w:val="20"/>
        </w:rPr>
        <w:t xml:space="preserve">  </w:t>
      </w:r>
      <w:r>
        <w:rPr>
          <w:rFonts w:ascii="Century Gothic" w:hAnsi="Century Gothic"/>
          <w:sz w:val="20"/>
          <w:szCs w:val="20"/>
        </w:rPr>
        <w:t xml:space="preserve">  </w:t>
      </w:r>
    </w:p>
    <w:p w:rsidR="00060C7A" w:rsidRPr="008D2B6B" w:rsidRDefault="00060C7A" w:rsidP="00FB4BEB">
      <w:pPr>
        <w:numPr>
          <w:ilvl w:val="0"/>
          <w:numId w:val="20"/>
        </w:numPr>
        <w:spacing w:after="160"/>
        <w:ind w:left="357" w:hanging="357"/>
        <w:rPr>
          <w:rFonts w:ascii="Century Gothic" w:hAnsi="Century Gothic"/>
          <w:sz w:val="20"/>
          <w:szCs w:val="20"/>
        </w:rPr>
      </w:pPr>
      <w:r>
        <w:rPr>
          <w:rFonts w:ascii="Century Gothic" w:hAnsi="Century Gothic"/>
          <w:sz w:val="20"/>
          <w:szCs w:val="20"/>
        </w:rPr>
        <w:t xml:space="preserve">Continuous barrage flows are required to support hydrological connectivity between the Coorong, Lower Lakes and River Murray channel and to protect habitat conditions in the Coorong lagoons. </w:t>
      </w:r>
    </w:p>
    <w:p w:rsidR="00060C7A" w:rsidRPr="00FB4BEB" w:rsidRDefault="00060C7A" w:rsidP="00FB4BEB">
      <w:pPr>
        <w:spacing w:after="160"/>
        <w:rPr>
          <w:rFonts w:ascii="Century Gothic" w:hAnsi="Century Gothic"/>
          <w:b/>
          <w:sz w:val="20"/>
          <w:szCs w:val="20"/>
        </w:rPr>
      </w:pPr>
      <w:r w:rsidRPr="00FB4BEB">
        <w:rPr>
          <w:rFonts w:ascii="Century Gothic" w:hAnsi="Century Gothic"/>
          <w:b/>
          <w:sz w:val="20"/>
          <w:szCs w:val="20"/>
        </w:rPr>
        <w:t>Lower Darling and/or Great Darling Anabranch Flows</w:t>
      </w:r>
    </w:p>
    <w:p w:rsidR="00060C7A" w:rsidRPr="002E048C" w:rsidRDefault="00060C7A" w:rsidP="00FB4BEB">
      <w:pPr>
        <w:spacing w:after="160"/>
        <w:rPr>
          <w:rFonts w:ascii="Century Gothic" w:hAnsi="Century Gothic"/>
          <w:sz w:val="20"/>
          <w:szCs w:val="20"/>
        </w:rPr>
      </w:pPr>
      <w:r w:rsidRPr="002E048C">
        <w:rPr>
          <w:rFonts w:ascii="Century Gothic" w:hAnsi="Century Gothic"/>
          <w:sz w:val="20"/>
          <w:szCs w:val="20"/>
          <w:u w:val="single"/>
        </w:rPr>
        <w:t>Summary</w:t>
      </w:r>
      <w:r w:rsidRPr="002E048C">
        <w:rPr>
          <w:rFonts w:ascii="Century Gothic" w:hAnsi="Century Gothic"/>
          <w:sz w:val="20"/>
          <w:szCs w:val="20"/>
        </w:rPr>
        <w:t xml:space="preserve">: Contribution to base flows and freshes in the </w:t>
      </w:r>
      <w:r>
        <w:rPr>
          <w:rFonts w:ascii="Century Gothic" w:hAnsi="Century Gothic"/>
          <w:sz w:val="20"/>
          <w:szCs w:val="20"/>
        </w:rPr>
        <w:t>l</w:t>
      </w:r>
      <w:r w:rsidRPr="002E048C">
        <w:rPr>
          <w:rFonts w:ascii="Century Gothic" w:hAnsi="Century Gothic"/>
          <w:sz w:val="20"/>
          <w:szCs w:val="20"/>
        </w:rPr>
        <w:t>ower Darling River channel and/or the Great Darling Anabranch</w:t>
      </w:r>
      <w:r>
        <w:rPr>
          <w:rFonts w:ascii="Century Gothic" w:hAnsi="Century Gothic"/>
          <w:sz w:val="20"/>
          <w:szCs w:val="20"/>
        </w:rPr>
        <w:t xml:space="preserve"> and lakes</w:t>
      </w:r>
      <w:r w:rsidRPr="002E048C">
        <w:rPr>
          <w:rFonts w:ascii="Century Gothic" w:hAnsi="Century Gothic"/>
          <w:sz w:val="20"/>
          <w:szCs w:val="20"/>
        </w:rPr>
        <w:t xml:space="preserve"> (depending on </w:t>
      </w:r>
      <w:r>
        <w:rPr>
          <w:rFonts w:ascii="Century Gothic" w:hAnsi="Century Gothic"/>
          <w:sz w:val="20"/>
          <w:szCs w:val="20"/>
        </w:rPr>
        <w:t xml:space="preserve">appropriate seasonal </w:t>
      </w:r>
      <w:r w:rsidRPr="002E048C">
        <w:rPr>
          <w:rFonts w:ascii="Century Gothic" w:hAnsi="Century Gothic"/>
          <w:sz w:val="20"/>
          <w:szCs w:val="20"/>
        </w:rPr>
        <w:t xml:space="preserve">conditions and </w:t>
      </w:r>
      <w:r>
        <w:rPr>
          <w:rFonts w:ascii="Century Gothic" w:hAnsi="Century Gothic"/>
          <w:sz w:val="20"/>
          <w:szCs w:val="20"/>
        </w:rPr>
        <w:t>water availability</w:t>
      </w:r>
      <w:r w:rsidRPr="002E048C">
        <w:rPr>
          <w:rFonts w:ascii="Century Gothic" w:hAnsi="Century Gothic"/>
          <w:sz w:val="20"/>
          <w:szCs w:val="20"/>
        </w:rPr>
        <w:t>) to manage water quality, restore habitat for native fish populations and maintain riparian vegetation condition.</w:t>
      </w:r>
    </w:p>
    <w:p w:rsidR="00060C7A" w:rsidRPr="002E048C" w:rsidRDefault="00060C7A" w:rsidP="00FB4BEB">
      <w:pPr>
        <w:pStyle w:val="NormalWeb"/>
        <w:spacing w:before="0" w:beforeAutospacing="0" w:after="160" w:afterAutospacing="0"/>
        <w:jc w:val="left"/>
        <w:textAlignment w:val="baseline"/>
        <w:rPr>
          <w:rFonts w:ascii="Century Gothic" w:hAnsi="Century Gothic"/>
          <w:u w:val="single"/>
          <w:lang w:val="en-AU"/>
        </w:rPr>
      </w:pPr>
      <w:r w:rsidRPr="002E048C">
        <w:rPr>
          <w:rFonts w:ascii="Century Gothic" w:hAnsi="Century Gothic"/>
          <w:u w:val="single"/>
          <w:lang w:val="en-AU"/>
        </w:rPr>
        <w:t>Timing</w:t>
      </w:r>
      <w:r w:rsidRPr="002E048C">
        <w:rPr>
          <w:rFonts w:ascii="Century Gothic" w:hAnsi="Century Gothic"/>
          <w:lang w:val="en-AU"/>
        </w:rPr>
        <w:t xml:space="preserve">: </w:t>
      </w:r>
      <w:r>
        <w:rPr>
          <w:rFonts w:ascii="Century Gothic" w:hAnsi="Century Gothic"/>
          <w:lang w:val="en-AU"/>
        </w:rPr>
        <w:t>Spring or early summer, s</w:t>
      </w:r>
      <w:r w:rsidRPr="002E048C">
        <w:rPr>
          <w:rFonts w:ascii="Century Gothic" w:hAnsi="Century Gothic"/>
          <w:lang w:val="en-AU"/>
        </w:rPr>
        <w:t>ubject to an appropriate inflow trigger</w:t>
      </w:r>
      <w:r>
        <w:rPr>
          <w:rFonts w:ascii="Century Gothic" w:hAnsi="Century Gothic"/>
          <w:lang w:val="en-AU"/>
        </w:rPr>
        <w:t>.</w:t>
      </w:r>
    </w:p>
    <w:p w:rsidR="00060C7A" w:rsidRPr="002E048C" w:rsidRDefault="00060C7A" w:rsidP="00FB4BEB">
      <w:pPr>
        <w:spacing w:after="160"/>
        <w:rPr>
          <w:rFonts w:ascii="Century Gothic" w:hAnsi="Century Gothic"/>
          <w:sz w:val="20"/>
          <w:szCs w:val="20"/>
          <w:u w:val="single"/>
        </w:rPr>
      </w:pPr>
      <w:r w:rsidRPr="002E048C">
        <w:rPr>
          <w:rFonts w:ascii="Century Gothic" w:hAnsi="Century Gothic"/>
          <w:sz w:val="20"/>
          <w:szCs w:val="20"/>
          <w:u w:val="single"/>
        </w:rPr>
        <w:t xml:space="preserve">Operational considerations and feasibility: </w:t>
      </w:r>
    </w:p>
    <w:p w:rsidR="00060C7A" w:rsidRPr="002E048C" w:rsidRDefault="00060C7A" w:rsidP="00FB4BEB">
      <w:pPr>
        <w:numPr>
          <w:ilvl w:val="0"/>
          <w:numId w:val="20"/>
        </w:numPr>
        <w:spacing w:after="160"/>
        <w:ind w:left="357" w:hanging="357"/>
        <w:rPr>
          <w:rFonts w:ascii="Century Gothic" w:hAnsi="Century Gothic"/>
          <w:sz w:val="20"/>
          <w:szCs w:val="20"/>
        </w:rPr>
      </w:pPr>
      <w:proofErr w:type="gramStart"/>
      <w:r w:rsidRPr="002E048C">
        <w:rPr>
          <w:rFonts w:ascii="Century Gothic" w:hAnsi="Century Gothic"/>
          <w:sz w:val="20"/>
          <w:szCs w:val="20"/>
        </w:rPr>
        <w:t>Menindee Lakes</w:t>
      </w:r>
      <w:proofErr w:type="gramEnd"/>
      <w:r w:rsidRPr="002E048C">
        <w:rPr>
          <w:rFonts w:ascii="Century Gothic" w:hAnsi="Century Gothic"/>
          <w:sz w:val="20"/>
          <w:szCs w:val="20"/>
        </w:rPr>
        <w:t xml:space="preserve"> water levels are very low and New South Wales has been implementing emergency contingency measures since September 2014, including releases below normal minimum flows. Unless water availability within the Menindee Lakes improves considerably as a result of inflows from northern Murray-Darling Basin catchments, the Commonwealth Environmental Water Holder will remain unable to call on water allocations held in the Menindee Lakes to </w:t>
      </w:r>
      <w:r>
        <w:rPr>
          <w:rFonts w:ascii="Century Gothic" w:hAnsi="Century Gothic"/>
          <w:sz w:val="20"/>
          <w:szCs w:val="20"/>
        </w:rPr>
        <w:t>supply an</w:t>
      </w:r>
      <w:r w:rsidRPr="002E048C">
        <w:rPr>
          <w:rFonts w:ascii="Century Gothic" w:hAnsi="Century Gothic"/>
          <w:sz w:val="20"/>
          <w:szCs w:val="20"/>
        </w:rPr>
        <w:t xml:space="preserve"> environmental </w:t>
      </w:r>
      <w:r>
        <w:rPr>
          <w:rFonts w:ascii="Century Gothic" w:hAnsi="Century Gothic"/>
          <w:sz w:val="20"/>
          <w:szCs w:val="20"/>
        </w:rPr>
        <w:t>flow in the l</w:t>
      </w:r>
      <w:r w:rsidRPr="002E048C">
        <w:rPr>
          <w:rFonts w:ascii="Century Gothic" w:hAnsi="Century Gothic"/>
          <w:sz w:val="20"/>
          <w:szCs w:val="20"/>
        </w:rPr>
        <w:t>ower Darling</w:t>
      </w:r>
      <w:r>
        <w:rPr>
          <w:rFonts w:ascii="Century Gothic" w:hAnsi="Century Gothic"/>
          <w:sz w:val="20"/>
          <w:szCs w:val="20"/>
        </w:rPr>
        <w:t xml:space="preserve"> River</w:t>
      </w:r>
      <w:r w:rsidRPr="002E048C">
        <w:rPr>
          <w:rFonts w:ascii="Century Gothic" w:hAnsi="Century Gothic"/>
          <w:sz w:val="20"/>
          <w:szCs w:val="20"/>
        </w:rPr>
        <w:t xml:space="preserve">. </w:t>
      </w:r>
    </w:p>
    <w:p w:rsidR="00060C7A" w:rsidRPr="002E048C" w:rsidRDefault="00060C7A" w:rsidP="00FB4BEB">
      <w:pPr>
        <w:numPr>
          <w:ilvl w:val="0"/>
          <w:numId w:val="20"/>
        </w:numPr>
        <w:spacing w:after="160"/>
        <w:ind w:left="357" w:hanging="357"/>
        <w:rPr>
          <w:rFonts w:ascii="Century Gothic" w:hAnsi="Century Gothic"/>
          <w:sz w:val="20"/>
          <w:szCs w:val="20"/>
        </w:rPr>
      </w:pPr>
      <w:r w:rsidRPr="002E048C">
        <w:rPr>
          <w:rFonts w:ascii="Century Gothic" w:hAnsi="Century Gothic"/>
          <w:sz w:val="20"/>
          <w:szCs w:val="20"/>
        </w:rPr>
        <w:t xml:space="preserve">Otherwise as per the standard operational considerations for watering actions 1. Lower Darling River Flows and 2. Great Darling Anabranch Flows (see Part II, </w:t>
      </w:r>
      <w:r w:rsidR="005227DC">
        <w:rPr>
          <w:rFonts w:ascii="Century Gothic" w:hAnsi="Century Gothic"/>
          <w:sz w:val="20"/>
          <w:szCs w:val="20"/>
        </w:rPr>
        <w:t>section</w:t>
      </w:r>
      <w:r w:rsidR="009573DB">
        <w:rPr>
          <w:rFonts w:ascii="Century Gothic" w:hAnsi="Century Gothic"/>
          <w:sz w:val="20"/>
          <w:szCs w:val="20"/>
        </w:rPr>
        <w:t xml:space="preserve"> 3.6)</w:t>
      </w:r>
      <w:r w:rsidRPr="002E048C">
        <w:rPr>
          <w:rFonts w:ascii="Century Gothic" w:hAnsi="Century Gothic"/>
          <w:sz w:val="20"/>
          <w:szCs w:val="20"/>
        </w:rPr>
        <w:t>.</w:t>
      </w:r>
    </w:p>
    <w:p w:rsidR="00060C7A" w:rsidRPr="00FB4BEB" w:rsidRDefault="00060C7A" w:rsidP="00FB4BEB">
      <w:pPr>
        <w:spacing w:after="160"/>
        <w:rPr>
          <w:rFonts w:ascii="Century Gothic" w:hAnsi="Century Gothic"/>
          <w:b/>
          <w:sz w:val="20"/>
          <w:szCs w:val="20"/>
        </w:rPr>
      </w:pPr>
      <w:r w:rsidRPr="00FB4BEB">
        <w:rPr>
          <w:rFonts w:ascii="Century Gothic" w:hAnsi="Century Gothic"/>
          <w:b/>
          <w:sz w:val="20"/>
          <w:szCs w:val="20"/>
        </w:rPr>
        <w:t>River Murray Wetlands</w:t>
      </w:r>
    </w:p>
    <w:p w:rsidR="00060C7A" w:rsidRPr="002E048C" w:rsidRDefault="00060C7A" w:rsidP="00FB4BEB">
      <w:pPr>
        <w:spacing w:after="160"/>
        <w:rPr>
          <w:rFonts w:ascii="Century Gothic" w:hAnsi="Century Gothic"/>
          <w:sz w:val="20"/>
          <w:szCs w:val="20"/>
        </w:rPr>
      </w:pPr>
      <w:r w:rsidRPr="002E048C">
        <w:rPr>
          <w:rFonts w:ascii="Century Gothic" w:hAnsi="Century Gothic"/>
          <w:sz w:val="20"/>
          <w:szCs w:val="20"/>
          <w:u w:val="single"/>
        </w:rPr>
        <w:t>Summary</w:t>
      </w:r>
      <w:r w:rsidRPr="002E048C">
        <w:rPr>
          <w:rFonts w:ascii="Century Gothic" w:hAnsi="Century Gothic"/>
          <w:sz w:val="20"/>
          <w:szCs w:val="20"/>
        </w:rPr>
        <w:t>: Commonwealth environmental water ma</w:t>
      </w:r>
      <w:r>
        <w:rPr>
          <w:rFonts w:ascii="Century Gothic" w:hAnsi="Century Gothic"/>
          <w:sz w:val="20"/>
          <w:szCs w:val="20"/>
        </w:rPr>
        <w:t>y be provided to a number of w</w:t>
      </w:r>
      <w:r w:rsidRPr="002E048C">
        <w:rPr>
          <w:rFonts w:ascii="Century Gothic" w:hAnsi="Century Gothic"/>
          <w:sz w:val="20"/>
          <w:szCs w:val="20"/>
        </w:rPr>
        <w:t>etlands in 2015</w:t>
      </w:r>
      <w:r>
        <w:rPr>
          <w:rFonts w:ascii="Century Gothic" w:hAnsi="Century Gothic"/>
          <w:sz w:val="20"/>
          <w:szCs w:val="20"/>
        </w:rPr>
        <w:t>–</w:t>
      </w:r>
      <w:r w:rsidRPr="002E048C">
        <w:rPr>
          <w:rFonts w:ascii="Century Gothic" w:hAnsi="Century Gothic"/>
          <w:sz w:val="20"/>
          <w:szCs w:val="20"/>
        </w:rPr>
        <w:t>16,</w:t>
      </w:r>
      <w:r>
        <w:rPr>
          <w:rFonts w:ascii="Century Gothic" w:hAnsi="Century Gothic"/>
          <w:sz w:val="20"/>
          <w:szCs w:val="20"/>
        </w:rPr>
        <w:t xml:space="preserve"> including the New South Wales and Victorian </w:t>
      </w:r>
      <w:proofErr w:type="spellStart"/>
      <w:r>
        <w:rPr>
          <w:rFonts w:ascii="Century Gothic" w:hAnsi="Century Gothic"/>
          <w:sz w:val="20"/>
          <w:szCs w:val="20"/>
        </w:rPr>
        <w:t>Mallee</w:t>
      </w:r>
      <w:proofErr w:type="spellEnd"/>
      <w:r>
        <w:rPr>
          <w:rFonts w:ascii="Century Gothic" w:hAnsi="Century Gothic"/>
          <w:sz w:val="20"/>
          <w:szCs w:val="20"/>
        </w:rPr>
        <w:t xml:space="preserve"> wetlands and South Australian Murray Wetlands.</w:t>
      </w:r>
      <w:r w:rsidRPr="002E048C">
        <w:rPr>
          <w:rFonts w:ascii="Century Gothic" w:hAnsi="Century Gothic"/>
          <w:sz w:val="20"/>
          <w:szCs w:val="20"/>
        </w:rPr>
        <w:t xml:space="preserve"> Expected outcomes will vary among wetlands but would typically </w:t>
      </w:r>
      <w:r>
        <w:rPr>
          <w:rFonts w:ascii="Century Gothic" w:hAnsi="Century Gothic"/>
          <w:sz w:val="20"/>
          <w:szCs w:val="20"/>
        </w:rPr>
        <w:t>support the recruitment,</w:t>
      </w:r>
      <w:r w:rsidRPr="002E048C">
        <w:rPr>
          <w:rFonts w:ascii="Century Gothic" w:hAnsi="Century Gothic"/>
          <w:sz w:val="20"/>
          <w:szCs w:val="20"/>
        </w:rPr>
        <w:t xml:space="preserve"> improved condition </w:t>
      </w:r>
      <w:r>
        <w:rPr>
          <w:rFonts w:ascii="Century Gothic" w:hAnsi="Century Gothic"/>
          <w:sz w:val="20"/>
          <w:szCs w:val="20"/>
        </w:rPr>
        <w:t xml:space="preserve">and maintenance </w:t>
      </w:r>
      <w:r w:rsidRPr="002E048C">
        <w:rPr>
          <w:rFonts w:ascii="Century Gothic" w:hAnsi="Century Gothic"/>
          <w:sz w:val="20"/>
          <w:szCs w:val="20"/>
        </w:rPr>
        <w:t xml:space="preserve">of </w:t>
      </w:r>
      <w:r>
        <w:rPr>
          <w:rFonts w:ascii="Century Gothic" w:hAnsi="Century Gothic"/>
          <w:sz w:val="20"/>
          <w:szCs w:val="20"/>
        </w:rPr>
        <w:t xml:space="preserve">native </w:t>
      </w:r>
      <w:r w:rsidRPr="002E048C">
        <w:rPr>
          <w:rFonts w:ascii="Century Gothic" w:hAnsi="Century Gothic"/>
          <w:sz w:val="20"/>
          <w:szCs w:val="20"/>
        </w:rPr>
        <w:t>vegetation, waterbirds, frogs, fish and other biota</w:t>
      </w:r>
      <w:r>
        <w:rPr>
          <w:rFonts w:ascii="Century Gothic" w:hAnsi="Century Gothic"/>
          <w:sz w:val="20"/>
          <w:szCs w:val="20"/>
        </w:rPr>
        <w:t xml:space="preserve"> and promote salt</w:t>
      </w:r>
      <w:r w:rsidRPr="002E048C">
        <w:rPr>
          <w:rFonts w:ascii="Century Gothic" w:hAnsi="Century Gothic"/>
          <w:sz w:val="20"/>
          <w:szCs w:val="20"/>
        </w:rPr>
        <w:t xml:space="preserve"> and nutrient export </w:t>
      </w:r>
      <w:r>
        <w:rPr>
          <w:rFonts w:ascii="Century Gothic" w:hAnsi="Century Gothic"/>
          <w:sz w:val="20"/>
          <w:szCs w:val="20"/>
        </w:rPr>
        <w:t>through</w:t>
      </w:r>
      <w:r w:rsidRPr="002E048C">
        <w:rPr>
          <w:rFonts w:ascii="Century Gothic" w:hAnsi="Century Gothic"/>
          <w:sz w:val="20"/>
          <w:szCs w:val="20"/>
        </w:rPr>
        <w:t xml:space="preserve"> the River Murray system</w:t>
      </w:r>
      <w:r>
        <w:rPr>
          <w:rFonts w:ascii="Century Gothic" w:hAnsi="Century Gothic"/>
          <w:sz w:val="20"/>
          <w:szCs w:val="20"/>
        </w:rPr>
        <w:t>. Watering actions may also aim</w:t>
      </w:r>
      <w:r w:rsidRPr="002E048C">
        <w:rPr>
          <w:rFonts w:ascii="Century Gothic" w:hAnsi="Century Gothic"/>
          <w:sz w:val="20"/>
          <w:szCs w:val="20"/>
        </w:rPr>
        <w:t xml:space="preserve"> to establish self-sustaining popu</w:t>
      </w:r>
      <w:r>
        <w:rPr>
          <w:rFonts w:ascii="Century Gothic" w:hAnsi="Century Gothic"/>
          <w:sz w:val="20"/>
          <w:szCs w:val="20"/>
        </w:rPr>
        <w:t xml:space="preserve">lations of Murray </w:t>
      </w:r>
      <w:proofErr w:type="spellStart"/>
      <w:r>
        <w:rPr>
          <w:rFonts w:ascii="Century Gothic" w:hAnsi="Century Gothic"/>
          <w:sz w:val="20"/>
          <w:szCs w:val="20"/>
        </w:rPr>
        <w:t>hardyhead</w:t>
      </w:r>
      <w:proofErr w:type="spellEnd"/>
      <w:r>
        <w:rPr>
          <w:rFonts w:ascii="Century Gothic" w:hAnsi="Century Gothic"/>
          <w:sz w:val="20"/>
          <w:szCs w:val="20"/>
        </w:rPr>
        <w:t xml:space="preserve"> (a </w:t>
      </w:r>
      <w:r w:rsidRPr="002E048C">
        <w:rPr>
          <w:rFonts w:ascii="Century Gothic" w:hAnsi="Century Gothic"/>
          <w:sz w:val="20"/>
          <w:szCs w:val="20"/>
        </w:rPr>
        <w:t xml:space="preserve">native fish species </w:t>
      </w:r>
      <w:r>
        <w:rPr>
          <w:rFonts w:ascii="Century Gothic" w:hAnsi="Century Gothic"/>
          <w:sz w:val="20"/>
          <w:szCs w:val="20"/>
        </w:rPr>
        <w:t xml:space="preserve">listed as endangered </w:t>
      </w:r>
      <w:r w:rsidRPr="002E048C">
        <w:rPr>
          <w:rFonts w:ascii="Century Gothic" w:hAnsi="Century Gothic"/>
          <w:sz w:val="20"/>
          <w:szCs w:val="20"/>
        </w:rPr>
        <w:t xml:space="preserve">under the </w:t>
      </w:r>
      <w:r w:rsidRPr="002E048C">
        <w:rPr>
          <w:rFonts w:ascii="Century Gothic" w:hAnsi="Century Gothic"/>
          <w:i/>
          <w:sz w:val="20"/>
          <w:szCs w:val="20"/>
        </w:rPr>
        <w:t>Environment Protection and Biodiversity Conservation Act 1999</w:t>
      </w:r>
      <w:r w:rsidRPr="002E048C">
        <w:rPr>
          <w:rFonts w:ascii="Century Gothic" w:hAnsi="Century Gothic"/>
          <w:sz w:val="20"/>
          <w:szCs w:val="20"/>
        </w:rPr>
        <w:t>) within wetland refuges connected to the River Murray.</w:t>
      </w:r>
      <w:r w:rsidRPr="002E048C">
        <w:rPr>
          <w:rFonts w:ascii="Century Gothic" w:hAnsi="Century Gothic"/>
          <w:color w:val="FF0000"/>
          <w:sz w:val="20"/>
          <w:szCs w:val="20"/>
        </w:rPr>
        <w:t xml:space="preserve"> </w:t>
      </w:r>
    </w:p>
    <w:p w:rsidR="00060C7A" w:rsidRPr="002E048C" w:rsidRDefault="00060C7A" w:rsidP="00FB4BEB">
      <w:pPr>
        <w:pStyle w:val="NormalWeb"/>
        <w:spacing w:before="0" w:beforeAutospacing="0" w:after="160" w:afterAutospacing="0"/>
        <w:jc w:val="left"/>
        <w:textAlignment w:val="baseline"/>
        <w:rPr>
          <w:rFonts w:ascii="Century Gothic" w:hAnsi="Century Gothic"/>
          <w:u w:val="single"/>
          <w:lang w:val="en-AU"/>
        </w:rPr>
      </w:pPr>
      <w:r w:rsidRPr="002E048C">
        <w:rPr>
          <w:rFonts w:ascii="Century Gothic" w:hAnsi="Century Gothic"/>
          <w:u w:val="single"/>
          <w:lang w:val="en-AU"/>
        </w:rPr>
        <w:t>Timing</w:t>
      </w:r>
      <w:r w:rsidRPr="002E048C">
        <w:rPr>
          <w:rFonts w:ascii="Century Gothic" w:hAnsi="Century Gothic"/>
          <w:lang w:val="en-AU"/>
        </w:rPr>
        <w:t>: Year round</w:t>
      </w:r>
    </w:p>
    <w:p w:rsidR="00060C7A" w:rsidRPr="002E048C" w:rsidRDefault="00060C7A" w:rsidP="00FB4BEB">
      <w:pPr>
        <w:pStyle w:val="NormalWeb"/>
        <w:spacing w:before="0" w:beforeAutospacing="0" w:after="160" w:afterAutospacing="0"/>
        <w:jc w:val="left"/>
        <w:textAlignment w:val="baseline"/>
        <w:rPr>
          <w:rFonts w:ascii="Century Gothic" w:hAnsi="Century Gothic"/>
          <w:u w:val="single"/>
          <w:lang w:val="en-AU"/>
        </w:rPr>
      </w:pPr>
      <w:r w:rsidRPr="002E048C">
        <w:rPr>
          <w:rFonts w:ascii="Century Gothic" w:hAnsi="Century Gothic"/>
          <w:u w:val="single"/>
          <w:lang w:val="en-AU"/>
        </w:rPr>
        <w:t xml:space="preserve">Operational considerations and feasibility: </w:t>
      </w:r>
    </w:p>
    <w:p w:rsidR="00060C7A" w:rsidRPr="002E048C" w:rsidRDefault="00060C7A" w:rsidP="00FB4BEB">
      <w:pPr>
        <w:numPr>
          <w:ilvl w:val="0"/>
          <w:numId w:val="20"/>
        </w:numPr>
        <w:spacing w:after="160"/>
        <w:ind w:left="357" w:hanging="357"/>
        <w:rPr>
          <w:rFonts w:ascii="Century Gothic" w:hAnsi="Century Gothic"/>
          <w:sz w:val="20"/>
          <w:szCs w:val="20"/>
        </w:rPr>
      </w:pPr>
      <w:r w:rsidRPr="002E048C">
        <w:rPr>
          <w:rFonts w:ascii="Century Gothic" w:hAnsi="Century Gothic"/>
          <w:sz w:val="20"/>
          <w:szCs w:val="20"/>
        </w:rPr>
        <w:t xml:space="preserve">As per the standard operational </w:t>
      </w:r>
      <w:r>
        <w:rPr>
          <w:rFonts w:ascii="Century Gothic" w:hAnsi="Century Gothic"/>
          <w:sz w:val="20"/>
          <w:szCs w:val="20"/>
        </w:rPr>
        <w:t xml:space="preserve">considerations </w:t>
      </w:r>
      <w:r w:rsidRPr="002E048C">
        <w:rPr>
          <w:rFonts w:ascii="Century Gothic" w:hAnsi="Century Gothic"/>
          <w:sz w:val="20"/>
          <w:szCs w:val="20"/>
        </w:rPr>
        <w:t xml:space="preserve">for watering actions </w:t>
      </w:r>
      <w:r>
        <w:rPr>
          <w:rFonts w:ascii="Century Gothic" w:hAnsi="Century Gothic"/>
          <w:sz w:val="20"/>
          <w:szCs w:val="20"/>
        </w:rPr>
        <w:t>7</w:t>
      </w:r>
      <w:r w:rsidRPr="002E048C">
        <w:rPr>
          <w:rFonts w:ascii="Century Gothic" w:hAnsi="Century Gothic"/>
          <w:sz w:val="20"/>
          <w:szCs w:val="20"/>
        </w:rPr>
        <w:t xml:space="preserve">. </w:t>
      </w:r>
      <w:proofErr w:type="spellStart"/>
      <w:r>
        <w:rPr>
          <w:rFonts w:ascii="Century Gothic" w:hAnsi="Century Gothic"/>
          <w:sz w:val="20"/>
          <w:szCs w:val="20"/>
        </w:rPr>
        <w:t>Mallee</w:t>
      </w:r>
      <w:proofErr w:type="spellEnd"/>
      <w:r>
        <w:rPr>
          <w:rFonts w:ascii="Century Gothic" w:hAnsi="Century Gothic"/>
          <w:sz w:val="20"/>
          <w:szCs w:val="20"/>
        </w:rPr>
        <w:t xml:space="preserve"> Wetlands</w:t>
      </w:r>
      <w:r w:rsidRPr="002E048C">
        <w:rPr>
          <w:rFonts w:ascii="Century Gothic" w:hAnsi="Century Gothic"/>
          <w:sz w:val="20"/>
          <w:szCs w:val="20"/>
        </w:rPr>
        <w:t xml:space="preserve"> and </w:t>
      </w:r>
      <w:r>
        <w:rPr>
          <w:rFonts w:ascii="Century Gothic" w:hAnsi="Century Gothic"/>
          <w:sz w:val="20"/>
          <w:szCs w:val="20"/>
        </w:rPr>
        <w:t>10</w:t>
      </w:r>
      <w:r w:rsidRPr="002E048C">
        <w:rPr>
          <w:rFonts w:ascii="Century Gothic" w:hAnsi="Century Gothic"/>
          <w:sz w:val="20"/>
          <w:szCs w:val="20"/>
        </w:rPr>
        <w:t xml:space="preserve">. </w:t>
      </w:r>
      <w:r>
        <w:rPr>
          <w:rFonts w:ascii="Century Gothic" w:hAnsi="Century Gothic"/>
          <w:sz w:val="20"/>
          <w:szCs w:val="20"/>
        </w:rPr>
        <w:t xml:space="preserve">Lower Murray Wetlands </w:t>
      </w:r>
      <w:r w:rsidRPr="002E048C">
        <w:rPr>
          <w:rFonts w:ascii="Century Gothic" w:hAnsi="Century Gothic"/>
          <w:sz w:val="20"/>
          <w:szCs w:val="20"/>
        </w:rPr>
        <w:t>(see Part II, section</w:t>
      </w:r>
      <w:r w:rsidR="009573DB">
        <w:rPr>
          <w:rFonts w:ascii="Century Gothic" w:hAnsi="Century Gothic"/>
          <w:sz w:val="20"/>
          <w:szCs w:val="20"/>
        </w:rPr>
        <w:t xml:space="preserve"> 3.6</w:t>
      </w:r>
      <w:r w:rsidRPr="002E048C">
        <w:rPr>
          <w:rFonts w:ascii="Century Gothic" w:hAnsi="Century Gothic"/>
          <w:sz w:val="20"/>
          <w:szCs w:val="20"/>
        </w:rPr>
        <w:t>).</w:t>
      </w:r>
    </w:p>
    <w:p w:rsidR="00060C7A" w:rsidRPr="002E048C" w:rsidRDefault="00FB4BEB" w:rsidP="00060C7A">
      <w:pPr>
        <w:pStyle w:val="NormalWeb"/>
        <w:spacing w:before="0" w:beforeAutospacing="0" w:after="240" w:afterAutospacing="0"/>
        <w:jc w:val="left"/>
        <w:textAlignment w:val="baseline"/>
        <w:rPr>
          <w:rFonts w:ascii="Century Gothic" w:hAnsi="Century Gothic"/>
          <w:b/>
          <w:lang w:val="en-AU"/>
        </w:rPr>
      </w:pPr>
      <w:r>
        <w:rPr>
          <w:rFonts w:ascii="Century Gothic" w:hAnsi="Century Gothic"/>
          <w:b/>
          <w:lang w:val="en-AU"/>
        </w:rPr>
        <w:lastRenderedPageBreak/>
        <w:br/>
      </w:r>
      <w:r w:rsidR="00060C7A" w:rsidRPr="002E048C">
        <w:rPr>
          <w:rFonts w:ascii="Century Gothic" w:hAnsi="Century Gothic"/>
          <w:b/>
          <w:lang w:val="en-AU"/>
        </w:rPr>
        <w:t>Hattah Lakes</w:t>
      </w:r>
    </w:p>
    <w:p w:rsidR="00060C7A" w:rsidRPr="002E048C" w:rsidRDefault="00060C7A" w:rsidP="00060C7A">
      <w:pPr>
        <w:spacing w:after="200"/>
        <w:rPr>
          <w:rFonts w:ascii="Century Gothic" w:hAnsi="Century Gothic"/>
          <w:sz w:val="20"/>
          <w:szCs w:val="20"/>
        </w:rPr>
      </w:pPr>
      <w:r w:rsidRPr="002E048C">
        <w:rPr>
          <w:rFonts w:ascii="Century Gothic" w:hAnsi="Century Gothic"/>
          <w:sz w:val="20"/>
          <w:szCs w:val="20"/>
          <w:u w:val="single"/>
        </w:rPr>
        <w:t>Summary</w:t>
      </w:r>
      <w:r w:rsidRPr="002E048C">
        <w:rPr>
          <w:rFonts w:ascii="Century Gothic" w:hAnsi="Century Gothic"/>
          <w:sz w:val="20"/>
          <w:szCs w:val="20"/>
        </w:rPr>
        <w:t>: Commonwealth environmental water may be provided to the southern portion of the Hattah Lakes complex 2015</w:t>
      </w:r>
      <w:r>
        <w:rPr>
          <w:rFonts w:ascii="Century Gothic" w:hAnsi="Century Gothic"/>
          <w:sz w:val="20"/>
          <w:szCs w:val="20"/>
        </w:rPr>
        <w:t>–</w:t>
      </w:r>
      <w:r w:rsidRPr="002E048C">
        <w:rPr>
          <w:rFonts w:ascii="Century Gothic" w:hAnsi="Century Gothic"/>
          <w:sz w:val="20"/>
          <w:szCs w:val="20"/>
        </w:rPr>
        <w:t>16, in partnership with the</w:t>
      </w:r>
      <w:r w:rsidRPr="002E048C">
        <w:rPr>
          <w:rFonts w:ascii="Century Gothic" w:hAnsi="Century Gothic"/>
          <w:color w:val="FF0000"/>
          <w:sz w:val="20"/>
          <w:szCs w:val="20"/>
        </w:rPr>
        <w:t xml:space="preserve"> </w:t>
      </w:r>
      <w:proofErr w:type="spellStart"/>
      <w:r w:rsidRPr="002E048C">
        <w:rPr>
          <w:rFonts w:ascii="Century Gothic" w:hAnsi="Century Gothic"/>
          <w:sz w:val="20"/>
          <w:szCs w:val="20"/>
        </w:rPr>
        <w:t>Mallee</w:t>
      </w:r>
      <w:proofErr w:type="spellEnd"/>
      <w:r w:rsidRPr="002E048C">
        <w:rPr>
          <w:rFonts w:ascii="Century Gothic" w:hAnsi="Century Gothic"/>
          <w:sz w:val="20"/>
          <w:szCs w:val="20"/>
        </w:rPr>
        <w:t xml:space="preserve"> Catchment Management Authority, Victorian Environmental Water Holder and The Living Murray. Following a significant watering action in 2014–15, the use of environmental water is expected to result in on-going improvement in the condition of floodplain and wetland vegetation.</w:t>
      </w:r>
      <w:r w:rsidRPr="002E048C">
        <w:rPr>
          <w:rFonts w:ascii="Century Gothic" w:hAnsi="Century Gothic"/>
          <w:color w:val="FF0000"/>
          <w:sz w:val="20"/>
          <w:szCs w:val="20"/>
        </w:rPr>
        <w:t xml:space="preserve"> </w:t>
      </w:r>
    </w:p>
    <w:p w:rsidR="00060C7A" w:rsidRPr="002E048C" w:rsidRDefault="00060C7A" w:rsidP="00060C7A">
      <w:pPr>
        <w:pStyle w:val="NormalWeb"/>
        <w:spacing w:before="0" w:beforeAutospacing="0" w:after="240" w:afterAutospacing="0"/>
        <w:jc w:val="left"/>
        <w:textAlignment w:val="baseline"/>
        <w:rPr>
          <w:rFonts w:ascii="Century Gothic" w:hAnsi="Century Gothic"/>
          <w:u w:val="single"/>
          <w:lang w:val="en-AU"/>
        </w:rPr>
      </w:pPr>
      <w:r w:rsidRPr="002E048C">
        <w:rPr>
          <w:rFonts w:ascii="Century Gothic" w:hAnsi="Century Gothic"/>
          <w:u w:val="single"/>
          <w:lang w:val="en-AU"/>
        </w:rPr>
        <w:t>Timing</w:t>
      </w:r>
      <w:r w:rsidRPr="002E048C">
        <w:rPr>
          <w:rFonts w:ascii="Century Gothic" w:hAnsi="Century Gothic"/>
          <w:lang w:val="en-AU"/>
        </w:rPr>
        <w:t xml:space="preserve">: Winter / </w:t>
      </w:r>
      <w:proofErr w:type="gramStart"/>
      <w:r w:rsidRPr="002E048C">
        <w:rPr>
          <w:rFonts w:ascii="Century Gothic" w:hAnsi="Century Gothic"/>
          <w:lang w:val="en-AU"/>
        </w:rPr>
        <w:t>Spring</w:t>
      </w:r>
      <w:proofErr w:type="gramEnd"/>
      <w:r w:rsidRPr="002E048C">
        <w:rPr>
          <w:rFonts w:ascii="Century Gothic" w:hAnsi="Century Gothic"/>
          <w:lang w:val="en-AU"/>
        </w:rPr>
        <w:t xml:space="preserve"> 2015</w:t>
      </w:r>
    </w:p>
    <w:p w:rsidR="00060C7A" w:rsidRPr="002E048C" w:rsidRDefault="00060C7A" w:rsidP="00060C7A">
      <w:pPr>
        <w:pStyle w:val="NormalWeb"/>
        <w:spacing w:before="0" w:beforeAutospacing="0" w:after="240" w:afterAutospacing="0"/>
        <w:jc w:val="left"/>
        <w:textAlignment w:val="baseline"/>
        <w:rPr>
          <w:rFonts w:ascii="Century Gothic" w:hAnsi="Century Gothic"/>
          <w:u w:val="single"/>
          <w:lang w:val="en-AU"/>
        </w:rPr>
      </w:pPr>
      <w:r w:rsidRPr="002E048C">
        <w:rPr>
          <w:rFonts w:ascii="Century Gothic" w:hAnsi="Century Gothic"/>
          <w:u w:val="single"/>
          <w:lang w:val="en-AU"/>
        </w:rPr>
        <w:t xml:space="preserve">Operational considerations and feasibility: </w:t>
      </w:r>
    </w:p>
    <w:p w:rsidR="00060C7A" w:rsidRPr="002E048C" w:rsidRDefault="00060C7A" w:rsidP="00060C7A">
      <w:pPr>
        <w:numPr>
          <w:ilvl w:val="0"/>
          <w:numId w:val="20"/>
        </w:numPr>
        <w:spacing w:after="240"/>
        <w:ind w:left="357" w:hanging="357"/>
        <w:rPr>
          <w:rFonts w:ascii="Century Gothic" w:hAnsi="Century Gothic"/>
          <w:sz w:val="20"/>
          <w:szCs w:val="20"/>
        </w:rPr>
      </w:pPr>
      <w:r w:rsidRPr="002E048C">
        <w:rPr>
          <w:rFonts w:ascii="Century Gothic" w:hAnsi="Century Gothic"/>
          <w:sz w:val="20"/>
          <w:szCs w:val="20"/>
        </w:rPr>
        <w:t xml:space="preserve">As per the standard operational considerations for watering action </w:t>
      </w:r>
      <w:r>
        <w:rPr>
          <w:rFonts w:ascii="Century Gothic" w:hAnsi="Century Gothic"/>
          <w:sz w:val="20"/>
          <w:szCs w:val="20"/>
        </w:rPr>
        <w:t>4</w:t>
      </w:r>
      <w:r w:rsidRPr="002E048C">
        <w:rPr>
          <w:rFonts w:ascii="Century Gothic" w:hAnsi="Century Gothic"/>
          <w:sz w:val="20"/>
          <w:szCs w:val="20"/>
        </w:rPr>
        <w:t xml:space="preserve">. Infrastructure Delivery: Hattah Lakes (see Part II, </w:t>
      </w:r>
      <w:r w:rsidR="005227DC">
        <w:rPr>
          <w:rFonts w:ascii="Century Gothic" w:hAnsi="Century Gothic"/>
          <w:sz w:val="20"/>
          <w:szCs w:val="20"/>
        </w:rPr>
        <w:t>section</w:t>
      </w:r>
      <w:r w:rsidR="009573DB">
        <w:rPr>
          <w:rFonts w:ascii="Century Gothic" w:hAnsi="Century Gothic"/>
          <w:sz w:val="20"/>
          <w:szCs w:val="20"/>
        </w:rPr>
        <w:t xml:space="preserve"> 3.6</w:t>
      </w:r>
      <w:r w:rsidRPr="002E048C">
        <w:rPr>
          <w:rFonts w:ascii="Century Gothic" w:hAnsi="Century Gothic"/>
          <w:sz w:val="20"/>
          <w:szCs w:val="20"/>
        </w:rPr>
        <w:t>).</w:t>
      </w:r>
    </w:p>
    <w:p w:rsidR="00FB4BEB" w:rsidRDefault="00FB4BEB" w:rsidP="00060C7A">
      <w:pPr>
        <w:pStyle w:val="NormalWeb"/>
        <w:spacing w:before="0" w:beforeAutospacing="0" w:after="240" w:afterAutospacing="0"/>
        <w:jc w:val="left"/>
        <w:textAlignment w:val="baseline"/>
        <w:rPr>
          <w:rFonts w:ascii="Century Gothic" w:hAnsi="Century Gothic"/>
          <w:b/>
          <w:lang w:val="en-AU"/>
        </w:rPr>
      </w:pPr>
    </w:p>
    <w:p w:rsidR="00060C7A" w:rsidRPr="002E048C" w:rsidRDefault="00060C7A" w:rsidP="00060C7A">
      <w:pPr>
        <w:pStyle w:val="NormalWeb"/>
        <w:spacing w:before="0" w:beforeAutospacing="0" w:after="240" w:afterAutospacing="0"/>
        <w:jc w:val="left"/>
        <w:textAlignment w:val="baseline"/>
        <w:rPr>
          <w:rFonts w:ascii="Century Gothic" w:hAnsi="Century Gothic"/>
          <w:b/>
          <w:lang w:val="en-AU"/>
        </w:rPr>
      </w:pPr>
      <w:r w:rsidRPr="002E048C">
        <w:rPr>
          <w:rFonts w:ascii="Century Gothic" w:hAnsi="Century Gothic"/>
          <w:b/>
          <w:lang w:val="en-AU"/>
        </w:rPr>
        <w:t>Lindsay-</w:t>
      </w:r>
      <w:proofErr w:type="spellStart"/>
      <w:r w:rsidRPr="002E048C">
        <w:rPr>
          <w:rFonts w:ascii="Century Gothic" w:hAnsi="Century Gothic"/>
          <w:b/>
          <w:lang w:val="en-AU"/>
        </w:rPr>
        <w:t>Mulcra</w:t>
      </w:r>
      <w:proofErr w:type="spellEnd"/>
      <w:r w:rsidRPr="002E048C">
        <w:rPr>
          <w:rFonts w:ascii="Century Gothic" w:hAnsi="Century Gothic"/>
          <w:b/>
          <w:lang w:val="en-AU"/>
        </w:rPr>
        <w:t xml:space="preserve">-Wallpolla </w:t>
      </w:r>
      <w:r>
        <w:rPr>
          <w:rFonts w:ascii="Century Gothic" w:hAnsi="Century Gothic"/>
          <w:b/>
          <w:lang w:val="en-AU"/>
        </w:rPr>
        <w:t xml:space="preserve">and/or Chowilla </w:t>
      </w:r>
      <w:r w:rsidRPr="002E048C">
        <w:rPr>
          <w:rFonts w:ascii="Century Gothic" w:hAnsi="Century Gothic"/>
          <w:b/>
          <w:lang w:val="en-AU"/>
        </w:rPr>
        <w:t>Floodplain</w:t>
      </w:r>
    </w:p>
    <w:p w:rsidR="00060C7A" w:rsidRPr="002E048C" w:rsidRDefault="00060C7A" w:rsidP="00060C7A">
      <w:pPr>
        <w:spacing w:after="200"/>
        <w:rPr>
          <w:rFonts w:ascii="Century Gothic" w:hAnsi="Century Gothic"/>
          <w:color w:val="FF0000"/>
          <w:sz w:val="20"/>
          <w:szCs w:val="20"/>
        </w:rPr>
      </w:pPr>
      <w:r w:rsidRPr="002E048C">
        <w:rPr>
          <w:rFonts w:ascii="Century Gothic" w:hAnsi="Century Gothic"/>
          <w:sz w:val="20"/>
          <w:szCs w:val="20"/>
          <w:u w:val="single"/>
        </w:rPr>
        <w:t>Summary</w:t>
      </w:r>
      <w:r w:rsidRPr="002E048C">
        <w:rPr>
          <w:rFonts w:ascii="Century Gothic" w:hAnsi="Century Gothic"/>
          <w:sz w:val="20"/>
          <w:szCs w:val="20"/>
        </w:rPr>
        <w:t xml:space="preserve">: Commonwealth environmental water may be provided to a number of </w:t>
      </w:r>
      <w:r>
        <w:rPr>
          <w:rFonts w:ascii="Century Gothic" w:hAnsi="Century Gothic"/>
          <w:sz w:val="20"/>
          <w:szCs w:val="20"/>
        </w:rPr>
        <w:t xml:space="preserve">floodplain sites </w:t>
      </w:r>
      <w:r w:rsidRPr="002E048C">
        <w:rPr>
          <w:rFonts w:ascii="Century Gothic" w:hAnsi="Century Gothic"/>
          <w:sz w:val="20"/>
          <w:szCs w:val="20"/>
        </w:rPr>
        <w:t>in 2015</w:t>
      </w:r>
      <w:r>
        <w:rPr>
          <w:rFonts w:ascii="Century Gothic" w:hAnsi="Century Gothic"/>
          <w:sz w:val="20"/>
          <w:szCs w:val="20"/>
        </w:rPr>
        <w:t>–</w:t>
      </w:r>
      <w:r w:rsidRPr="002E048C">
        <w:rPr>
          <w:rFonts w:ascii="Century Gothic" w:hAnsi="Century Gothic"/>
          <w:sz w:val="20"/>
          <w:szCs w:val="20"/>
        </w:rPr>
        <w:t xml:space="preserve">16, in partnership with the </w:t>
      </w:r>
      <w:proofErr w:type="spellStart"/>
      <w:r w:rsidRPr="002E048C">
        <w:rPr>
          <w:rFonts w:ascii="Century Gothic" w:hAnsi="Century Gothic"/>
          <w:sz w:val="20"/>
          <w:szCs w:val="20"/>
        </w:rPr>
        <w:t>Mallee</w:t>
      </w:r>
      <w:proofErr w:type="spellEnd"/>
      <w:r w:rsidRPr="002E048C">
        <w:rPr>
          <w:rFonts w:ascii="Century Gothic" w:hAnsi="Century Gothic"/>
          <w:sz w:val="20"/>
          <w:szCs w:val="20"/>
        </w:rPr>
        <w:t xml:space="preserve"> Catchment Management Authority, Victorian Environmental Water Holder</w:t>
      </w:r>
      <w:r>
        <w:rPr>
          <w:rFonts w:ascii="Century Gothic" w:hAnsi="Century Gothic"/>
          <w:sz w:val="20"/>
          <w:szCs w:val="20"/>
        </w:rPr>
        <w:t>, South Australian Department of the Environment, Water and Natural Resources</w:t>
      </w:r>
      <w:r w:rsidRPr="002E048C">
        <w:rPr>
          <w:rFonts w:ascii="Century Gothic" w:hAnsi="Century Gothic"/>
          <w:sz w:val="20"/>
          <w:szCs w:val="20"/>
        </w:rPr>
        <w:t xml:space="preserve"> and The Living Murray. Expected outcomes will vary among wetlands but would typically include the provision of fast flowing water habitat to stimulate fish </w:t>
      </w:r>
      <w:r>
        <w:rPr>
          <w:rFonts w:ascii="Century Gothic" w:hAnsi="Century Gothic"/>
          <w:sz w:val="20"/>
          <w:szCs w:val="20"/>
        </w:rPr>
        <w:t xml:space="preserve">movement and </w:t>
      </w:r>
      <w:r w:rsidRPr="002E048C">
        <w:rPr>
          <w:rFonts w:ascii="Century Gothic" w:hAnsi="Century Gothic"/>
          <w:sz w:val="20"/>
          <w:szCs w:val="20"/>
        </w:rPr>
        <w:t>spawning</w:t>
      </w:r>
      <w:r>
        <w:rPr>
          <w:rFonts w:ascii="Century Gothic" w:hAnsi="Century Gothic"/>
          <w:sz w:val="20"/>
          <w:szCs w:val="20"/>
        </w:rPr>
        <w:t xml:space="preserve"> and promote riparian</w:t>
      </w:r>
      <w:r w:rsidRPr="002E048C">
        <w:rPr>
          <w:rFonts w:ascii="Century Gothic" w:hAnsi="Century Gothic"/>
          <w:sz w:val="20"/>
          <w:szCs w:val="20"/>
        </w:rPr>
        <w:t xml:space="preserve"> and aquatic plant diversity.</w:t>
      </w:r>
      <w:r w:rsidRPr="002E048C">
        <w:rPr>
          <w:rFonts w:ascii="Century Gothic" w:hAnsi="Century Gothic"/>
          <w:color w:val="FF0000"/>
          <w:sz w:val="20"/>
          <w:szCs w:val="20"/>
        </w:rPr>
        <w:t xml:space="preserve"> </w:t>
      </w:r>
    </w:p>
    <w:p w:rsidR="00060C7A" w:rsidRPr="002E048C" w:rsidRDefault="00060C7A" w:rsidP="00060C7A">
      <w:pPr>
        <w:pStyle w:val="NormalWeb"/>
        <w:spacing w:before="0" w:beforeAutospacing="0" w:after="240" w:afterAutospacing="0"/>
        <w:jc w:val="left"/>
        <w:textAlignment w:val="baseline"/>
        <w:rPr>
          <w:rFonts w:ascii="Century Gothic" w:hAnsi="Century Gothic"/>
          <w:u w:val="single"/>
          <w:lang w:val="en-AU"/>
        </w:rPr>
      </w:pPr>
      <w:r w:rsidRPr="002E048C">
        <w:rPr>
          <w:rFonts w:ascii="Century Gothic" w:hAnsi="Century Gothic"/>
          <w:u w:val="single"/>
          <w:lang w:val="en-AU"/>
        </w:rPr>
        <w:t>Timing</w:t>
      </w:r>
      <w:r w:rsidRPr="002E048C">
        <w:rPr>
          <w:rFonts w:ascii="Century Gothic" w:hAnsi="Century Gothic"/>
          <w:lang w:val="en-AU"/>
        </w:rPr>
        <w:t>: Year round</w:t>
      </w:r>
    </w:p>
    <w:p w:rsidR="00060C7A" w:rsidRPr="002E048C" w:rsidRDefault="00060C7A" w:rsidP="00060C7A">
      <w:pPr>
        <w:pStyle w:val="NormalWeb"/>
        <w:spacing w:before="0" w:beforeAutospacing="0" w:after="240" w:afterAutospacing="0"/>
        <w:jc w:val="left"/>
        <w:textAlignment w:val="baseline"/>
        <w:rPr>
          <w:rFonts w:ascii="Century Gothic" w:hAnsi="Century Gothic"/>
          <w:u w:val="single"/>
          <w:lang w:val="en-AU"/>
        </w:rPr>
      </w:pPr>
      <w:r w:rsidRPr="002E048C">
        <w:rPr>
          <w:rFonts w:ascii="Century Gothic" w:hAnsi="Century Gothic"/>
          <w:u w:val="single"/>
          <w:lang w:val="en-AU"/>
        </w:rPr>
        <w:t xml:space="preserve">Operational considerations and feasibility: </w:t>
      </w:r>
    </w:p>
    <w:p w:rsidR="00060C7A" w:rsidRPr="002E048C" w:rsidRDefault="00060C7A" w:rsidP="00060C7A">
      <w:pPr>
        <w:numPr>
          <w:ilvl w:val="0"/>
          <w:numId w:val="20"/>
        </w:numPr>
        <w:spacing w:after="240"/>
        <w:ind w:left="357" w:hanging="357"/>
        <w:rPr>
          <w:rFonts w:ascii="Century Gothic" w:hAnsi="Century Gothic"/>
          <w:sz w:val="20"/>
          <w:szCs w:val="20"/>
        </w:rPr>
      </w:pPr>
      <w:r w:rsidRPr="002E048C">
        <w:rPr>
          <w:rFonts w:ascii="Century Gothic" w:hAnsi="Century Gothic"/>
          <w:sz w:val="20"/>
          <w:szCs w:val="20"/>
        </w:rPr>
        <w:t>As per the standard operational considerations for watering action</w:t>
      </w:r>
      <w:r>
        <w:rPr>
          <w:rFonts w:ascii="Century Gothic" w:hAnsi="Century Gothic"/>
          <w:sz w:val="20"/>
          <w:szCs w:val="20"/>
        </w:rPr>
        <w:t>s</w:t>
      </w:r>
      <w:r w:rsidRPr="002E048C">
        <w:rPr>
          <w:rFonts w:ascii="Century Gothic" w:hAnsi="Century Gothic"/>
          <w:sz w:val="20"/>
          <w:szCs w:val="20"/>
        </w:rPr>
        <w:t xml:space="preserve"> </w:t>
      </w:r>
      <w:r>
        <w:rPr>
          <w:rFonts w:ascii="Century Gothic" w:hAnsi="Century Gothic"/>
          <w:sz w:val="20"/>
          <w:szCs w:val="20"/>
        </w:rPr>
        <w:t>6</w:t>
      </w:r>
      <w:r w:rsidRPr="002E048C">
        <w:rPr>
          <w:rFonts w:ascii="Century Gothic" w:hAnsi="Century Gothic"/>
          <w:sz w:val="20"/>
          <w:szCs w:val="20"/>
        </w:rPr>
        <w:t>. Infrastructure Delivery: Lindsay-</w:t>
      </w:r>
      <w:proofErr w:type="spellStart"/>
      <w:r w:rsidRPr="002E048C">
        <w:rPr>
          <w:rFonts w:ascii="Century Gothic" w:hAnsi="Century Gothic"/>
          <w:sz w:val="20"/>
          <w:szCs w:val="20"/>
        </w:rPr>
        <w:t>Mulcra</w:t>
      </w:r>
      <w:proofErr w:type="spellEnd"/>
      <w:r w:rsidRPr="002E048C">
        <w:rPr>
          <w:rFonts w:ascii="Century Gothic" w:hAnsi="Century Gothic"/>
          <w:sz w:val="20"/>
          <w:szCs w:val="20"/>
        </w:rPr>
        <w:t xml:space="preserve">-Wallpolla Floodplain </w:t>
      </w:r>
      <w:r>
        <w:rPr>
          <w:rFonts w:ascii="Century Gothic" w:hAnsi="Century Gothic"/>
          <w:sz w:val="20"/>
          <w:szCs w:val="20"/>
        </w:rPr>
        <w:t xml:space="preserve">and 9. Infrastructure Delivery: Chowilla Floodplain </w:t>
      </w:r>
      <w:r w:rsidRPr="002E048C">
        <w:rPr>
          <w:rFonts w:ascii="Century Gothic" w:hAnsi="Century Gothic"/>
          <w:sz w:val="20"/>
          <w:szCs w:val="20"/>
        </w:rPr>
        <w:t>(see Part II, s</w:t>
      </w:r>
      <w:r w:rsidR="005227DC">
        <w:rPr>
          <w:rFonts w:ascii="Century Gothic" w:hAnsi="Century Gothic"/>
          <w:sz w:val="20"/>
          <w:szCs w:val="20"/>
        </w:rPr>
        <w:t>ection</w:t>
      </w:r>
      <w:r w:rsidR="009573DB">
        <w:rPr>
          <w:rFonts w:ascii="Century Gothic" w:hAnsi="Century Gothic"/>
          <w:sz w:val="20"/>
          <w:szCs w:val="20"/>
        </w:rPr>
        <w:t xml:space="preserve"> 3.6</w:t>
      </w:r>
      <w:r w:rsidRPr="002E048C">
        <w:rPr>
          <w:rFonts w:ascii="Century Gothic" w:hAnsi="Century Gothic"/>
          <w:sz w:val="20"/>
          <w:szCs w:val="20"/>
        </w:rPr>
        <w:t>).</w:t>
      </w:r>
    </w:p>
    <w:p w:rsidR="00060C7A" w:rsidRPr="008D2B6B" w:rsidRDefault="00060C7A" w:rsidP="00060C7A">
      <w:pPr>
        <w:pStyle w:val="NormalWeb"/>
        <w:spacing w:before="0" w:beforeAutospacing="0" w:after="240" w:afterAutospacing="0"/>
        <w:ind w:left="357"/>
        <w:jc w:val="left"/>
        <w:textAlignment w:val="baseline"/>
        <w:rPr>
          <w:rFonts w:ascii="Century Gothic" w:hAnsi="Century Gothic"/>
          <w:lang w:val="en-AU"/>
        </w:rPr>
      </w:pPr>
    </w:p>
    <w:p w:rsidR="00060C7A" w:rsidRPr="008D2B6B" w:rsidRDefault="00060C7A" w:rsidP="00060C7A">
      <w:pPr>
        <w:pStyle w:val="NormalWeb"/>
        <w:spacing w:before="0" w:beforeAutospacing="0" w:after="240" w:afterAutospacing="0"/>
        <w:jc w:val="left"/>
        <w:textAlignment w:val="baseline"/>
        <w:rPr>
          <w:rFonts w:ascii="Century Gothic" w:hAnsi="Century Gothic"/>
          <w:b/>
          <w:color w:val="FF0000"/>
          <w:lang w:val="en-AU"/>
        </w:rPr>
      </w:pPr>
      <w:r w:rsidRPr="008D2B6B">
        <w:rPr>
          <w:rFonts w:ascii="Century Gothic" w:hAnsi="Century Gothic"/>
          <w:b/>
          <w:lang w:val="en-AU"/>
        </w:rPr>
        <w:t xml:space="preserve">Stakeholder feedback: </w:t>
      </w:r>
      <w:r w:rsidRPr="00076780">
        <w:rPr>
          <w:rFonts w:ascii="Century Gothic" w:hAnsi="Century Gothic"/>
          <w:color w:val="000000" w:themeColor="text1"/>
        </w:rPr>
        <w:t>Consultation on long term portfolio management planning has occurred with key delivery partners (</w:t>
      </w:r>
      <w:r>
        <w:rPr>
          <w:rFonts w:ascii="Century Gothic" w:hAnsi="Century Gothic"/>
          <w:color w:val="000000" w:themeColor="text1"/>
        </w:rPr>
        <w:t xml:space="preserve">South Australian Department of Environment, Water and Natural Resources, </w:t>
      </w:r>
      <w:r w:rsidRPr="00076780">
        <w:rPr>
          <w:rFonts w:ascii="Century Gothic" w:hAnsi="Century Gothic"/>
          <w:color w:val="000000" w:themeColor="text1"/>
        </w:rPr>
        <w:t>N</w:t>
      </w:r>
      <w:r>
        <w:rPr>
          <w:rFonts w:ascii="Century Gothic" w:hAnsi="Century Gothic"/>
          <w:color w:val="000000" w:themeColor="text1"/>
        </w:rPr>
        <w:t>ew South Wales</w:t>
      </w:r>
      <w:r w:rsidRPr="00076780">
        <w:rPr>
          <w:rFonts w:ascii="Century Gothic" w:hAnsi="Century Gothic"/>
          <w:color w:val="000000" w:themeColor="text1"/>
        </w:rPr>
        <w:t xml:space="preserve"> Office of Environment and Heritage, Victorian Environmental Water Holder</w:t>
      </w:r>
      <w:r>
        <w:rPr>
          <w:rFonts w:ascii="Century Gothic" w:hAnsi="Century Gothic"/>
          <w:color w:val="000000" w:themeColor="text1"/>
        </w:rPr>
        <w:t>, Victorian</w:t>
      </w:r>
      <w:r w:rsidRPr="00076780">
        <w:rPr>
          <w:rFonts w:ascii="Century Gothic" w:hAnsi="Century Gothic"/>
          <w:color w:val="000000" w:themeColor="text1"/>
        </w:rPr>
        <w:t xml:space="preserve"> Catchment Management Authorities</w:t>
      </w:r>
      <w:r>
        <w:rPr>
          <w:rFonts w:ascii="Century Gothic" w:hAnsi="Century Gothic"/>
          <w:color w:val="000000" w:themeColor="text1"/>
        </w:rPr>
        <w:t>, New South Wales Local Land Services, New South Wales Fisheries, New South Wales Office of Water, the Murray–Darling</w:t>
      </w:r>
      <w:r w:rsidRPr="00076780">
        <w:rPr>
          <w:rFonts w:ascii="Century Gothic" w:hAnsi="Century Gothic"/>
          <w:color w:val="000000" w:themeColor="text1"/>
        </w:rPr>
        <w:t xml:space="preserve"> Basin Authority</w:t>
      </w:r>
      <w:r>
        <w:rPr>
          <w:rFonts w:ascii="Century Gothic" w:hAnsi="Century Gothic"/>
          <w:color w:val="000000" w:themeColor="text1"/>
        </w:rPr>
        <w:t>, the Murray-Darling Wetlands Working Group</w:t>
      </w:r>
      <w:r w:rsidRPr="00076780">
        <w:rPr>
          <w:rFonts w:ascii="Century Gothic" w:hAnsi="Century Gothic"/>
          <w:color w:val="000000" w:themeColor="text1"/>
        </w:rPr>
        <w:t xml:space="preserve">, scientists engaged in monitoring the outcomes of Commonwealth environmental water use and various community groups and individuals. </w:t>
      </w:r>
      <w:r w:rsidR="00D00B4C">
        <w:rPr>
          <w:rFonts w:ascii="Century Gothic" w:hAnsi="Century Gothic"/>
          <w:color w:val="000000" w:themeColor="text1"/>
        </w:rPr>
        <w:t>Feedback will be sought on an ongoing basis as planning transitions to implementation phase (see Section 1.6).</w:t>
      </w:r>
    </w:p>
    <w:p w:rsidR="00060C7A" w:rsidRPr="008D2B6B" w:rsidRDefault="00060C7A" w:rsidP="00060C7A">
      <w:pPr>
        <w:spacing w:after="240"/>
        <w:rPr>
          <w:rFonts w:ascii="Century Gothic" w:hAnsi="Century Gothic"/>
        </w:rPr>
      </w:pPr>
    </w:p>
    <w:p w:rsidR="00060C7A" w:rsidRPr="00553A76" w:rsidRDefault="00060C7A" w:rsidP="00060C7A">
      <w:pPr>
        <w:pStyle w:val="Heading2"/>
        <w:spacing w:before="0"/>
        <w:ind w:left="851" w:hanging="851"/>
        <w:rPr>
          <w:rFonts w:ascii="Century Gothic" w:hAnsi="Century Gothic"/>
          <w:noProof/>
          <w:color w:val="5F497A" w:themeColor="accent4" w:themeShade="BF"/>
          <w:lang w:val="en-AU"/>
        </w:rPr>
      </w:pPr>
      <w:bookmarkStart w:id="12" w:name="_Toc422406853"/>
      <w:r w:rsidRPr="00553A76">
        <w:rPr>
          <w:rFonts w:ascii="Century Gothic" w:hAnsi="Century Gothic"/>
          <w:noProof/>
          <w:color w:val="5F497A" w:themeColor="accent4" w:themeShade="BF"/>
          <w:lang w:val="en-AU"/>
        </w:rPr>
        <w:t>Carryover</w:t>
      </w:r>
      <w:bookmarkEnd w:id="12"/>
      <w:r w:rsidRPr="00553A76">
        <w:rPr>
          <w:rFonts w:ascii="Century Gothic" w:hAnsi="Century Gothic"/>
          <w:noProof/>
          <w:color w:val="5F497A" w:themeColor="accent4" w:themeShade="BF"/>
          <w:lang w:val="en-AU"/>
        </w:rPr>
        <w:t xml:space="preserve"> </w:t>
      </w:r>
    </w:p>
    <w:p w:rsidR="00060C7A" w:rsidRPr="00553A76" w:rsidRDefault="00060C7A" w:rsidP="00060C7A">
      <w:pPr>
        <w:pStyle w:val="NormalWeb"/>
        <w:spacing w:before="0" w:beforeAutospacing="0" w:after="240" w:afterAutospacing="0"/>
        <w:jc w:val="left"/>
        <w:rPr>
          <w:rFonts w:ascii="Century Gothic" w:hAnsi="Century Gothic"/>
          <w:color w:val="0070C0"/>
          <w:lang w:val="en-AU"/>
        </w:rPr>
      </w:pPr>
      <w:r w:rsidRPr="00553A76">
        <w:rPr>
          <w:rFonts w:ascii="Century Gothic" w:hAnsi="Century Gothic"/>
          <w:lang w:val="en-AU"/>
        </w:rPr>
        <w:t>A moderate proportion of allocations available in 2014–15 are expected to be carried over to 2015–16 i</w:t>
      </w:r>
      <w:r w:rsidR="00D00B4C">
        <w:rPr>
          <w:rFonts w:ascii="Century Gothic" w:hAnsi="Century Gothic"/>
          <w:lang w:val="en-AU"/>
        </w:rPr>
        <w:t>n the southern connected basin (</w:t>
      </w:r>
      <w:r w:rsidR="00E474B8">
        <w:rPr>
          <w:rFonts w:ascii="Century Gothic" w:hAnsi="Century Gothic"/>
        </w:rPr>
        <w:t xml:space="preserve">350-360 </w:t>
      </w:r>
      <w:proofErr w:type="spellStart"/>
      <w:r w:rsidRPr="00553A76">
        <w:rPr>
          <w:rFonts w:ascii="Century Gothic" w:hAnsi="Century Gothic"/>
          <w:lang w:val="en-AU"/>
        </w:rPr>
        <w:t>gigalitres</w:t>
      </w:r>
      <w:proofErr w:type="spellEnd"/>
      <w:r w:rsidR="00D00B4C">
        <w:rPr>
          <w:rFonts w:ascii="Century Gothic" w:hAnsi="Century Gothic"/>
          <w:lang w:val="en-AU"/>
        </w:rPr>
        <w:t>)</w:t>
      </w:r>
      <w:r w:rsidRPr="00553A76">
        <w:rPr>
          <w:rFonts w:ascii="Century Gothic" w:hAnsi="Century Gothic"/>
          <w:lang w:val="en-AU"/>
        </w:rPr>
        <w:t>.  Given the moderate environmental demands in the Lower Murray-Darling for 2015–16, if water resource availability remains moderate, a moderate to high proportion of Commonwealth’s available allocations for 2015–16 are expected to be used for the watering actions described above. A low to moderate proportion of allocations are expected to be carried over to support environmental demands in 2016–17 (see Table 2). The level of available allocations to be carried over to 2017–18 will depend upon resource availability and demand.</w:t>
      </w:r>
    </w:p>
    <w:p w:rsidR="00060C7A" w:rsidRPr="00E474B8" w:rsidRDefault="00060C7A" w:rsidP="00060C7A">
      <w:pPr>
        <w:pStyle w:val="NormalWeb"/>
        <w:spacing w:before="0" w:beforeAutospacing="0" w:after="240" w:afterAutospacing="0"/>
        <w:jc w:val="left"/>
        <w:rPr>
          <w:rFonts w:ascii="Century Gothic" w:hAnsi="Century Gothic"/>
          <w:lang w:val="en-AU"/>
        </w:rPr>
      </w:pPr>
      <w:r w:rsidRPr="00553A76">
        <w:rPr>
          <w:rFonts w:ascii="Century Gothic" w:hAnsi="Century Gothic"/>
          <w:lang w:val="en-AU"/>
        </w:rPr>
        <w:t xml:space="preserve">Given the connected nature of southern Murray-Darling Basin catchments and the varying carryover, account and use limits, carryover is considered at a broader scale than just the </w:t>
      </w:r>
      <w:r w:rsidRPr="00553A76">
        <w:rPr>
          <w:rFonts w:ascii="Century Gothic" w:hAnsi="Century Gothic"/>
          <w:color w:val="000000" w:themeColor="text1"/>
          <w:lang w:val="en-AU"/>
        </w:rPr>
        <w:t>Lower Murray-Darling Region</w:t>
      </w:r>
      <w:r w:rsidRPr="00553A76">
        <w:rPr>
          <w:rFonts w:ascii="Century Gothic" w:hAnsi="Century Gothic"/>
          <w:lang w:val="en-AU"/>
        </w:rPr>
        <w:t>. More information on how the Commonwealth makes decisions on carryover is here [</w:t>
      </w:r>
      <w:r w:rsidRPr="00553A76">
        <w:rPr>
          <w:rFonts w:ascii="Century Gothic" w:hAnsi="Century Gothic"/>
          <w:color w:val="17365D" w:themeColor="text2" w:themeShade="BF"/>
          <w:u w:val="single"/>
          <w:lang w:val="en-AU"/>
        </w:rPr>
        <w:t>http://www.environment.gov.au/water/cewo/portfolio-mgt/carryover</w:t>
      </w:r>
    </w:p>
    <w:p w:rsidR="00060C7A" w:rsidRPr="00553A76" w:rsidRDefault="00060C7A" w:rsidP="00060C7A">
      <w:pPr>
        <w:pStyle w:val="NormalWeb"/>
        <w:spacing w:before="0" w:beforeAutospacing="0" w:after="240" w:afterAutospacing="0"/>
        <w:rPr>
          <w:rFonts w:ascii="Century Gothic" w:hAnsi="Century Gothic"/>
          <w:color w:val="17365D" w:themeColor="text2" w:themeShade="BF"/>
          <w:u w:val="single"/>
          <w:lang w:val="en-AU"/>
        </w:rPr>
      </w:pPr>
    </w:p>
    <w:p w:rsidR="00060C7A" w:rsidRPr="00553A76" w:rsidRDefault="00060C7A" w:rsidP="00060C7A">
      <w:pPr>
        <w:pStyle w:val="Heading2"/>
        <w:spacing w:before="0"/>
        <w:ind w:left="851" w:hanging="851"/>
        <w:rPr>
          <w:rFonts w:ascii="Century Gothic" w:hAnsi="Century Gothic"/>
          <w:noProof/>
          <w:color w:val="5F497A" w:themeColor="accent4" w:themeShade="BF"/>
          <w:lang w:val="en-AU"/>
        </w:rPr>
      </w:pPr>
      <w:bookmarkStart w:id="13" w:name="_Toc422406854"/>
      <w:r w:rsidRPr="00553A76">
        <w:rPr>
          <w:rFonts w:ascii="Century Gothic" w:hAnsi="Century Gothic"/>
          <w:noProof/>
          <w:color w:val="5F497A" w:themeColor="accent4" w:themeShade="BF"/>
          <w:lang w:val="en-AU"/>
        </w:rPr>
        <w:lastRenderedPageBreak/>
        <w:t>Trade</w:t>
      </w:r>
      <w:bookmarkEnd w:id="13"/>
    </w:p>
    <w:p w:rsidR="005A0C32" w:rsidRDefault="005A0C32" w:rsidP="005A0C32">
      <w:pPr>
        <w:pStyle w:val="NormalWeb"/>
        <w:spacing w:before="0" w:beforeAutospacing="0" w:after="240" w:afterAutospacing="0"/>
        <w:jc w:val="left"/>
        <w:rPr>
          <w:rFonts w:ascii="Century Gothic" w:hAnsi="Century Gothic"/>
        </w:rPr>
      </w:pPr>
      <w:r>
        <w:rPr>
          <w:rFonts w:ascii="Century Gothic" w:hAnsi="Century Gothic"/>
        </w:rPr>
        <w:t>At this time there is no plan to buy or sell allocations in the southern connected basin in 2015–16. Currently, there is only limited market opportunity for allocation purchase to be pursued. The moderate demands for environmental water that may extend to 2016–17 mean that the sale of allocations will be considered based on ongoing assessments of environmental demands within the southern connected basin and across the Murray-Darling Basin over the next two years (Table 2). The types of scenarios where the need to adjust the availability of Commonwealth allocations is most likely to arise in coming years include:</w:t>
      </w:r>
    </w:p>
    <w:p w:rsidR="005A0C32" w:rsidRDefault="005A0C32" w:rsidP="005A0C32">
      <w:pPr>
        <w:pStyle w:val="ListBullet"/>
        <w:spacing w:after="240"/>
        <w:ind w:left="357" w:hanging="357"/>
        <w:contextualSpacing w:val="0"/>
        <w:jc w:val="left"/>
        <w:rPr>
          <w:rFonts w:ascii="Century Gothic" w:hAnsi="Century Gothic"/>
        </w:rPr>
      </w:pPr>
      <w:r>
        <w:rPr>
          <w:rFonts w:ascii="Century Gothic" w:hAnsi="Century Gothic"/>
        </w:rPr>
        <w:t>If environmental demands have been met and it is determined that there is sufficient forecast allocation to meet future demands</w:t>
      </w:r>
      <w:r w:rsidR="007479B0">
        <w:rPr>
          <w:rFonts w:ascii="Century Gothic" w:hAnsi="Century Gothic"/>
        </w:rPr>
        <w:t xml:space="preserve"> across the southern connected b</w:t>
      </w:r>
      <w:r>
        <w:rPr>
          <w:rFonts w:ascii="Century Gothic" w:hAnsi="Century Gothic"/>
        </w:rPr>
        <w:t>asin, the market will be assessed to determine if there are opportunities to sell surplus water and  secure proceeds to improve the Commonwealth Environmental Water Holder’s capacity to meet current or future environmental demands across the Murray-Darling Basin</w:t>
      </w:r>
    </w:p>
    <w:p w:rsidR="005A0C32" w:rsidRDefault="005A0C32" w:rsidP="005A0C32">
      <w:pPr>
        <w:pStyle w:val="ListBullet"/>
        <w:spacing w:after="240"/>
        <w:ind w:left="357" w:hanging="357"/>
        <w:contextualSpacing w:val="0"/>
        <w:jc w:val="left"/>
        <w:rPr>
          <w:rFonts w:ascii="Century Gothic" w:hAnsi="Century Gothic"/>
        </w:rPr>
      </w:pPr>
      <w:r>
        <w:rPr>
          <w:rFonts w:ascii="Century Gothic" w:hAnsi="Century Gothic"/>
        </w:rPr>
        <w:t>If a Basin-scale analysis identifies urgent environmental demands within a particular catchment and allocation purchase provides an opportunity to meet those demands using proceeds from the sale of water in a catchment with less urgent demands</w:t>
      </w:r>
    </w:p>
    <w:p w:rsidR="005A0C32" w:rsidRDefault="005A0C32" w:rsidP="005A0C32">
      <w:pPr>
        <w:pStyle w:val="ListBullet"/>
        <w:spacing w:after="240"/>
        <w:ind w:left="357" w:hanging="357"/>
        <w:contextualSpacing w:val="0"/>
        <w:jc w:val="left"/>
        <w:rPr>
          <w:rFonts w:ascii="Century Gothic" w:hAnsi="Century Gothic"/>
        </w:rPr>
      </w:pPr>
      <w:r>
        <w:rPr>
          <w:rFonts w:ascii="Century Gothic" w:hAnsi="Century Gothic"/>
        </w:rPr>
        <w:t>If conditions were to become wet while environmental demands remain high, market conditions might provide a favourable opportunity to purchase allocations to assist in meeting demands and augmenting natural flows</w:t>
      </w:r>
    </w:p>
    <w:p w:rsidR="005A0C32" w:rsidRDefault="005A0C32" w:rsidP="005A0C32">
      <w:pPr>
        <w:pStyle w:val="NormalWeb"/>
        <w:spacing w:before="0" w:beforeAutospacing="0" w:after="240" w:afterAutospacing="0"/>
        <w:jc w:val="left"/>
        <w:rPr>
          <w:rFonts w:ascii="Century Gothic" w:hAnsi="Century Gothic"/>
        </w:rPr>
      </w:pPr>
      <w:r>
        <w:rPr>
          <w:rFonts w:ascii="Century Gothic" w:hAnsi="Century Gothic"/>
        </w:rPr>
        <w:t xml:space="preserve">Refer to the </w:t>
      </w:r>
      <w:hyperlink r:id="rId17" w:tooltip="Commonwealth environmental water Trading Framework" w:history="1">
        <w:r>
          <w:rPr>
            <w:rStyle w:val="Hyperlink"/>
            <w:rFonts w:ascii="Century Gothic" w:hAnsi="Century Gothic"/>
            <w:color w:val="17365D"/>
          </w:rPr>
          <w:t>Commonwealth environmental water Trading Framework</w:t>
        </w:r>
      </w:hyperlink>
      <w:r>
        <w:rPr>
          <w:rFonts w:ascii="Century Gothic" w:hAnsi="Century Gothic"/>
        </w:rPr>
        <w:t xml:space="preserve">, which includes operating rules, procedures, and </w:t>
      </w:r>
      <w:hyperlink r:id="rId18" w:anchor="protocols" w:tooltip="Commonwealth Environmental Water Trading Framework" w:history="1">
        <w:r>
          <w:rPr>
            <w:rStyle w:val="Hyperlink"/>
            <w:rFonts w:ascii="Century Gothic" w:hAnsi="Century Gothic"/>
          </w:rPr>
          <w:t>protocols</w:t>
        </w:r>
      </w:hyperlink>
      <w:r>
        <w:rPr>
          <w:rFonts w:ascii="Century Gothic" w:hAnsi="Century Gothic"/>
        </w:rPr>
        <w:t>, for further information.</w:t>
      </w:r>
    </w:p>
    <w:p w:rsidR="00060C7A" w:rsidRPr="002E048C" w:rsidRDefault="00060C7A" w:rsidP="00060C7A">
      <w:pPr>
        <w:pStyle w:val="NormalWeb"/>
        <w:spacing w:before="0" w:beforeAutospacing="0" w:after="240" w:afterAutospacing="0"/>
        <w:rPr>
          <w:rFonts w:ascii="Century Gothic" w:hAnsi="Century Gothic"/>
          <w:lang w:val="en-AU"/>
        </w:rPr>
      </w:pPr>
    </w:p>
    <w:p w:rsidR="00060C7A" w:rsidRPr="001E2453" w:rsidRDefault="00060C7A" w:rsidP="00060C7A">
      <w:pPr>
        <w:pStyle w:val="Heading2"/>
        <w:spacing w:before="0"/>
        <w:ind w:left="851" w:hanging="851"/>
        <w:rPr>
          <w:rFonts w:ascii="Century Gothic" w:hAnsi="Century Gothic"/>
          <w:noProof/>
          <w:color w:val="5F497A" w:themeColor="accent4" w:themeShade="BF"/>
          <w:lang w:val="en-AU"/>
        </w:rPr>
      </w:pPr>
      <w:bookmarkStart w:id="14" w:name="_Toc422406855"/>
      <w:r w:rsidRPr="001E2453">
        <w:rPr>
          <w:rFonts w:ascii="Century Gothic" w:hAnsi="Century Gothic"/>
          <w:noProof/>
          <w:color w:val="5F497A" w:themeColor="accent4" w:themeShade="BF"/>
          <w:lang w:val="en-AU"/>
        </w:rPr>
        <w:t>A note on transfer</w:t>
      </w:r>
      <w:bookmarkEnd w:id="14"/>
      <w:r w:rsidRPr="001E2453">
        <w:rPr>
          <w:rFonts w:ascii="Century Gothic" w:hAnsi="Century Gothic"/>
          <w:noProof/>
          <w:color w:val="5F497A" w:themeColor="accent4" w:themeShade="BF"/>
          <w:lang w:val="en-AU"/>
        </w:rPr>
        <w:t xml:space="preserve"> </w:t>
      </w:r>
    </w:p>
    <w:p w:rsidR="00060C7A" w:rsidRPr="002E048C" w:rsidRDefault="00060C7A" w:rsidP="00060C7A">
      <w:pPr>
        <w:pStyle w:val="NormalWeb"/>
        <w:spacing w:before="0" w:beforeAutospacing="0" w:after="240" w:afterAutospacing="0"/>
        <w:jc w:val="left"/>
        <w:rPr>
          <w:rFonts w:ascii="Century Gothic" w:hAnsi="Century Gothic"/>
          <w:lang w:val="en-AU"/>
        </w:rPr>
      </w:pPr>
      <w:r w:rsidRPr="002E048C">
        <w:rPr>
          <w:rFonts w:ascii="Century Gothic" w:hAnsi="Century Gothic"/>
          <w:lang w:val="en-AU"/>
        </w:rPr>
        <w:t xml:space="preserve">Where the need arises to adjust the availability of allocations in the Lower Murray-Darling, it should be noted that the transfer of allocations from other southern connected catchments would </w:t>
      </w:r>
      <w:r w:rsidR="00086FF0">
        <w:rPr>
          <w:rFonts w:ascii="Century Gothic" w:hAnsi="Century Gothic"/>
          <w:lang w:val="en-AU"/>
        </w:rPr>
        <w:t xml:space="preserve">generally </w:t>
      </w:r>
      <w:r w:rsidRPr="002E048C">
        <w:rPr>
          <w:rFonts w:ascii="Century Gothic" w:hAnsi="Century Gothic"/>
          <w:lang w:val="en-AU"/>
        </w:rPr>
        <w:t xml:space="preserve">be </w:t>
      </w:r>
      <w:r w:rsidR="00086FF0">
        <w:rPr>
          <w:rFonts w:ascii="Century Gothic" w:hAnsi="Century Gothic"/>
          <w:lang w:val="en-AU"/>
        </w:rPr>
        <w:t>considered</w:t>
      </w:r>
      <w:r w:rsidR="00086FF0" w:rsidRPr="002E048C">
        <w:rPr>
          <w:rFonts w:ascii="Century Gothic" w:hAnsi="Century Gothic"/>
          <w:lang w:val="en-AU"/>
        </w:rPr>
        <w:t xml:space="preserve"> </w:t>
      </w:r>
      <w:r w:rsidRPr="002E048C">
        <w:rPr>
          <w:rFonts w:ascii="Century Gothic" w:hAnsi="Century Gothic"/>
          <w:lang w:val="en-AU"/>
        </w:rPr>
        <w:t>as the preferred and more efficient option to allocation purchase or sale, consistent with the rules identified in state water resource plans that apply to all water users.</w:t>
      </w:r>
    </w:p>
    <w:p w:rsidR="00060C7A" w:rsidRPr="002E048C" w:rsidRDefault="00060C7A" w:rsidP="00060C7A">
      <w:pPr>
        <w:pStyle w:val="Heading2"/>
        <w:numPr>
          <w:ilvl w:val="0"/>
          <w:numId w:val="0"/>
        </w:numPr>
        <w:spacing w:before="0"/>
        <w:rPr>
          <w:rFonts w:ascii="Century Gothic" w:hAnsi="Century Gothic" w:cs="Arial"/>
          <w:bCs/>
          <w:color w:val="5F497A" w:themeColor="accent4" w:themeShade="BF"/>
          <w:sz w:val="20"/>
          <w:szCs w:val="20"/>
          <w:lang w:val="en-AU"/>
        </w:rPr>
      </w:pPr>
    </w:p>
    <w:p w:rsidR="00060C7A" w:rsidRPr="001E2453" w:rsidRDefault="00060C7A" w:rsidP="00060C7A">
      <w:pPr>
        <w:pStyle w:val="Heading2"/>
        <w:spacing w:before="0"/>
        <w:ind w:left="851" w:hanging="851"/>
        <w:rPr>
          <w:rFonts w:ascii="Century Gothic" w:hAnsi="Century Gothic"/>
          <w:noProof/>
          <w:color w:val="5F497A" w:themeColor="accent4" w:themeShade="BF"/>
          <w:lang w:val="en-AU"/>
        </w:rPr>
      </w:pPr>
      <w:bookmarkStart w:id="15" w:name="_Toc422406856"/>
      <w:r w:rsidRPr="001E2453">
        <w:rPr>
          <w:rFonts w:ascii="Century Gothic" w:hAnsi="Century Gothic"/>
          <w:noProof/>
          <w:color w:val="5F497A" w:themeColor="accent4" w:themeShade="BF"/>
          <w:lang w:val="en-AU"/>
        </w:rPr>
        <w:t>Your input</w:t>
      </w:r>
      <w:bookmarkEnd w:id="15"/>
    </w:p>
    <w:p w:rsidR="00060C7A" w:rsidRPr="002E048C" w:rsidRDefault="00060C7A" w:rsidP="00060C7A">
      <w:pPr>
        <w:spacing w:after="240"/>
        <w:rPr>
          <w:rFonts w:ascii="Century Gothic" w:hAnsi="Century Gothic"/>
          <w:sz w:val="20"/>
          <w:szCs w:val="20"/>
        </w:rPr>
      </w:pPr>
      <w:r w:rsidRPr="002E048C">
        <w:rPr>
          <w:rFonts w:ascii="Century Gothic" w:hAnsi="Century Gothic"/>
          <w:sz w:val="20"/>
          <w:szCs w:val="20"/>
        </w:rPr>
        <w:t xml:space="preserve">The management of Commonwealth environmental water relies on considerable advice and assistance from local organisations, state governments and others. Individuals and groups within the Murray-Darling Basin community are encouraged to submit suggestions for the management of Commonwealth environmental water. Please contact the Office via: </w:t>
      </w:r>
      <w:hyperlink r:id="rId19" w:history="1">
        <w:r w:rsidRPr="002E048C">
          <w:rPr>
            <w:rStyle w:val="Hyperlink"/>
            <w:rFonts w:ascii="Century Gothic" w:hAnsi="Century Gothic"/>
            <w:sz w:val="20"/>
            <w:szCs w:val="20"/>
          </w:rPr>
          <w:t>ewater@environment.gov.au</w:t>
        </w:r>
      </w:hyperlink>
      <w:r w:rsidRPr="002E048C">
        <w:rPr>
          <w:rFonts w:ascii="Century Gothic" w:hAnsi="Century Gothic"/>
          <w:sz w:val="20"/>
          <w:szCs w:val="20"/>
        </w:rPr>
        <w:t>.</w:t>
      </w:r>
    </w:p>
    <w:p w:rsidR="00060C7A" w:rsidRPr="008D2B6B" w:rsidRDefault="00060C7A" w:rsidP="00060C7A">
      <w:pPr>
        <w:pStyle w:val="NormalWeb"/>
        <w:spacing w:before="0" w:beforeAutospacing="0" w:after="120" w:afterAutospacing="0"/>
        <w:jc w:val="left"/>
        <w:textAlignment w:val="baseline"/>
        <w:rPr>
          <w:rFonts w:ascii="Century Gothic" w:hAnsi="Century Gothic"/>
          <w:color w:val="FF0000"/>
          <w:sz w:val="19"/>
          <w:szCs w:val="19"/>
          <w:lang w:val="en-AU"/>
        </w:rPr>
        <w:sectPr w:rsidR="00060C7A" w:rsidRPr="008D2B6B" w:rsidSect="00FB4BEB">
          <w:pgSz w:w="11906" w:h="16838"/>
          <w:pgMar w:top="709" w:right="849" w:bottom="567" w:left="851" w:header="708" w:footer="0" w:gutter="0"/>
          <w:cols w:space="708"/>
          <w:titlePg/>
          <w:docGrid w:linePitch="360"/>
        </w:sectPr>
      </w:pPr>
    </w:p>
    <w:p w:rsidR="00060C7A" w:rsidRPr="008D2B6B" w:rsidRDefault="00060C7A" w:rsidP="00060C7A">
      <w:pPr>
        <w:rPr>
          <w:rFonts w:ascii="Century Gothic" w:hAnsi="Century Gothic"/>
          <w:b/>
          <w:sz w:val="20"/>
          <w:szCs w:val="20"/>
        </w:rPr>
      </w:pPr>
      <w:r w:rsidRPr="008D2B6B">
        <w:rPr>
          <w:rFonts w:ascii="Century Gothic" w:hAnsi="Century Gothic"/>
          <w:b/>
          <w:sz w:val="20"/>
          <w:szCs w:val="20"/>
        </w:rPr>
        <w:lastRenderedPageBreak/>
        <w:t xml:space="preserve">Table </w:t>
      </w:r>
      <w:r w:rsidR="00B64803" w:rsidRPr="008D2B6B">
        <w:rPr>
          <w:rFonts w:ascii="Century Gothic" w:hAnsi="Century Gothic"/>
          <w:b/>
          <w:sz w:val="20"/>
          <w:szCs w:val="20"/>
        </w:rPr>
        <w:fldChar w:fldCharType="begin"/>
      </w:r>
      <w:r w:rsidRPr="008D2B6B">
        <w:rPr>
          <w:rFonts w:ascii="Century Gothic" w:hAnsi="Century Gothic"/>
          <w:b/>
          <w:sz w:val="20"/>
          <w:szCs w:val="20"/>
        </w:rPr>
        <w:instrText xml:space="preserve"> SEQ Table \* ARABIC </w:instrText>
      </w:r>
      <w:r w:rsidR="00B64803" w:rsidRPr="008D2B6B">
        <w:rPr>
          <w:rFonts w:ascii="Century Gothic" w:hAnsi="Century Gothic"/>
          <w:b/>
          <w:sz w:val="20"/>
          <w:szCs w:val="20"/>
        </w:rPr>
        <w:fldChar w:fldCharType="separate"/>
      </w:r>
      <w:r w:rsidR="00E66785">
        <w:rPr>
          <w:rFonts w:ascii="Century Gothic" w:hAnsi="Century Gothic"/>
          <w:b/>
          <w:noProof/>
          <w:sz w:val="20"/>
          <w:szCs w:val="20"/>
        </w:rPr>
        <w:t>2</w:t>
      </w:r>
      <w:r w:rsidR="00B64803" w:rsidRPr="008D2B6B">
        <w:rPr>
          <w:rFonts w:ascii="Century Gothic" w:hAnsi="Century Gothic"/>
          <w:b/>
          <w:sz w:val="20"/>
          <w:szCs w:val="20"/>
        </w:rPr>
        <w:fldChar w:fldCharType="end"/>
      </w:r>
      <w:r w:rsidRPr="008D2B6B">
        <w:rPr>
          <w:rFonts w:ascii="Century Gothic" w:hAnsi="Century Gothic"/>
          <w:b/>
          <w:sz w:val="20"/>
          <w:szCs w:val="20"/>
        </w:rPr>
        <w:t>a</w:t>
      </w:r>
      <w:r w:rsidRPr="008D2B6B">
        <w:rPr>
          <w:rFonts w:ascii="Century Gothic" w:hAnsi="Century Gothic"/>
          <w:sz w:val="20"/>
          <w:szCs w:val="20"/>
        </w:rPr>
        <w:t xml:space="preserve">: Environmental demands, </w:t>
      </w:r>
      <w:r>
        <w:rPr>
          <w:rFonts w:ascii="Century Gothic" w:hAnsi="Century Gothic"/>
          <w:sz w:val="20"/>
          <w:szCs w:val="20"/>
        </w:rPr>
        <w:t xml:space="preserve">potential </w:t>
      </w:r>
      <w:r w:rsidRPr="008D2B6B">
        <w:rPr>
          <w:rFonts w:ascii="Century Gothic" w:hAnsi="Century Gothic"/>
          <w:sz w:val="20"/>
          <w:szCs w:val="20"/>
        </w:rPr>
        <w:t xml:space="preserve">in 2015–16 and outlook for coming years in the </w:t>
      </w:r>
      <w:r w:rsidRPr="008D2B6B">
        <w:rPr>
          <w:rFonts w:ascii="Century Gothic" w:hAnsi="Century Gothic"/>
          <w:color w:val="000000" w:themeColor="text1"/>
          <w:sz w:val="20"/>
          <w:szCs w:val="20"/>
        </w:rPr>
        <w:t xml:space="preserve">Lower </w:t>
      </w:r>
      <w:r>
        <w:rPr>
          <w:rFonts w:ascii="Century Gothic" w:hAnsi="Century Gothic"/>
          <w:color w:val="000000" w:themeColor="text1"/>
          <w:sz w:val="20"/>
          <w:szCs w:val="20"/>
        </w:rPr>
        <w:t>Murray–Darling</w:t>
      </w:r>
      <w:r w:rsidRPr="008D2B6B">
        <w:rPr>
          <w:rFonts w:ascii="Century Gothic" w:hAnsi="Century Gothic"/>
          <w:color w:val="000000" w:themeColor="text1"/>
          <w:sz w:val="20"/>
          <w:szCs w:val="20"/>
        </w:rPr>
        <w:t xml:space="preserve"> Region</w:t>
      </w:r>
      <w:r w:rsidRPr="008D2B6B">
        <w:rPr>
          <w:rFonts w:ascii="Century Gothic" w:hAnsi="Century Gothic"/>
          <w:sz w:val="20"/>
          <w:szCs w:val="20"/>
        </w:rPr>
        <w:t xml:space="preserve"> - </w:t>
      </w:r>
      <w:r w:rsidRPr="008D2B6B">
        <w:rPr>
          <w:rFonts w:ascii="Century Gothic" w:hAnsi="Century Gothic"/>
          <w:b/>
          <w:sz w:val="20"/>
          <w:szCs w:val="20"/>
          <w:u w:val="single"/>
        </w:rPr>
        <w:t>MODERATE</w:t>
      </w:r>
      <w:r w:rsidRPr="008D2B6B">
        <w:rPr>
          <w:rFonts w:ascii="Century Gothic" w:hAnsi="Century Gothic"/>
          <w:b/>
          <w:sz w:val="20"/>
          <w:szCs w:val="20"/>
        </w:rPr>
        <w:t xml:space="preserve"> WATER RESOURCE AVAILABILITY IN 2015–16</w:t>
      </w:r>
    </w:p>
    <w:tbl>
      <w:tblPr>
        <w:tblStyle w:val="TableGrid"/>
        <w:tblW w:w="0" w:type="auto"/>
        <w:tblLayout w:type="fixed"/>
        <w:tblLook w:val="04A0"/>
      </w:tblPr>
      <w:tblGrid>
        <w:gridCol w:w="1526"/>
        <w:gridCol w:w="3118"/>
        <w:gridCol w:w="1276"/>
        <w:gridCol w:w="1134"/>
        <w:gridCol w:w="992"/>
        <w:gridCol w:w="992"/>
        <w:gridCol w:w="2859"/>
        <w:gridCol w:w="1352"/>
        <w:gridCol w:w="2605"/>
        <w:gridCol w:w="2283"/>
        <w:gridCol w:w="975"/>
        <w:gridCol w:w="2117"/>
      </w:tblGrid>
      <w:tr w:rsidR="00060C7A" w:rsidRPr="008D2B6B" w:rsidTr="00EA1768">
        <w:tc>
          <w:tcPr>
            <w:tcW w:w="1526" w:type="dxa"/>
            <w:vMerge w:val="restart"/>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Environmental assets</w:t>
            </w:r>
          </w:p>
        </w:tc>
        <w:tc>
          <w:tcPr>
            <w:tcW w:w="4394" w:type="dxa"/>
            <w:gridSpan w:val="2"/>
            <w:vMerge w:val="restart"/>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 xml:space="preserve">Indicative demand (for </w:t>
            </w:r>
            <w:r w:rsidRPr="008D2B6B">
              <w:rPr>
                <w:rFonts w:ascii="Century Gothic" w:hAnsi="Century Gothic"/>
                <w:b/>
                <w:bCs/>
                <w:color w:val="000000"/>
                <w:sz w:val="16"/>
                <w:szCs w:val="16"/>
                <w:u w:val="single"/>
              </w:rPr>
              <w:t>all sources of water</w:t>
            </w:r>
            <w:r w:rsidRPr="008D2B6B">
              <w:rPr>
                <w:rFonts w:ascii="Century Gothic" w:hAnsi="Century Gothic"/>
                <w:b/>
                <w:bCs/>
                <w:color w:val="000000"/>
                <w:sz w:val="16"/>
                <w:szCs w:val="16"/>
              </w:rPr>
              <w:t xml:space="preserve"> in the system)</w:t>
            </w:r>
          </w:p>
        </w:tc>
        <w:tc>
          <w:tcPr>
            <w:tcW w:w="3118" w:type="dxa"/>
            <w:gridSpan w:val="3"/>
            <w:vMerge w:val="restart"/>
            <w:tcBorders>
              <w:right w:val="single" w:sz="18" w:space="0" w:color="auto"/>
            </w:tcBorders>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Watering history</w:t>
            </w:r>
          </w:p>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(from all sources of water)</w:t>
            </w:r>
          </w:p>
        </w:tc>
        <w:tc>
          <w:tcPr>
            <w:tcW w:w="6816" w:type="dxa"/>
            <w:gridSpan w:val="3"/>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2015</w:t>
            </w:r>
            <w:r>
              <w:rPr>
                <w:rFonts w:ascii="Century Gothic" w:hAnsi="Century Gothic"/>
                <w:b/>
                <w:bCs/>
                <w:color w:val="000000"/>
                <w:sz w:val="16"/>
                <w:szCs w:val="16"/>
              </w:rPr>
              <w:t>–</w:t>
            </w:r>
            <w:r w:rsidRPr="008D2B6B">
              <w:rPr>
                <w:rFonts w:ascii="Century Gothic" w:hAnsi="Century Gothic"/>
                <w:b/>
                <w:bCs/>
                <w:color w:val="000000"/>
                <w:sz w:val="16"/>
                <w:szCs w:val="16"/>
              </w:rPr>
              <w:t>16</w:t>
            </w:r>
          </w:p>
        </w:tc>
        <w:tc>
          <w:tcPr>
            <w:tcW w:w="5375" w:type="dxa"/>
            <w:gridSpan w:val="3"/>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Implications for future demands</w:t>
            </w:r>
          </w:p>
        </w:tc>
      </w:tr>
      <w:tr w:rsidR="00060C7A" w:rsidRPr="008D2B6B" w:rsidTr="00EA1768">
        <w:trPr>
          <w:trHeight w:val="327"/>
        </w:trPr>
        <w:tc>
          <w:tcPr>
            <w:tcW w:w="1526" w:type="dxa"/>
            <w:vMerge/>
          </w:tcPr>
          <w:p w:rsidR="00060C7A" w:rsidRPr="008D2B6B" w:rsidRDefault="00060C7A" w:rsidP="00EA1768">
            <w:pPr>
              <w:spacing w:before="20"/>
              <w:rPr>
                <w:rFonts w:ascii="Century Gothic" w:hAnsi="Century Gothic"/>
                <w:b/>
                <w:bCs/>
                <w:color w:val="000000"/>
                <w:sz w:val="16"/>
                <w:szCs w:val="16"/>
              </w:rPr>
            </w:pPr>
          </w:p>
        </w:tc>
        <w:tc>
          <w:tcPr>
            <w:tcW w:w="4394" w:type="dxa"/>
            <w:gridSpan w:val="2"/>
            <w:vMerge/>
          </w:tcPr>
          <w:p w:rsidR="00060C7A" w:rsidRPr="008D2B6B" w:rsidRDefault="00060C7A" w:rsidP="00EA1768">
            <w:pPr>
              <w:spacing w:before="20"/>
              <w:rPr>
                <w:rFonts w:ascii="Century Gothic" w:hAnsi="Century Gothic"/>
                <w:b/>
                <w:bCs/>
                <w:color w:val="000000"/>
                <w:sz w:val="16"/>
                <w:szCs w:val="16"/>
              </w:rPr>
            </w:pPr>
          </w:p>
        </w:tc>
        <w:tc>
          <w:tcPr>
            <w:tcW w:w="3118" w:type="dxa"/>
            <w:gridSpan w:val="3"/>
            <w:vMerge/>
            <w:tcBorders>
              <w:right w:val="single" w:sz="18" w:space="0" w:color="auto"/>
            </w:tcBorders>
          </w:tcPr>
          <w:p w:rsidR="00060C7A" w:rsidRPr="008D2B6B" w:rsidRDefault="00060C7A" w:rsidP="00EA1768">
            <w:pPr>
              <w:spacing w:before="20"/>
              <w:rPr>
                <w:rFonts w:ascii="Century Gothic" w:hAnsi="Century Gothic"/>
                <w:sz w:val="16"/>
                <w:szCs w:val="16"/>
              </w:rPr>
            </w:pPr>
          </w:p>
        </w:tc>
        <w:tc>
          <w:tcPr>
            <w:tcW w:w="2859" w:type="dxa"/>
            <w:vMerge w:val="restart"/>
            <w:tcBorders>
              <w:lef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Predominant urgency of environmental demand for water</w:t>
            </w:r>
          </w:p>
        </w:tc>
        <w:tc>
          <w:tcPr>
            <w:tcW w:w="1352" w:type="dxa"/>
            <w:vMerge w:val="restart"/>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 xml:space="preserve">Purpose under </w:t>
            </w:r>
            <w:r w:rsidRPr="008D2B6B">
              <w:rPr>
                <w:rFonts w:ascii="Century Gothic" w:hAnsi="Century Gothic"/>
                <w:b/>
                <w:bCs/>
                <w:color w:val="000000"/>
                <w:sz w:val="16"/>
                <w:szCs w:val="16"/>
                <w:u w:val="single"/>
              </w:rPr>
              <w:t xml:space="preserve">moderate </w:t>
            </w:r>
            <w:r w:rsidRPr="008D2B6B">
              <w:rPr>
                <w:rFonts w:ascii="Century Gothic" w:hAnsi="Century Gothic"/>
                <w:b/>
                <w:bCs/>
                <w:color w:val="000000"/>
                <w:sz w:val="16"/>
                <w:szCs w:val="16"/>
              </w:rPr>
              <w:t>resource availability</w:t>
            </w:r>
          </w:p>
        </w:tc>
        <w:tc>
          <w:tcPr>
            <w:tcW w:w="2605" w:type="dxa"/>
            <w:vMerge w:val="restart"/>
            <w:tcBorders>
              <w:right w:val="single" w:sz="18" w:space="0" w:color="auto"/>
            </w:tcBorders>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Potential Commonwealth environmental water contribution?</w:t>
            </w:r>
          </w:p>
        </w:tc>
        <w:tc>
          <w:tcPr>
            <w:tcW w:w="2283" w:type="dxa"/>
            <w:vMerge w:val="restart"/>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sz w:val="16"/>
                <w:szCs w:val="16"/>
              </w:rPr>
            </w:pPr>
            <w:r>
              <w:rPr>
                <w:rFonts w:ascii="Century Gothic" w:hAnsi="Century Gothic"/>
                <w:b/>
                <w:bCs/>
                <w:color w:val="000000"/>
                <w:sz w:val="18"/>
                <w:szCs w:val="18"/>
              </w:rPr>
              <w:t>Likely urgency of demand in 2016–17 if watering occurred as planned in 2015-16</w:t>
            </w:r>
          </w:p>
        </w:tc>
        <w:tc>
          <w:tcPr>
            <w:tcW w:w="975" w:type="dxa"/>
            <w:vMerge w:val="restart"/>
            <w:tcBorders>
              <w:left w:val="single" w:sz="18" w:space="0" w:color="auto"/>
              <w:bottom w:val="nil"/>
              <w:right w:val="nil"/>
            </w:tcBorders>
          </w:tcPr>
          <w:p w:rsidR="00060C7A" w:rsidRPr="008D2B6B" w:rsidRDefault="00060C7A" w:rsidP="00EA1768">
            <w:pPr>
              <w:spacing w:before="20"/>
              <w:rPr>
                <w:rFonts w:ascii="Century Gothic" w:hAnsi="Century Gothic"/>
                <w:b/>
                <w:sz w:val="16"/>
                <w:szCs w:val="16"/>
              </w:rPr>
            </w:pPr>
            <w:r w:rsidRPr="008D2B6B">
              <w:rPr>
                <w:rFonts w:ascii="Century Gothic" w:hAnsi="Century Gothic"/>
                <w:b/>
                <w:sz w:val="16"/>
                <w:szCs w:val="16"/>
              </w:rPr>
              <w:t>2017–18</w:t>
            </w:r>
          </w:p>
          <w:p w:rsidR="00060C7A" w:rsidRPr="008D2B6B" w:rsidRDefault="00060C7A" w:rsidP="00EA1768">
            <w:pPr>
              <w:spacing w:before="20"/>
              <w:rPr>
                <w:rFonts w:ascii="Century Gothic" w:hAnsi="Century Gothic"/>
                <w:b/>
                <w:sz w:val="16"/>
                <w:szCs w:val="16"/>
              </w:rPr>
            </w:pPr>
            <w:r w:rsidRPr="008D2B6B">
              <w:rPr>
                <w:rFonts w:ascii="Century Gothic" w:hAnsi="Century Gothic"/>
                <w:b/>
                <w:sz w:val="16"/>
                <w:szCs w:val="16"/>
              </w:rPr>
              <w:t xml:space="preserve">Range of likely demand </w:t>
            </w:r>
          </w:p>
        </w:tc>
        <w:tc>
          <w:tcPr>
            <w:tcW w:w="2117" w:type="dxa"/>
            <w:vMerge w:val="restart"/>
            <w:tcBorders>
              <w:left w:val="nil"/>
              <w:right w:val="single" w:sz="18" w:space="0" w:color="auto"/>
            </w:tcBorders>
          </w:tcPr>
          <w:p w:rsidR="00060C7A" w:rsidRPr="008D2B6B" w:rsidRDefault="00060C7A" w:rsidP="00EA1768">
            <w:pPr>
              <w:spacing w:before="20"/>
              <w:rPr>
                <w:rFonts w:ascii="Century Gothic" w:hAnsi="Century Gothic"/>
                <w:b/>
                <w:sz w:val="16"/>
                <w:szCs w:val="16"/>
              </w:rPr>
            </w:pPr>
            <w:r w:rsidRPr="008D2B6B">
              <w:rPr>
                <w:rFonts w:ascii="Century Gothic" w:hAnsi="Century Gothic"/>
                <w:sz w:val="16"/>
                <w:szCs w:val="16"/>
              </w:rPr>
              <w:t>Met in 2016–17</w:t>
            </w:r>
          </w:p>
        </w:tc>
      </w:tr>
      <w:tr w:rsidR="00060C7A" w:rsidRPr="008D2B6B" w:rsidTr="00EA1768">
        <w:trPr>
          <w:trHeight w:val="134"/>
        </w:trPr>
        <w:tc>
          <w:tcPr>
            <w:tcW w:w="1526" w:type="dxa"/>
            <w:vMerge/>
          </w:tcPr>
          <w:p w:rsidR="00060C7A" w:rsidRPr="008D2B6B" w:rsidRDefault="00060C7A" w:rsidP="00EA1768">
            <w:pPr>
              <w:spacing w:before="20"/>
              <w:rPr>
                <w:rFonts w:ascii="Century Gothic" w:hAnsi="Century Gothic"/>
                <w:sz w:val="16"/>
                <w:szCs w:val="16"/>
              </w:rPr>
            </w:pPr>
          </w:p>
        </w:tc>
        <w:tc>
          <w:tcPr>
            <w:tcW w:w="3118" w:type="dxa"/>
            <w:vMerge w:val="restart"/>
          </w:tcPr>
          <w:p w:rsidR="00060C7A" w:rsidRPr="008D2B6B" w:rsidRDefault="00060C7A" w:rsidP="00EA1768">
            <w:pPr>
              <w:spacing w:before="20"/>
              <w:rPr>
                <w:rFonts w:ascii="Century Gothic" w:hAnsi="Century Gothic"/>
                <w:b/>
                <w:bCs/>
                <w:color w:val="000000"/>
                <w:sz w:val="16"/>
                <w:szCs w:val="16"/>
              </w:rPr>
            </w:pPr>
            <w:r>
              <w:rPr>
                <w:rFonts w:ascii="Century Gothic" w:hAnsi="Century Gothic"/>
                <w:b/>
                <w:bCs/>
                <w:color w:val="000000"/>
                <w:sz w:val="16"/>
                <w:szCs w:val="16"/>
              </w:rPr>
              <w:t>Flow/volume</w:t>
            </w:r>
          </w:p>
        </w:tc>
        <w:tc>
          <w:tcPr>
            <w:tcW w:w="1276" w:type="dxa"/>
            <w:vMerge w:val="restart"/>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Required frequency (maximum dry interval)</w:t>
            </w:r>
          </w:p>
        </w:tc>
        <w:tc>
          <w:tcPr>
            <w:tcW w:w="1134" w:type="dxa"/>
          </w:tcPr>
          <w:p w:rsidR="00060C7A" w:rsidRPr="008D2B6B" w:rsidRDefault="00060C7A" w:rsidP="00EA1768">
            <w:pPr>
              <w:spacing w:before="20"/>
              <w:jc w:val="center"/>
              <w:rPr>
                <w:rFonts w:ascii="Century Gothic" w:hAnsi="Century Gothic"/>
                <w:b/>
                <w:color w:val="000000"/>
                <w:sz w:val="16"/>
                <w:szCs w:val="16"/>
              </w:rPr>
            </w:pPr>
            <w:r w:rsidRPr="008D2B6B">
              <w:rPr>
                <w:rFonts w:ascii="Century Gothic" w:hAnsi="Century Gothic"/>
                <w:b/>
                <w:color w:val="000000"/>
                <w:sz w:val="16"/>
                <w:szCs w:val="16"/>
              </w:rPr>
              <w:t>2012–13</w:t>
            </w:r>
          </w:p>
        </w:tc>
        <w:tc>
          <w:tcPr>
            <w:tcW w:w="992" w:type="dxa"/>
          </w:tcPr>
          <w:p w:rsidR="00060C7A" w:rsidRPr="008D2B6B" w:rsidRDefault="00060C7A" w:rsidP="00EA1768">
            <w:pPr>
              <w:spacing w:before="20"/>
              <w:rPr>
                <w:rFonts w:ascii="Century Gothic" w:hAnsi="Century Gothic"/>
                <w:b/>
                <w:color w:val="000000"/>
                <w:sz w:val="16"/>
                <w:szCs w:val="16"/>
              </w:rPr>
            </w:pPr>
            <w:r w:rsidRPr="008D2B6B">
              <w:rPr>
                <w:rFonts w:ascii="Century Gothic" w:hAnsi="Century Gothic"/>
                <w:b/>
                <w:color w:val="000000"/>
                <w:sz w:val="16"/>
                <w:szCs w:val="16"/>
              </w:rPr>
              <w:t>2013–14</w:t>
            </w:r>
          </w:p>
        </w:tc>
        <w:tc>
          <w:tcPr>
            <w:tcW w:w="992" w:type="dxa"/>
            <w:tcBorders>
              <w:right w:val="single" w:sz="18" w:space="0" w:color="auto"/>
            </w:tcBorders>
          </w:tcPr>
          <w:p w:rsidR="00060C7A" w:rsidRPr="008D2B6B" w:rsidRDefault="00060C7A" w:rsidP="00EA1768">
            <w:pPr>
              <w:spacing w:before="20"/>
              <w:rPr>
                <w:rFonts w:ascii="Century Gothic" w:hAnsi="Century Gothic"/>
                <w:b/>
                <w:color w:val="000000"/>
                <w:sz w:val="16"/>
                <w:szCs w:val="16"/>
              </w:rPr>
            </w:pPr>
            <w:r w:rsidRPr="008D2B6B">
              <w:rPr>
                <w:rFonts w:ascii="Century Gothic" w:hAnsi="Century Gothic"/>
                <w:b/>
                <w:color w:val="000000"/>
                <w:sz w:val="16"/>
                <w:szCs w:val="16"/>
              </w:rPr>
              <w:t>2014–15</w:t>
            </w:r>
          </w:p>
        </w:tc>
        <w:tc>
          <w:tcPr>
            <w:tcW w:w="2859" w:type="dxa"/>
            <w:vMerge/>
            <w:tcBorders>
              <w:lef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1352" w:type="dxa"/>
            <w:vMerge/>
            <w:vAlign w:val="center"/>
          </w:tcPr>
          <w:p w:rsidR="00060C7A" w:rsidRPr="008D2B6B" w:rsidRDefault="00060C7A" w:rsidP="00EA1768">
            <w:pPr>
              <w:spacing w:before="20"/>
              <w:rPr>
                <w:rFonts w:ascii="Century Gothic" w:hAnsi="Century Gothic"/>
                <w:b/>
                <w:bCs/>
                <w:color w:val="000000"/>
                <w:sz w:val="16"/>
                <w:szCs w:val="16"/>
              </w:rPr>
            </w:pPr>
          </w:p>
        </w:tc>
        <w:tc>
          <w:tcPr>
            <w:tcW w:w="2605" w:type="dxa"/>
            <w:vMerge/>
            <w:tcBorders>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283" w:type="dxa"/>
            <w:vMerge/>
            <w:tcBorders>
              <w:left w:val="single" w:sz="18" w:space="0" w:color="auto"/>
              <w:right w:val="single" w:sz="18" w:space="0" w:color="auto"/>
            </w:tcBorders>
          </w:tcPr>
          <w:p w:rsidR="00060C7A" w:rsidRPr="008D2B6B" w:rsidRDefault="00060C7A" w:rsidP="00EA1768">
            <w:pPr>
              <w:spacing w:before="20"/>
              <w:rPr>
                <w:rFonts w:ascii="Century Gothic" w:hAnsi="Century Gothic"/>
                <w:b/>
                <w:bCs/>
                <w:color w:val="000000"/>
                <w:sz w:val="16"/>
                <w:szCs w:val="16"/>
              </w:rPr>
            </w:pPr>
          </w:p>
        </w:tc>
        <w:tc>
          <w:tcPr>
            <w:tcW w:w="975" w:type="dxa"/>
            <w:vMerge/>
            <w:tcBorders>
              <w:left w:val="single" w:sz="18" w:space="0" w:color="auto"/>
              <w:bottom w:val="nil"/>
              <w:right w:val="nil"/>
            </w:tcBorders>
          </w:tcPr>
          <w:p w:rsidR="00060C7A" w:rsidRPr="008D2B6B" w:rsidRDefault="00060C7A" w:rsidP="00EA1768">
            <w:pPr>
              <w:spacing w:before="20"/>
              <w:rPr>
                <w:rFonts w:ascii="Century Gothic" w:hAnsi="Century Gothic"/>
                <w:sz w:val="16"/>
                <w:szCs w:val="16"/>
              </w:rPr>
            </w:pPr>
          </w:p>
        </w:tc>
        <w:tc>
          <w:tcPr>
            <w:tcW w:w="2117" w:type="dxa"/>
            <w:vMerge/>
            <w:tcBorders>
              <w:left w:val="nil"/>
              <w:right w:val="single" w:sz="18" w:space="0" w:color="auto"/>
            </w:tcBorders>
          </w:tcPr>
          <w:p w:rsidR="00060C7A" w:rsidRPr="008D2B6B" w:rsidRDefault="00060C7A" w:rsidP="00EA1768">
            <w:pPr>
              <w:spacing w:before="20"/>
              <w:rPr>
                <w:rFonts w:ascii="Century Gothic" w:hAnsi="Century Gothic"/>
                <w:sz w:val="16"/>
                <w:szCs w:val="16"/>
              </w:rPr>
            </w:pPr>
          </w:p>
        </w:tc>
      </w:tr>
      <w:tr w:rsidR="00060C7A" w:rsidRPr="008D2B6B" w:rsidTr="00EA1768">
        <w:trPr>
          <w:trHeight w:val="310"/>
        </w:trPr>
        <w:tc>
          <w:tcPr>
            <w:tcW w:w="1526" w:type="dxa"/>
            <w:vMerge/>
            <w:tcBorders>
              <w:bottom w:val="single" w:sz="18" w:space="0" w:color="auto"/>
            </w:tcBorders>
          </w:tcPr>
          <w:p w:rsidR="00060C7A" w:rsidRPr="008D2B6B" w:rsidRDefault="00060C7A" w:rsidP="00EA1768">
            <w:pPr>
              <w:spacing w:before="20"/>
              <w:rPr>
                <w:rFonts w:ascii="Century Gothic" w:hAnsi="Century Gothic"/>
                <w:sz w:val="16"/>
                <w:szCs w:val="16"/>
              </w:rPr>
            </w:pPr>
          </w:p>
        </w:tc>
        <w:tc>
          <w:tcPr>
            <w:tcW w:w="3118" w:type="dxa"/>
            <w:vMerge/>
            <w:tcBorders>
              <w:bottom w:val="single" w:sz="18" w:space="0" w:color="auto"/>
            </w:tcBorders>
          </w:tcPr>
          <w:p w:rsidR="00060C7A" w:rsidRPr="008D2B6B" w:rsidRDefault="00060C7A" w:rsidP="00EA1768">
            <w:pPr>
              <w:spacing w:before="20"/>
              <w:rPr>
                <w:rFonts w:ascii="Century Gothic" w:hAnsi="Century Gothic"/>
                <w:b/>
                <w:bCs/>
                <w:color w:val="000000"/>
                <w:sz w:val="16"/>
                <w:szCs w:val="16"/>
              </w:rPr>
            </w:pPr>
          </w:p>
        </w:tc>
        <w:tc>
          <w:tcPr>
            <w:tcW w:w="1276" w:type="dxa"/>
            <w:vMerge/>
            <w:tcBorders>
              <w:bottom w:val="single" w:sz="18" w:space="0" w:color="auto"/>
            </w:tcBorders>
          </w:tcPr>
          <w:p w:rsidR="00060C7A" w:rsidRPr="008D2B6B" w:rsidRDefault="00060C7A" w:rsidP="00EA1768">
            <w:pPr>
              <w:spacing w:before="20"/>
              <w:rPr>
                <w:rFonts w:ascii="Century Gothic" w:hAnsi="Century Gothic"/>
                <w:b/>
                <w:bCs/>
                <w:color w:val="000000"/>
                <w:sz w:val="16"/>
                <w:szCs w:val="16"/>
              </w:rPr>
            </w:pPr>
          </w:p>
        </w:tc>
        <w:tc>
          <w:tcPr>
            <w:tcW w:w="1134" w:type="dxa"/>
            <w:tcBorders>
              <w:bottom w:val="single" w:sz="18" w:space="0" w:color="auto"/>
            </w:tcBorders>
          </w:tcPr>
          <w:p w:rsidR="00060C7A" w:rsidRPr="008D2B6B" w:rsidRDefault="00060C7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wet</w:t>
            </w:r>
          </w:p>
        </w:tc>
        <w:tc>
          <w:tcPr>
            <w:tcW w:w="992" w:type="dxa"/>
            <w:tcBorders>
              <w:bottom w:val="single" w:sz="18" w:space="0" w:color="auto"/>
            </w:tcBorders>
          </w:tcPr>
          <w:p w:rsidR="00060C7A" w:rsidRPr="008D2B6B" w:rsidRDefault="00060C7A" w:rsidP="00EA1768">
            <w:pPr>
              <w:spacing w:before="20"/>
              <w:ind w:right="-96"/>
              <w:rPr>
                <w:rFonts w:ascii="Century Gothic" w:hAnsi="Century Gothic"/>
                <w:color w:val="000000"/>
                <w:sz w:val="16"/>
                <w:szCs w:val="16"/>
              </w:rPr>
            </w:pPr>
            <w:r w:rsidRPr="008D2B6B">
              <w:rPr>
                <w:rFonts w:ascii="Century Gothic" w:hAnsi="Century Gothic"/>
                <w:color w:val="000000"/>
                <w:sz w:val="16"/>
                <w:szCs w:val="16"/>
              </w:rPr>
              <w:t>moderate</w:t>
            </w:r>
          </w:p>
        </w:tc>
        <w:tc>
          <w:tcPr>
            <w:tcW w:w="992" w:type="dxa"/>
            <w:tcBorders>
              <w:bottom w:val="single" w:sz="18" w:space="0" w:color="auto"/>
              <w:right w:val="single" w:sz="18" w:space="0" w:color="auto"/>
            </w:tcBorders>
          </w:tcPr>
          <w:p w:rsidR="00060C7A" w:rsidRPr="008D2B6B" w:rsidRDefault="00060C7A" w:rsidP="00EA1768">
            <w:pPr>
              <w:spacing w:before="20"/>
              <w:rPr>
                <w:rFonts w:ascii="Century Gothic" w:hAnsi="Century Gothic"/>
                <w:color w:val="000000"/>
                <w:sz w:val="16"/>
                <w:szCs w:val="16"/>
              </w:rPr>
            </w:pPr>
            <w:r w:rsidRPr="008D2B6B">
              <w:rPr>
                <w:rFonts w:ascii="Century Gothic" w:hAnsi="Century Gothic"/>
                <w:color w:val="000000"/>
                <w:sz w:val="16"/>
                <w:szCs w:val="16"/>
              </w:rPr>
              <w:t>drying</w:t>
            </w:r>
          </w:p>
        </w:tc>
        <w:tc>
          <w:tcPr>
            <w:tcW w:w="2859" w:type="dxa"/>
            <w:vMerge/>
            <w:tcBorders>
              <w:left w:val="single" w:sz="18" w:space="0" w:color="auto"/>
              <w:bottom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1352" w:type="dxa"/>
            <w:vMerge/>
            <w:tcBorders>
              <w:bottom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605" w:type="dxa"/>
            <w:vMerge/>
            <w:tcBorders>
              <w:bottom w:val="single" w:sz="18" w:space="0" w:color="auto"/>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283" w:type="dxa"/>
            <w:vMerge/>
            <w:tcBorders>
              <w:left w:val="single" w:sz="18" w:space="0" w:color="auto"/>
              <w:bottom w:val="single" w:sz="18" w:space="0" w:color="auto"/>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975" w:type="dxa"/>
            <w:vMerge/>
            <w:tcBorders>
              <w:left w:val="single" w:sz="18" w:space="0" w:color="auto"/>
              <w:bottom w:val="nil"/>
              <w:right w:val="nil"/>
            </w:tcBorders>
          </w:tcPr>
          <w:p w:rsidR="00060C7A" w:rsidRPr="008D2B6B" w:rsidRDefault="00060C7A" w:rsidP="00EA1768">
            <w:pPr>
              <w:spacing w:before="20"/>
              <w:rPr>
                <w:rFonts w:ascii="Century Gothic" w:hAnsi="Century Gothic"/>
                <w:sz w:val="16"/>
                <w:szCs w:val="16"/>
              </w:rPr>
            </w:pPr>
          </w:p>
        </w:tc>
        <w:tc>
          <w:tcPr>
            <w:tcW w:w="2117" w:type="dxa"/>
            <w:tcBorders>
              <w:left w:val="nil"/>
              <w:bottom w:val="single" w:sz="18" w:space="0" w:color="auto"/>
              <w:right w:val="single" w:sz="18" w:space="0" w:color="auto"/>
            </w:tcBorders>
          </w:tcPr>
          <w:p w:rsidR="00060C7A" w:rsidRPr="008D2B6B" w:rsidRDefault="00060C7A" w:rsidP="00EA1768">
            <w:pPr>
              <w:spacing w:before="20"/>
              <w:rPr>
                <w:rFonts w:ascii="Century Gothic" w:hAnsi="Century Gothic"/>
                <w:sz w:val="16"/>
                <w:szCs w:val="16"/>
              </w:rPr>
            </w:pPr>
            <w:r w:rsidRPr="008D2B6B">
              <w:rPr>
                <w:rFonts w:ascii="Century Gothic" w:hAnsi="Century Gothic"/>
                <w:sz w:val="16"/>
                <w:szCs w:val="16"/>
              </w:rPr>
              <w:t>Not met in 2016–17</w:t>
            </w:r>
          </w:p>
        </w:tc>
      </w:tr>
      <w:tr w:rsidR="00060C7A" w:rsidRPr="008D2B6B" w:rsidTr="009535AA">
        <w:trPr>
          <w:trHeight w:val="426"/>
        </w:trPr>
        <w:tc>
          <w:tcPr>
            <w:tcW w:w="1526" w:type="dxa"/>
            <w:vMerge w:val="restart"/>
            <w:tcBorders>
              <w:top w:val="single" w:sz="18" w:space="0" w:color="auto"/>
            </w:tcBorders>
          </w:tcPr>
          <w:p w:rsidR="00060C7A" w:rsidRPr="008D2B6B" w:rsidRDefault="00060C7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Lower Darling River</w:t>
            </w:r>
            <w:r w:rsidRPr="008D2B6B">
              <w:rPr>
                <w:rFonts w:ascii="Century Gothic" w:hAnsi="Century Gothic"/>
                <w:b/>
                <w:color w:val="000000"/>
                <w:sz w:val="16"/>
                <w:szCs w:val="16"/>
                <w:vertAlign w:val="superscript"/>
              </w:rPr>
              <w:t>1</w:t>
            </w:r>
          </w:p>
        </w:tc>
        <w:tc>
          <w:tcPr>
            <w:tcW w:w="3118" w:type="dxa"/>
            <w:vMerge w:val="restart"/>
            <w:tcBorders>
              <w:top w:val="single" w:sz="18" w:space="0" w:color="auto"/>
            </w:tcBorders>
          </w:tcPr>
          <w:p w:rsidR="00060C7A" w:rsidRPr="008D2B6B" w:rsidRDefault="00060C7A" w:rsidP="00EA1768">
            <w:pPr>
              <w:spacing w:before="20"/>
              <w:rPr>
                <w:rFonts w:ascii="Century Gothic" w:hAnsi="Century Gothic"/>
                <w:color w:val="000000"/>
                <w:sz w:val="16"/>
                <w:szCs w:val="16"/>
              </w:rPr>
            </w:pPr>
            <w:r w:rsidRPr="008D2B6B">
              <w:rPr>
                <w:rFonts w:ascii="Century Gothic" w:hAnsi="Century Gothic"/>
                <w:color w:val="000000"/>
                <w:sz w:val="16"/>
                <w:szCs w:val="16"/>
              </w:rPr>
              <w:t>Smal</w:t>
            </w:r>
            <w:r>
              <w:rPr>
                <w:rFonts w:ascii="Century Gothic" w:hAnsi="Century Gothic"/>
                <w:color w:val="000000"/>
                <w:sz w:val="16"/>
                <w:szCs w:val="16"/>
              </w:rPr>
              <w:t>l to moderate river flow (7,000 </w:t>
            </w:r>
            <w:r w:rsidRPr="008D2B6B">
              <w:rPr>
                <w:rFonts w:ascii="Century Gothic" w:hAnsi="Century Gothic"/>
                <w:color w:val="000000"/>
                <w:sz w:val="16"/>
                <w:szCs w:val="16"/>
              </w:rPr>
              <w:t>ML/d</w:t>
            </w:r>
            <w:r>
              <w:rPr>
                <w:rFonts w:ascii="Century Gothic" w:hAnsi="Century Gothic"/>
                <w:color w:val="000000"/>
                <w:sz w:val="16"/>
                <w:szCs w:val="16"/>
              </w:rPr>
              <w:t>ay</w:t>
            </w:r>
            <w:r w:rsidRPr="008D2B6B">
              <w:rPr>
                <w:rFonts w:ascii="Century Gothic" w:hAnsi="Century Gothic"/>
                <w:color w:val="000000"/>
                <w:sz w:val="16"/>
                <w:szCs w:val="16"/>
              </w:rPr>
              <w:t xml:space="preserve"> @ Weir 32 for 10 days in summer)</w:t>
            </w:r>
          </w:p>
        </w:tc>
        <w:tc>
          <w:tcPr>
            <w:tcW w:w="1276" w:type="dxa"/>
            <w:vMerge w:val="restart"/>
            <w:tcBorders>
              <w:top w:val="single" w:sz="18" w:space="0" w:color="auto"/>
            </w:tcBorders>
          </w:tcPr>
          <w:p w:rsidR="00060C7A" w:rsidRPr="008D2B6B" w:rsidRDefault="00060C7A" w:rsidP="00EA1768">
            <w:pPr>
              <w:spacing w:before="20"/>
              <w:rPr>
                <w:rFonts w:ascii="Century Gothic" w:hAnsi="Century Gothic"/>
                <w:sz w:val="16"/>
                <w:szCs w:val="16"/>
              </w:rPr>
            </w:pPr>
            <w:r w:rsidRPr="008D2B6B">
              <w:rPr>
                <w:rFonts w:ascii="Century Gothic" w:hAnsi="Century Gothic"/>
                <w:sz w:val="16"/>
                <w:szCs w:val="16"/>
              </w:rPr>
              <w:t xml:space="preserve">1-2 in 5 years </w:t>
            </w:r>
            <w:r w:rsidRPr="00E826BD">
              <w:rPr>
                <w:rFonts w:ascii="Century Gothic" w:hAnsi="Century Gothic"/>
                <w:sz w:val="16"/>
                <w:szCs w:val="16"/>
              </w:rPr>
              <w:t>(max interval unknown)</w:t>
            </w:r>
            <w:r w:rsidRPr="008D2B6B">
              <w:rPr>
                <w:rFonts w:ascii="Century Gothic" w:hAnsi="Century Gothic"/>
                <w:sz w:val="16"/>
                <w:szCs w:val="16"/>
              </w:rPr>
              <w:t xml:space="preserve"> </w:t>
            </w:r>
          </w:p>
        </w:tc>
        <w:tc>
          <w:tcPr>
            <w:tcW w:w="1134" w:type="dxa"/>
            <w:vMerge w:val="restart"/>
            <w:tcBorders>
              <w:top w:val="single" w:sz="18" w:space="0" w:color="auto"/>
            </w:tcBorders>
            <w:shd w:val="clear" w:color="auto" w:fill="808080" w:themeFill="background1" w:themeFillShade="80"/>
          </w:tcPr>
          <w:p w:rsidR="00060C7A" w:rsidRPr="008D2B6B" w:rsidRDefault="00060C7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tcBorders>
            <w:shd w:val="clear" w:color="auto" w:fill="D9D9D9" w:themeFill="background1" w:themeFillShade="D9"/>
          </w:tcPr>
          <w:p w:rsidR="00060C7A" w:rsidRPr="008D2B6B" w:rsidRDefault="00060C7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060C7A" w:rsidRPr="008D2B6B" w:rsidRDefault="00060C7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060C7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060C7A" w:rsidRPr="008D2B6B" w:rsidRDefault="00060C7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060C7A" w:rsidRPr="008D2B6B" w:rsidRDefault="00060C7A" w:rsidP="00EA1768">
            <w:pPr>
              <w:spacing w:before="20"/>
              <w:jc w:val="center"/>
              <w:rPr>
                <w:rFonts w:ascii="Century Gothic" w:hAnsi="Century Gothic"/>
                <w:sz w:val="16"/>
                <w:szCs w:val="16"/>
              </w:rPr>
            </w:pPr>
            <w:r>
              <w:rPr>
                <w:rFonts w:ascii="Century Gothic" w:hAnsi="Century Gothic"/>
                <w:sz w:val="16"/>
                <w:szCs w:val="16"/>
              </w:rPr>
              <w:t>Unlikely to be feasible under moderate resource availability</w:t>
            </w:r>
          </w:p>
        </w:tc>
        <w:tc>
          <w:tcPr>
            <w:tcW w:w="2283" w:type="dxa"/>
            <w:vMerge w:val="restart"/>
            <w:tcBorders>
              <w:top w:val="single" w:sz="18" w:space="0" w:color="auto"/>
              <w:left w:val="single" w:sz="18" w:space="0" w:color="auto"/>
            </w:tcBorders>
            <w:shd w:val="clear" w:color="auto" w:fill="FF0000"/>
            <w:vAlign w:val="center"/>
          </w:tcPr>
          <w:p w:rsidR="00060C7A" w:rsidRPr="008D2B6B" w:rsidRDefault="00060C7A" w:rsidP="00EA1768">
            <w:pPr>
              <w:spacing w:before="20"/>
              <w:jc w:val="center"/>
              <w:rPr>
                <w:rFonts w:ascii="Century Gothic" w:hAnsi="Century Gothic"/>
                <w:color w:val="000000"/>
                <w:sz w:val="16"/>
                <w:szCs w:val="16"/>
              </w:rPr>
            </w:pPr>
            <w:r>
              <w:rPr>
                <w:rFonts w:ascii="Century Gothic" w:hAnsi="Century Gothic"/>
                <w:color w:val="000000"/>
                <w:sz w:val="16"/>
                <w:szCs w:val="16"/>
              </w:rPr>
              <w:t>High</w:t>
            </w:r>
          </w:p>
        </w:tc>
        <w:tc>
          <w:tcPr>
            <w:tcW w:w="3092" w:type="dxa"/>
            <w:gridSpan w:val="2"/>
            <w:tcBorders>
              <w:top w:val="single" w:sz="18" w:space="0" w:color="auto"/>
              <w:left w:val="single" w:sz="18" w:space="0" w:color="auto"/>
              <w:bottom w:val="nil"/>
              <w:right w:val="single" w:sz="18" w:space="0" w:color="auto"/>
            </w:tcBorders>
            <w:shd w:val="clear" w:color="auto" w:fill="FFC000"/>
            <w:vAlign w:val="center"/>
          </w:tcPr>
          <w:p w:rsidR="00060C7A" w:rsidRPr="008D2B6B" w:rsidRDefault="00060C7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060C7A" w:rsidRPr="008D2B6B" w:rsidTr="009535AA">
        <w:trPr>
          <w:trHeight w:val="416"/>
        </w:trPr>
        <w:tc>
          <w:tcPr>
            <w:tcW w:w="1526" w:type="dxa"/>
            <w:vMerge/>
          </w:tcPr>
          <w:p w:rsidR="00060C7A" w:rsidRPr="008D2B6B" w:rsidRDefault="00060C7A" w:rsidP="00EA1768">
            <w:pPr>
              <w:spacing w:before="20"/>
              <w:rPr>
                <w:rFonts w:ascii="Century Gothic" w:hAnsi="Century Gothic"/>
                <w:b/>
                <w:color w:val="000000"/>
                <w:sz w:val="16"/>
                <w:szCs w:val="16"/>
              </w:rPr>
            </w:pPr>
          </w:p>
        </w:tc>
        <w:tc>
          <w:tcPr>
            <w:tcW w:w="3118" w:type="dxa"/>
            <w:vMerge/>
          </w:tcPr>
          <w:p w:rsidR="00060C7A" w:rsidRPr="008D2B6B" w:rsidRDefault="00060C7A" w:rsidP="00EA1768">
            <w:pPr>
              <w:spacing w:before="20"/>
              <w:rPr>
                <w:rFonts w:ascii="Century Gothic" w:hAnsi="Century Gothic"/>
                <w:color w:val="000000"/>
                <w:sz w:val="16"/>
                <w:szCs w:val="16"/>
              </w:rPr>
            </w:pPr>
          </w:p>
        </w:tc>
        <w:tc>
          <w:tcPr>
            <w:tcW w:w="1276" w:type="dxa"/>
            <w:vMerge/>
          </w:tcPr>
          <w:p w:rsidR="00060C7A" w:rsidRPr="008D2B6B" w:rsidRDefault="00060C7A" w:rsidP="00EA1768">
            <w:pPr>
              <w:spacing w:before="20"/>
              <w:rPr>
                <w:rFonts w:ascii="Century Gothic" w:hAnsi="Century Gothic"/>
                <w:sz w:val="16"/>
                <w:szCs w:val="16"/>
              </w:rPr>
            </w:pPr>
          </w:p>
        </w:tc>
        <w:tc>
          <w:tcPr>
            <w:tcW w:w="1134" w:type="dxa"/>
            <w:vMerge/>
            <w:shd w:val="clear" w:color="auto" w:fill="808080" w:themeFill="background1" w:themeFillShade="80"/>
          </w:tcPr>
          <w:p w:rsidR="00060C7A" w:rsidRPr="008D2B6B" w:rsidRDefault="00060C7A" w:rsidP="00EA1768">
            <w:pPr>
              <w:spacing w:before="20"/>
              <w:rPr>
                <w:rFonts w:ascii="Century Gothic" w:hAnsi="Century Gothic"/>
                <w:color w:val="000000"/>
                <w:sz w:val="16"/>
                <w:szCs w:val="16"/>
              </w:rPr>
            </w:pPr>
          </w:p>
        </w:tc>
        <w:tc>
          <w:tcPr>
            <w:tcW w:w="992" w:type="dxa"/>
            <w:vMerge/>
            <w:shd w:val="clear" w:color="auto" w:fill="D9D9D9" w:themeFill="background1" w:themeFillShade="D9"/>
          </w:tcPr>
          <w:p w:rsidR="00060C7A" w:rsidRPr="008D2B6B" w:rsidRDefault="00060C7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060C7A" w:rsidRPr="008D2B6B" w:rsidRDefault="00060C7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060C7A" w:rsidRPr="008D2B6B" w:rsidRDefault="00060C7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060C7A" w:rsidRPr="008D2B6B" w:rsidRDefault="00060C7A" w:rsidP="00EA1768">
            <w:pPr>
              <w:spacing w:before="20"/>
              <w:jc w:val="center"/>
              <w:rPr>
                <w:rFonts w:ascii="Century Gothic" w:hAnsi="Century Gothic"/>
                <w:b/>
                <w:bCs/>
                <w:color w:val="E46D0A"/>
                <w:sz w:val="16"/>
                <w:szCs w:val="16"/>
              </w:rPr>
            </w:pPr>
          </w:p>
        </w:tc>
        <w:tc>
          <w:tcPr>
            <w:tcW w:w="2605" w:type="dxa"/>
            <w:vMerge/>
            <w:tcBorders>
              <w:left w:val="single" w:sz="18" w:space="0" w:color="auto"/>
              <w:right w:val="single" w:sz="18" w:space="0" w:color="auto"/>
            </w:tcBorders>
            <w:shd w:val="clear" w:color="auto" w:fill="auto"/>
          </w:tcPr>
          <w:p w:rsidR="00060C7A" w:rsidRPr="008D2B6B" w:rsidRDefault="00060C7A" w:rsidP="00EA1768">
            <w:pPr>
              <w:spacing w:before="20"/>
              <w:jc w:val="center"/>
              <w:rPr>
                <w:rFonts w:ascii="Century Gothic" w:hAnsi="Century Gothic"/>
                <w:sz w:val="16"/>
                <w:szCs w:val="16"/>
              </w:rPr>
            </w:pPr>
          </w:p>
        </w:tc>
        <w:tc>
          <w:tcPr>
            <w:tcW w:w="2283" w:type="dxa"/>
            <w:vMerge/>
            <w:tcBorders>
              <w:left w:val="single" w:sz="18" w:space="0" w:color="auto"/>
            </w:tcBorders>
            <w:shd w:val="clear" w:color="auto" w:fill="FF0000"/>
            <w:vAlign w:val="center"/>
          </w:tcPr>
          <w:p w:rsidR="00060C7A" w:rsidRPr="008D2B6B" w:rsidRDefault="00060C7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right w:val="single" w:sz="18" w:space="0" w:color="auto"/>
            </w:tcBorders>
            <w:shd w:val="clear" w:color="auto" w:fill="C00000"/>
            <w:vAlign w:val="center"/>
          </w:tcPr>
          <w:p w:rsidR="00060C7A" w:rsidRPr="008D2B6B" w:rsidRDefault="00060C7A" w:rsidP="00EA1768">
            <w:pPr>
              <w:spacing w:before="20"/>
              <w:jc w:val="center"/>
              <w:rPr>
                <w:rFonts w:ascii="Century Gothic" w:hAnsi="Century Gothic"/>
                <w:color w:val="000000"/>
                <w:sz w:val="16"/>
                <w:szCs w:val="16"/>
              </w:rPr>
            </w:pPr>
            <w:r>
              <w:rPr>
                <w:rFonts w:ascii="Century Gothic" w:hAnsi="Century Gothic"/>
                <w:color w:val="000000"/>
                <w:sz w:val="16"/>
                <w:szCs w:val="16"/>
              </w:rPr>
              <w:t>C</w:t>
            </w:r>
            <w:r w:rsidRPr="008D2B6B">
              <w:rPr>
                <w:rFonts w:ascii="Century Gothic" w:hAnsi="Century Gothic"/>
                <w:color w:val="000000"/>
                <w:sz w:val="16"/>
                <w:szCs w:val="16"/>
              </w:rPr>
              <w:t>ritical</w:t>
            </w:r>
          </w:p>
        </w:tc>
      </w:tr>
      <w:tr w:rsidR="009535AA" w:rsidRPr="008D2B6B" w:rsidTr="009535AA">
        <w:trPr>
          <w:trHeight w:val="415"/>
        </w:trPr>
        <w:tc>
          <w:tcPr>
            <w:tcW w:w="1526" w:type="dxa"/>
            <w:vMerge w:val="restart"/>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Great Darling Anabranch</w:t>
            </w:r>
            <w:r w:rsidRPr="008D2B6B">
              <w:rPr>
                <w:rFonts w:ascii="Century Gothic" w:hAnsi="Century Gothic"/>
                <w:b/>
                <w:color w:val="000000"/>
                <w:sz w:val="16"/>
                <w:szCs w:val="16"/>
                <w:vertAlign w:val="superscript"/>
              </w:rPr>
              <w:t>2</w:t>
            </w:r>
          </w:p>
        </w:tc>
        <w:tc>
          <w:tcPr>
            <w:tcW w:w="3118"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1,500-2,000 ML/d</w:t>
            </w:r>
            <w:r>
              <w:rPr>
                <w:rFonts w:ascii="Century Gothic" w:hAnsi="Century Gothic"/>
                <w:color w:val="000000"/>
                <w:sz w:val="16"/>
                <w:szCs w:val="16"/>
              </w:rPr>
              <w:t>ay</w:t>
            </w:r>
            <w:r w:rsidRPr="008D2B6B">
              <w:rPr>
                <w:rFonts w:ascii="Century Gothic" w:hAnsi="Century Gothic"/>
                <w:color w:val="000000"/>
                <w:sz w:val="16"/>
                <w:szCs w:val="16"/>
              </w:rPr>
              <w:t xml:space="preserve"> from Menindee Lakes for 30-45 days</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1 in 2 years </w:t>
            </w:r>
            <w:r w:rsidRPr="00E826BD">
              <w:rPr>
                <w:rFonts w:ascii="Century Gothic" w:hAnsi="Century Gothic"/>
                <w:color w:val="000000"/>
                <w:sz w:val="16"/>
                <w:szCs w:val="16"/>
              </w:rPr>
              <w:t>(max interval unknown)</w:t>
            </w:r>
          </w:p>
        </w:tc>
        <w:tc>
          <w:tcPr>
            <w:tcW w:w="1134" w:type="dxa"/>
            <w:vMerge w:val="restart"/>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r w:rsidRPr="008D2B6B">
              <w:rPr>
                <w:rFonts w:ascii="Century Gothic" w:hAnsi="Century Gothic"/>
                <w:b/>
                <w:bCs/>
                <w:color w:val="76923C" w:themeColor="accent3" w:themeShade="BF"/>
                <w:sz w:val="16"/>
                <w:szCs w:val="16"/>
              </w:rPr>
              <w:t>Maintain</w:t>
            </w:r>
          </w:p>
        </w:tc>
        <w:tc>
          <w:tcPr>
            <w:tcW w:w="2605" w:type="dxa"/>
            <w:vMerge/>
            <w:tcBorders>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val="restart"/>
            <w:tcBorders>
              <w:lef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High</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46"/>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9535AA">
        <w:trPr>
          <w:trHeight w:val="450"/>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River Murray from Euston to Lower Lakes, including pool level wetlands</w:t>
            </w:r>
            <w:r w:rsidRPr="008D2B6B">
              <w:rPr>
                <w:rFonts w:ascii="Century Gothic" w:hAnsi="Century Gothic"/>
                <w:b/>
                <w:color w:val="000000"/>
                <w:sz w:val="16"/>
                <w:szCs w:val="16"/>
                <w:vertAlign w:val="superscript"/>
              </w:rPr>
              <w:t>3</w:t>
            </w: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River flow of at least 10 </w:t>
            </w:r>
            <w:r w:rsidRPr="008D2B6B">
              <w:rPr>
                <w:rFonts w:ascii="Century Gothic" w:hAnsi="Century Gothic"/>
                <w:color w:val="000000"/>
                <w:sz w:val="16"/>
                <w:szCs w:val="16"/>
              </w:rPr>
              <w:t>000 ML/day @ SA border for up to 60 days in spring/summer</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sz w:val="16"/>
                <w:szCs w:val="16"/>
              </w:rPr>
            </w:pPr>
            <w:r w:rsidRPr="008D2B6B">
              <w:rPr>
                <w:rFonts w:ascii="Century Gothic" w:hAnsi="Century Gothic"/>
                <w:sz w:val="16"/>
                <w:szCs w:val="16"/>
              </w:rPr>
              <w:t>9 in 10 years (2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p w:rsidR="009535AA" w:rsidRPr="008D2B6B" w:rsidRDefault="009535AA" w:rsidP="00EA1768">
            <w:pPr>
              <w:spacing w:before="20"/>
              <w:rPr>
                <w:rFonts w:ascii="Century Gothic" w:hAnsi="Century Gothic"/>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sz w:val="16"/>
                <w:szCs w:val="16"/>
              </w:rPr>
            </w:pPr>
            <w:r>
              <w:rPr>
                <w:rFonts w:ascii="Century Gothic" w:hAnsi="Century Gothic"/>
                <w:color w:val="FFFFFF"/>
                <w:sz w:val="16"/>
                <w:szCs w:val="16"/>
              </w:rPr>
              <w:t>Likely</w:t>
            </w:r>
            <w:r w:rsidRPr="008D2B6B">
              <w:rPr>
                <w:rFonts w:ascii="Century Gothic" w:hAnsi="Century Gothic"/>
                <w:color w:val="FFFFFF"/>
                <w:sz w:val="16"/>
                <w:szCs w:val="16"/>
              </w:rPr>
              <w:t xml:space="preserve"> Commonwealth environmental water </w:t>
            </w:r>
            <w:r>
              <w:rPr>
                <w:rFonts w:ascii="Century Gothic" w:hAnsi="Century Gothic"/>
                <w:color w:val="FFFFFF"/>
                <w:sz w:val="16"/>
                <w:szCs w:val="16"/>
              </w:rPr>
              <w:t>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373"/>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9535AA">
        <w:trPr>
          <w:trHeight w:val="419"/>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River flow of 15</w:t>
            </w:r>
            <w:r>
              <w:rPr>
                <w:rFonts w:ascii="Century Gothic" w:hAnsi="Century Gothic"/>
                <w:color w:val="000000"/>
                <w:sz w:val="16"/>
                <w:szCs w:val="16"/>
              </w:rPr>
              <w:t xml:space="preserve"> 000</w:t>
            </w:r>
            <w:r w:rsidRPr="008D2B6B">
              <w:rPr>
                <w:rFonts w:ascii="Century Gothic" w:hAnsi="Century Gothic"/>
                <w:color w:val="000000"/>
                <w:sz w:val="16"/>
                <w:szCs w:val="16"/>
              </w:rPr>
              <w:t>-25</w:t>
            </w:r>
            <w:r>
              <w:rPr>
                <w:rFonts w:ascii="Century Gothic" w:hAnsi="Century Gothic"/>
                <w:color w:val="000000"/>
                <w:sz w:val="16"/>
                <w:szCs w:val="16"/>
              </w:rPr>
              <w:t xml:space="preserve"> </w:t>
            </w:r>
            <w:r w:rsidRPr="008D2B6B">
              <w:rPr>
                <w:rFonts w:ascii="Century Gothic" w:hAnsi="Century Gothic"/>
                <w:color w:val="000000"/>
                <w:sz w:val="16"/>
                <w:szCs w:val="16"/>
              </w:rPr>
              <w:t>000 ML/day @ SA border for up to 90 days in spring/summer</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2  in 3 years (2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E46D0A"/>
                <w:sz w:val="16"/>
                <w:szCs w:val="16"/>
              </w:rPr>
              <w:t>Protect</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3C03B0" w:rsidRDefault="009535AA" w:rsidP="00EA1768">
            <w:pPr>
              <w:spacing w:before="20"/>
              <w:jc w:val="center"/>
              <w:rPr>
                <w:rFonts w:ascii="Century Gothic" w:hAnsi="Century Gothic"/>
                <w:sz w:val="16"/>
                <w:szCs w:val="16"/>
              </w:rPr>
            </w:pPr>
            <w:r w:rsidRPr="003C03B0">
              <w:rPr>
                <w:rFonts w:ascii="Century Gothic" w:hAnsi="Century Gothic"/>
                <w:sz w:val="16"/>
                <w:szCs w:val="16"/>
              </w:rPr>
              <w:t>Po</w:t>
            </w:r>
            <w:r>
              <w:rPr>
                <w:rFonts w:ascii="Century Gothic" w:hAnsi="Century Gothic"/>
                <w:sz w:val="16"/>
                <w:szCs w:val="16"/>
              </w:rPr>
              <w:t>tential</w:t>
            </w:r>
            <w:r w:rsidRPr="003C03B0">
              <w:rPr>
                <w:rFonts w:ascii="Century Gothic" w:hAnsi="Century Gothic"/>
                <w:sz w:val="16"/>
                <w:szCs w:val="16"/>
              </w:rPr>
              <w:t xml:space="preserve">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nil"/>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257"/>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nil"/>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39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River flow of 25</w:t>
            </w:r>
            <w:r>
              <w:rPr>
                <w:rFonts w:ascii="Century Gothic" w:hAnsi="Century Gothic"/>
                <w:color w:val="000000"/>
                <w:sz w:val="16"/>
                <w:szCs w:val="16"/>
              </w:rPr>
              <w:t xml:space="preserve"> 000-35 </w:t>
            </w:r>
            <w:r w:rsidRPr="008D2B6B">
              <w:rPr>
                <w:rFonts w:ascii="Century Gothic" w:hAnsi="Century Gothic"/>
                <w:color w:val="000000"/>
                <w:sz w:val="16"/>
                <w:szCs w:val="16"/>
              </w:rPr>
              <w:t>000 ML/day @ SA border for up to 60 days in spring/summer</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2 years (3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E46D0A"/>
                <w:sz w:val="16"/>
                <w:szCs w:val="16"/>
              </w:rPr>
              <w:t>Protect</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r>
              <w:rPr>
                <w:rFonts w:ascii="Century Gothic" w:hAnsi="Century Gothic"/>
                <w:sz w:val="16"/>
                <w:szCs w:val="16"/>
              </w:rPr>
              <w:t>U</w:t>
            </w:r>
            <w:r w:rsidRPr="008D2B6B">
              <w:rPr>
                <w:rFonts w:ascii="Century Gothic" w:hAnsi="Century Gothic"/>
                <w:sz w:val="16"/>
                <w:szCs w:val="16"/>
              </w:rPr>
              <w:t xml:space="preserve">nlikely under ‘moderate’ </w:t>
            </w:r>
            <w:r>
              <w:rPr>
                <w:rFonts w:ascii="Century Gothic" w:hAnsi="Century Gothic"/>
                <w:sz w:val="16"/>
                <w:szCs w:val="16"/>
              </w:rPr>
              <w:t>resource availability</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nil"/>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383"/>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9535AA">
        <w:trPr>
          <w:trHeight w:val="685"/>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Hattah Lakes</w:t>
            </w:r>
            <w:r w:rsidRPr="008D2B6B">
              <w:rPr>
                <w:rFonts w:ascii="Century Gothic" w:hAnsi="Century Gothic"/>
                <w:b/>
                <w:color w:val="000000"/>
                <w:sz w:val="16"/>
                <w:szCs w:val="16"/>
                <w:vertAlign w:val="superscript"/>
              </w:rPr>
              <w:t>4</w:t>
            </w: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Small </w:t>
            </w:r>
            <w:r>
              <w:rPr>
                <w:rFonts w:ascii="Century Gothic" w:hAnsi="Century Gothic"/>
                <w:color w:val="000000"/>
                <w:sz w:val="16"/>
                <w:szCs w:val="16"/>
              </w:rPr>
              <w:t>action</w:t>
            </w:r>
            <w:r w:rsidRPr="008D2B6B">
              <w:rPr>
                <w:rFonts w:ascii="Century Gothic" w:hAnsi="Century Gothic"/>
                <w:color w:val="000000"/>
                <w:sz w:val="16"/>
                <w:szCs w:val="16"/>
              </w:rPr>
              <w:t xml:space="preserve"> targeting temporary wetlands (inundation to 42-43 m AHD in winter/spring) - up to 22</w:t>
            </w:r>
            <w:r>
              <w:rPr>
                <w:rFonts w:ascii="Century Gothic" w:hAnsi="Century Gothic"/>
                <w:color w:val="000000"/>
                <w:sz w:val="16"/>
                <w:szCs w:val="16"/>
              </w:rPr>
              <w:t xml:space="preserve"> </w:t>
            </w:r>
            <w:r w:rsidRPr="008D2B6B">
              <w:rPr>
                <w:rFonts w:ascii="Century Gothic" w:hAnsi="Century Gothic"/>
                <w:color w:val="000000"/>
                <w:sz w:val="16"/>
                <w:szCs w:val="16"/>
              </w:rPr>
              <w:t>000 ML via infrastructure, equiv</w:t>
            </w:r>
            <w:r>
              <w:rPr>
                <w:rFonts w:ascii="Century Gothic" w:hAnsi="Century Gothic"/>
                <w:color w:val="000000"/>
                <w:sz w:val="16"/>
                <w:szCs w:val="16"/>
              </w:rPr>
              <w:t xml:space="preserve">alent to natural event of 40-50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at Euston for 26-60 days</w:t>
            </w:r>
            <w:r w:rsidRPr="008D2B6B">
              <w:rPr>
                <w:rStyle w:val="FootnoteReference"/>
                <w:rFonts w:ascii="Century Gothic" w:hAnsi="Century Gothic"/>
                <w:color w:val="000000"/>
                <w:sz w:val="16"/>
                <w:szCs w:val="16"/>
              </w:rPr>
              <w:footnoteReference w:id="2"/>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1 in 2-3 years </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(4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Despite higher river flows, temporary levees prevented inundation</w:t>
            </w:r>
          </w:p>
        </w:tc>
        <w:tc>
          <w:tcPr>
            <w:tcW w:w="992"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jc w:val="center"/>
              <w:rPr>
                <w:rFonts w:ascii="Century Gothic" w:hAnsi="Century Gothic"/>
                <w:sz w:val="16"/>
                <w:szCs w:val="16"/>
              </w:rPr>
            </w:pPr>
            <w:r>
              <w:rPr>
                <w:rFonts w:ascii="Century Gothic" w:hAnsi="Century Gothic"/>
                <w:sz w:val="16"/>
                <w:szCs w:val="16"/>
              </w:rPr>
              <w:t xml:space="preserve"> If sufficient </w:t>
            </w:r>
            <w:r w:rsidRPr="008D2B6B">
              <w:rPr>
                <w:rFonts w:ascii="Century Gothic" w:hAnsi="Century Gothic"/>
                <w:sz w:val="16"/>
                <w:szCs w:val="16"/>
              </w:rPr>
              <w:t>C</w:t>
            </w:r>
            <w:r>
              <w:rPr>
                <w:rFonts w:ascii="Century Gothic" w:hAnsi="Century Gothic"/>
                <w:sz w:val="16"/>
                <w:szCs w:val="16"/>
              </w:rPr>
              <w:t xml:space="preserve">ommonwealth water </w:t>
            </w:r>
            <w:r w:rsidRPr="008D2B6B">
              <w:rPr>
                <w:rFonts w:ascii="Century Gothic" w:hAnsi="Century Gothic"/>
                <w:sz w:val="16"/>
                <w:szCs w:val="16"/>
              </w:rPr>
              <w:t xml:space="preserve">available and </w:t>
            </w:r>
            <w:r>
              <w:rPr>
                <w:rFonts w:ascii="Century Gothic" w:hAnsi="Century Gothic"/>
                <w:sz w:val="16"/>
                <w:szCs w:val="16"/>
              </w:rPr>
              <w:t xml:space="preserve">was </w:t>
            </w:r>
            <w:r w:rsidRPr="008D2B6B">
              <w:rPr>
                <w:rFonts w:ascii="Century Gothic" w:hAnsi="Century Gothic"/>
                <w:sz w:val="16"/>
                <w:szCs w:val="16"/>
              </w:rPr>
              <w:t xml:space="preserve">required, it may be used to contribute to a smaller scale </w:t>
            </w:r>
            <w:r>
              <w:rPr>
                <w:rFonts w:ascii="Century Gothic" w:hAnsi="Century Gothic"/>
                <w:sz w:val="16"/>
                <w:szCs w:val="16"/>
              </w:rPr>
              <w:t>action</w:t>
            </w:r>
            <w:r w:rsidRPr="008D2B6B">
              <w:rPr>
                <w:rFonts w:ascii="Century Gothic" w:hAnsi="Century Gothic"/>
                <w:sz w:val="16"/>
                <w:szCs w:val="16"/>
              </w:rPr>
              <w:t xml:space="preserve"> in 2015-16</w:t>
            </w:r>
            <w:r>
              <w:rPr>
                <w:rFonts w:ascii="Century Gothic" w:hAnsi="Century Gothic"/>
                <w:sz w:val="16"/>
                <w:szCs w:val="16"/>
              </w:rPr>
              <w:t>.</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668"/>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66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Moderate </w:t>
            </w:r>
            <w:r>
              <w:rPr>
                <w:rFonts w:ascii="Century Gothic" w:hAnsi="Century Gothic"/>
                <w:color w:val="000000"/>
                <w:sz w:val="16"/>
                <w:szCs w:val="16"/>
              </w:rPr>
              <w:t>action</w:t>
            </w:r>
            <w:r w:rsidRPr="008D2B6B">
              <w:rPr>
                <w:rFonts w:ascii="Century Gothic" w:hAnsi="Century Gothic"/>
                <w:color w:val="000000"/>
                <w:sz w:val="16"/>
                <w:szCs w:val="16"/>
              </w:rPr>
              <w:t xml:space="preserve"> targeting wetlands and fringing river red gums (inundation to 43.5 m AHD for 90 days in winter/spring) – up to 40</w:t>
            </w:r>
            <w:r>
              <w:rPr>
                <w:rFonts w:ascii="Century Gothic" w:hAnsi="Century Gothic"/>
                <w:color w:val="000000"/>
                <w:sz w:val="16"/>
                <w:szCs w:val="16"/>
              </w:rPr>
              <w:t xml:space="preserve"> </w:t>
            </w:r>
            <w:r w:rsidRPr="008D2B6B">
              <w:rPr>
                <w:rFonts w:ascii="Century Gothic" w:hAnsi="Century Gothic"/>
                <w:color w:val="000000"/>
                <w:sz w:val="16"/>
                <w:szCs w:val="16"/>
              </w:rPr>
              <w:t>000 ML via infrastructure, equivalent</w:t>
            </w:r>
            <w:r>
              <w:rPr>
                <w:rFonts w:ascii="Century Gothic" w:hAnsi="Century Gothic"/>
                <w:color w:val="000000"/>
                <w:sz w:val="16"/>
                <w:szCs w:val="16"/>
              </w:rPr>
              <w:t xml:space="preserve"> to natural event of 85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at Euston for 7 - 30 days. </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 (7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r>
              <w:rPr>
                <w:rFonts w:ascii="Century Gothic" w:hAnsi="Century Gothic"/>
                <w:sz w:val="16"/>
                <w:szCs w:val="16"/>
              </w:rPr>
              <w:t>Not targeted in 2015-16 because demands met</w:t>
            </w:r>
            <w:r w:rsidRPr="008D2B6B">
              <w:rPr>
                <w:rFonts w:ascii="Century Gothic" w:hAnsi="Century Gothic"/>
                <w:sz w:val="16"/>
                <w:szCs w:val="16"/>
              </w:rPr>
              <w:t xml:space="preserve"> in 2014-15</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663"/>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745"/>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Large </w:t>
            </w:r>
            <w:r>
              <w:rPr>
                <w:rFonts w:ascii="Century Gothic" w:hAnsi="Century Gothic"/>
                <w:color w:val="000000"/>
                <w:sz w:val="16"/>
                <w:szCs w:val="16"/>
              </w:rPr>
              <w:t>action</w:t>
            </w:r>
            <w:r w:rsidRPr="008D2B6B">
              <w:rPr>
                <w:rFonts w:ascii="Century Gothic" w:hAnsi="Century Gothic"/>
                <w:color w:val="000000"/>
                <w:sz w:val="16"/>
                <w:szCs w:val="16"/>
              </w:rPr>
              <w:t xml:space="preserve"> targeting wetlands and river red gum/black box woodlands on floodplain (inundation to </w:t>
            </w:r>
            <w:r>
              <w:rPr>
                <w:rFonts w:ascii="Century Gothic" w:hAnsi="Century Gothic"/>
                <w:color w:val="000000"/>
                <w:sz w:val="16"/>
                <w:szCs w:val="16"/>
              </w:rPr>
              <w:t xml:space="preserve">45 m AHD for 90 days), up to120 </w:t>
            </w:r>
            <w:r w:rsidRPr="008D2B6B">
              <w:rPr>
                <w:rFonts w:ascii="Century Gothic" w:hAnsi="Century Gothic"/>
                <w:color w:val="000000"/>
                <w:sz w:val="16"/>
                <w:szCs w:val="16"/>
              </w:rPr>
              <w:t>000 ML via infrastructure - equivalent to natural event of 150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Euston for 7 days anytime in the year. </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8 years (12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r>
              <w:rPr>
                <w:rFonts w:ascii="Century Gothic" w:hAnsi="Century Gothic"/>
                <w:sz w:val="16"/>
                <w:szCs w:val="16"/>
              </w:rPr>
              <w:t>Not targeted in 2015-16 because demands met</w:t>
            </w:r>
            <w:r w:rsidRPr="008D2B6B">
              <w:rPr>
                <w:rFonts w:ascii="Century Gothic" w:hAnsi="Century Gothic"/>
                <w:sz w:val="16"/>
                <w:szCs w:val="16"/>
              </w:rPr>
              <w:t xml:space="preserve"> in 2014-15</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568"/>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50"/>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sz w:val="16"/>
                <w:szCs w:val="16"/>
              </w:rPr>
              <w:t>Floodplain and wetlands from Euston to South Australian border</w:t>
            </w:r>
            <w:r w:rsidRPr="008D2B6B">
              <w:rPr>
                <w:rFonts w:ascii="Century Gothic" w:hAnsi="Century Gothic"/>
                <w:b/>
                <w:sz w:val="16"/>
                <w:szCs w:val="16"/>
                <w:vertAlign w:val="superscript"/>
              </w:rPr>
              <w:t>5</w:t>
            </w:r>
          </w:p>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30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for 30-60 days targeting low lying wetlands and anabranches,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2 in 5 years (4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color w:val="FFFFFF" w:themeColor="background1"/>
                <w:sz w:val="16"/>
                <w:szCs w:val="16"/>
              </w:rPr>
              <w:t xml:space="preserve">A high </w:t>
            </w:r>
            <w:r>
              <w:rPr>
                <w:rFonts w:ascii="Century Gothic" w:hAnsi="Century Gothic"/>
                <w:color w:val="FFFFFF" w:themeColor="background1"/>
                <w:sz w:val="16"/>
                <w:szCs w:val="16"/>
              </w:rPr>
              <w:t xml:space="preserve">potential </w:t>
            </w:r>
            <w:r w:rsidRPr="008D2B6B">
              <w:rPr>
                <w:rFonts w:ascii="Century Gothic" w:hAnsi="Century Gothic"/>
                <w:color w:val="FFFFFF" w:themeColor="background1"/>
                <w:sz w:val="16"/>
                <w:szCs w:val="16"/>
              </w:rPr>
              <w:t>to continue system recovery and support native vegetation and fish communities.</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354"/>
        </w:trPr>
        <w:tc>
          <w:tcPr>
            <w:tcW w:w="1526" w:type="dxa"/>
            <w:vMerge/>
          </w:tcPr>
          <w:p w:rsidR="009535AA" w:rsidRPr="008D2B6B" w:rsidRDefault="009535AA" w:rsidP="00EA1768">
            <w:pPr>
              <w:spacing w:before="20"/>
              <w:rPr>
                <w:rFonts w:ascii="Century Gothic" w:hAnsi="Century Gothic"/>
                <w:b/>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p>
        </w:tc>
        <w:tc>
          <w:tcPr>
            <w:tcW w:w="2283" w:type="dxa"/>
            <w:vMerge/>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57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50</w:t>
            </w:r>
            <w:r>
              <w:rPr>
                <w:rFonts w:ascii="Century Gothic" w:hAnsi="Century Gothic"/>
                <w:color w:val="000000"/>
                <w:sz w:val="16"/>
                <w:szCs w:val="16"/>
              </w:rPr>
              <w:t xml:space="preserve"> 000</w:t>
            </w:r>
            <w:r w:rsidRPr="008D2B6B">
              <w:rPr>
                <w:rFonts w:ascii="Century Gothic" w:hAnsi="Century Gothic"/>
                <w:color w:val="000000"/>
                <w:sz w:val="16"/>
                <w:szCs w:val="16"/>
              </w:rPr>
              <w:t>-60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for 60-120 days targeting river red gum forest, lignum </w:t>
            </w:r>
            <w:proofErr w:type="spellStart"/>
            <w:r w:rsidRPr="008D2B6B">
              <w:rPr>
                <w:rFonts w:ascii="Century Gothic" w:hAnsi="Century Gothic"/>
                <w:color w:val="000000"/>
                <w:sz w:val="16"/>
                <w:szCs w:val="16"/>
              </w:rPr>
              <w:t>shrubland</w:t>
            </w:r>
            <w:proofErr w:type="spellEnd"/>
            <w:r w:rsidRPr="008D2B6B">
              <w:rPr>
                <w:rFonts w:ascii="Century Gothic" w:hAnsi="Century Gothic"/>
                <w:color w:val="000000"/>
                <w:sz w:val="16"/>
                <w:szCs w:val="16"/>
              </w:rPr>
              <w:t xml:space="preserve">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5 years (5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Red gum and l</w:t>
            </w:r>
            <w:r w:rsidRPr="008D2B6B">
              <w:rPr>
                <w:rFonts w:ascii="Century Gothic" w:hAnsi="Century Gothic"/>
                <w:color w:val="000000"/>
                <w:sz w:val="16"/>
                <w:szCs w:val="16"/>
              </w:rPr>
              <w:t>ignum received water in 2014-15</w:t>
            </w: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r>
              <w:rPr>
                <w:rFonts w:ascii="Century Gothic" w:hAnsi="Century Gothic"/>
                <w:sz w:val="16"/>
                <w:szCs w:val="16"/>
              </w:rPr>
              <w:t>Subject to seasonal cues</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408"/>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Pr>
          <w:p w:rsidR="009535AA" w:rsidRPr="008D2B6B" w:rsidRDefault="009535AA" w:rsidP="00EA1768">
            <w:pPr>
              <w:spacing w:before="20"/>
              <w:rPr>
                <w:rFonts w:ascii="Century Gothic" w:hAnsi="Century Gothic"/>
                <w:color w:val="000000"/>
                <w:sz w:val="16"/>
                <w:szCs w:val="16"/>
              </w:rPr>
            </w:pPr>
          </w:p>
        </w:tc>
        <w:tc>
          <w:tcPr>
            <w:tcW w:w="1276"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EA1768">
        <w:trPr>
          <w:trHeight w:val="463"/>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Infrastructure delivery to a p</w:t>
            </w:r>
            <w:r>
              <w:rPr>
                <w:rFonts w:ascii="Century Gothic" w:hAnsi="Century Gothic"/>
                <w:color w:val="000000"/>
                <w:sz w:val="16"/>
                <w:szCs w:val="16"/>
              </w:rPr>
              <w:t xml:space="preserve">riority areas of floodplain equivalent to       80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targeting river red gum and black box woodland and associated wetlands</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1-2 in 10 years (8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r>
              <w:rPr>
                <w:rFonts w:ascii="Century Gothic" w:hAnsi="Century Gothic"/>
                <w:color w:val="000000"/>
                <w:sz w:val="16"/>
                <w:szCs w:val="16"/>
              </w:rPr>
              <w:t>, sequential watering may be required for establishment of black box seedling</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sz w:val="16"/>
                <w:szCs w:val="16"/>
              </w:rPr>
              <w:t>Subject to seasonal cue</w:t>
            </w:r>
            <w:r>
              <w:rPr>
                <w:rFonts w:ascii="Century Gothic" w:hAnsi="Century Gothic"/>
                <w:sz w:val="16"/>
                <w:szCs w:val="16"/>
              </w:rPr>
              <w:t>s</w:t>
            </w:r>
            <w:r w:rsidRPr="008D2B6B">
              <w:rPr>
                <w:rFonts w:ascii="Century Gothic" w:hAnsi="Century Gothic"/>
                <w:sz w:val="16"/>
                <w:szCs w:val="16"/>
              </w:rPr>
              <w:t>, (unlikely under ‘moderate’ conditions)</w:t>
            </w:r>
          </w:p>
        </w:tc>
        <w:tc>
          <w:tcPr>
            <w:tcW w:w="2283" w:type="dxa"/>
            <w:vMerge w:val="restart"/>
            <w:tcBorders>
              <w:top w:val="single" w:sz="18" w:space="0" w:color="auto"/>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402"/>
        </w:trPr>
        <w:tc>
          <w:tcPr>
            <w:tcW w:w="1526" w:type="dxa"/>
            <w:vMerge/>
            <w:tcBorders>
              <w:bottom w:val="single" w:sz="18" w:space="0" w:color="auto"/>
            </w:tcBorders>
          </w:tcPr>
          <w:p w:rsidR="009535AA" w:rsidRPr="008D2B6B" w:rsidRDefault="009535AA" w:rsidP="00EA1768">
            <w:pPr>
              <w:spacing w:before="20"/>
              <w:rPr>
                <w:rFonts w:ascii="Century Gothic" w:hAnsi="Century Gothic"/>
                <w:b/>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92D05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579"/>
        </w:trPr>
        <w:tc>
          <w:tcPr>
            <w:tcW w:w="1526" w:type="dxa"/>
            <w:vMerge w:val="restart"/>
            <w:tcBorders>
              <w:top w:val="single" w:sz="18" w:space="0" w:color="auto"/>
              <w:bottom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sz w:val="16"/>
                <w:szCs w:val="16"/>
              </w:rPr>
              <w:t xml:space="preserve">Floodplain and wetlands from South Australian border to </w:t>
            </w:r>
            <w:r>
              <w:rPr>
                <w:rFonts w:ascii="Century Gothic" w:hAnsi="Century Gothic"/>
                <w:b/>
                <w:sz w:val="16"/>
                <w:szCs w:val="16"/>
              </w:rPr>
              <w:t>Lower Lakes</w:t>
            </w:r>
            <w:r w:rsidRPr="008D2B6B">
              <w:rPr>
                <w:rFonts w:ascii="Century Gothic" w:hAnsi="Century Gothic"/>
                <w:b/>
                <w:sz w:val="16"/>
                <w:szCs w:val="16"/>
                <w:vertAlign w:val="superscript"/>
              </w:rPr>
              <w:t>6</w:t>
            </w:r>
          </w:p>
        </w:tc>
        <w:tc>
          <w:tcPr>
            <w:tcW w:w="3118" w:type="dxa"/>
            <w:vMerge w:val="restart"/>
            <w:tcBorders>
              <w:top w:val="single" w:sz="18" w:space="0" w:color="auto"/>
              <w:bottom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40</w:t>
            </w:r>
            <w:r>
              <w:rPr>
                <w:rFonts w:ascii="Century Gothic" w:hAnsi="Century Gothic"/>
                <w:color w:val="000000"/>
                <w:sz w:val="16"/>
                <w:szCs w:val="16"/>
              </w:rPr>
              <w:t xml:space="preserve"> 000</w:t>
            </w:r>
            <w:r w:rsidRPr="008D2B6B">
              <w:rPr>
                <w:rFonts w:ascii="Century Gothic" w:hAnsi="Century Gothic"/>
                <w:color w:val="000000"/>
                <w:sz w:val="16"/>
                <w:szCs w:val="16"/>
              </w:rPr>
              <w:t>-50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for up to 90 days targeting river red gum forest, tea tree, lignum, river cooba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6" w:type="dxa"/>
            <w:vMerge w:val="restart"/>
            <w:tcBorders>
              <w:top w:val="single" w:sz="18" w:space="0" w:color="auto"/>
              <w:bottom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2 years (3 years)</w:t>
            </w:r>
          </w:p>
        </w:tc>
        <w:tc>
          <w:tcPr>
            <w:tcW w:w="1134" w:type="dxa"/>
            <w:vMerge w:val="restart"/>
            <w:tcBorders>
              <w:top w:val="single" w:sz="18" w:space="0" w:color="auto"/>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2859" w:type="dxa"/>
            <w:vMerge w:val="restart"/>
            <w:tcBorders>
              <w:top w:val="single" w:sz="18" w:space="0" w:color="auto"/>
              <w:left w:val="single" w:sz="18" w:space="0" w:color="auto"/>
              <w:bottom w:val="single" w:sz="18" w:space="0" w:color="auto"/>
            </w:tcBorders>
            <w:shd w:val="clear" w:color="auto" w:fill="FFC000"/>
          </w:tcPr>
          <w:p w:rsidR="009535AA" w:rsidRPr="008D2B6B" w:rsidRDefault="009535AA" w:rsidP="00EA1768">
            <w:pPr>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r>
              <w:rPr>
                <w:rFonts w:ascii="Century Gothic" w:hAnsi="Century Gothic"/>
                <w:color w:val="000000"/>
                <w:sz w:val="16"/>
                <w:szCs w:val="16"/>
              </w:rPr>
              <w:t>, however floodplain still recovering from drought. Demands for some individual sites lower due to managed water delivery.</w:t>
            </w:r>
          </w:p>
        </w:tc>
        <w:tc>
          <w:tcPr>
            <w:tcW w:w="1352" w:type="dxa"/>
            <w:vMerge w:val="restart"/>
            <w:tcBorders>
              <w:top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sz w:val="16"/>
                <w:szCs w:val="16"/>
              </w:rPr>
              <w:t>Overbank flows unlikely in a moderate scenario.</w:t>
            </w:r>
            <w:r>
              <w:rPr>
                <w:rFonts w:ascii="Century Gothic" w:hAnsi="Century Gothic"/>
                <w:sz w:val="16"/>
                <w:szCs w:val="16"/>
              </w:rPr>
              <w:t xml:space="preserve"> </w:t>
            </w:r>
          </w:p>
          <w:p w:rsidR="009535AA" w:rsidRPr="008D2B6B" w:rsidRDefault="009535AA" w:rsidP="00EA1768">
            <w:pPr>
              <w:spacing w:before="20"/>
              <w:jc w:val="center"/>
              <w:rPr>
                <w:rFonts w:ascii="Century Gothic" w:hAnsi="Century Gothic"/>
                <w:sz w:val="16"/>
                <w:szCs w:val="16"/>
              </w:rPr>
            </w:pPr>
          </w:p>
          <w:p w:rsidR="009535AA" w:rsidRPr="008D2B6B" w:rsidRDefault="009535AA" w:rsidP="00EA1768">
            <w:pPr>
              <w:spacing w:before="20"/>
              <w:jc w:val="center"/>
              <w:rPr>
                <w:rFonts w:ascii="Century Gothic" w:hAnsi="Century Gothic"/>
                <w:color w:val="FFFFFF"/>
                <w:sz w:val="16"/>
                <w:szCs w:val="16"/>
              </w:rPr>
            </w:pPr>
            <w:r w:rsidRPr="008D2B6B">
              <w:rPr>
                <w:rFonts w:ascii="Century Gothic" w:hAnsi="Century Gothic"/>
                <w:sz w:val="16"/>
                <w:szCs w:val="16"/>
              </w:rPr>
              <w:t xml:space="preserve">Commonwealth environmental water </w:t>
            </w:r>
            <w:r>
              <w:rPr>
                <w:rFonts w:ascii="Century Gothic" w:hAnsi="Century Gothic"/>
                <w:sz w:val="16"/>
                <w:szCs w:val="16"/>
              </w:rPr>
              <w:t xml:space="preserve">may be </w:t>
            </w:r>
            <w:r w:rsidRPr="008D2B6B">
              <w:rPr>
                <w:rFonts w:ascii="Century Gothic" w:hAnsi="Century Gothic"/>
                <w:sz w:val="16"/>
                <w:szCs w:val="16"/>
              </w:rPr>
              <w:t xml:space="preserve">delivered to individual </w:t>
            </w:r>
          </w:p>
        </w:tc>
        <w:tc>
          <w:tcPr>
            <w:tcW w:w="2283" w:type="dxa"/>
            <w:vMerge w:val="restart"/>
            <w:tcBorders>
              <w:top w:val="single" w:sz="18" w:space="0" w:color="auto"/>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408"/>
        </w:trPr>
        <w:tc>
          <w:tcPr>
            <w:tcW w:w="1526" w:type="dxa"/>
            <w:vMerge/>
            <w:tcBorders>
              <w:top w:val="single" w:sz="18" w:space="0" w:color="auto"/>
              <w:bottom w:val="single" w:sz="18" w:space="0" w:color="auto"/>
            </w:tcBorders>
          </w:tcPr>
          <w:p w:rsidR="009535AA" w:rsidRPr="008D2B6B" w:rsidRDefault="009535AA" w:rsidP="00EA1768">
            <w:pPr>
              <w:spacing w:before="20"/>
              <w:rPr>
                <w:rFonts w:ascii="Century Gothic" w:hAnsi="Century Gothic"/>
                <w:b/>
                <w:sz w:val="16"/>
                <w:szCs w:val="16"/>
              </w:rPr>
            </w:pPr>
          </w:p>
        </w:tc>
        <w:tc>
          <w:tcPr>
            <w:tcW w:w="3118" w:type="dxa"/>
            <w:vMerge/>
            <w:tcBorders>
              <w:top w:val="single" w:sz="18" w:space="0" w:color="auto"/>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top w:val="single" w:sz="18" w:space="0" w:color="auto"/>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top w:val="single" w:sz="18" w:space="0" w:color="auto"/>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top w:val="single" w:sz="18" w:space="0" w:color="auto"/>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top w:val="single" w:sz="18" w:space="0" w:color="auto"/>
              <w:left w:val="single" w:sz="18" w:space="0" w:color="auto"/>
              <w:bottom w:val="single" w:sz="18" w:space="0" w:color="auto"/>
            </w:tcBorders>
            <w:shd w:val="clear" w:color="auto" w:fill="FFC000"/>
          </w:tcPr>
          <w:p w:rsidR="009535AA" w:rsidRPr="008D2B6B" w:rsidRDefault="009535AA" w:rsidP="00EA1768">
            <w:pPr>
              <w:jc w:val="center"/>
              <w:rPr>
                <w:rFonts w:ascii="Century Gothic" w:hAnsi="Century Gothic"/>
                <w:color w:val="000000"/>
                <w:sz w:val="16"/>
                <w:szCs w:val="16"/>
              </w:rPr>
            </w:pPr>
          </w:p>
        </w:tc>
        <w:tc>
          <w:tcPr>
            <w:tcW w:w="1352" w:type="dxa"/>
            <w:vMerge/>
            <w:tcBorders>
              <w:top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top w:val="single" w:sz="18" w:space="0" w:color="auto"/>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FFC000"/>
            <w:vAlign w:val="center"/>
          </w:tcPr>
          <w:p w:rsidR="009535AA" w:rsidRPr="008D2B6B" w:rsidRDefault="009535AA" w:rsidP="00EA1768">
            <w:pPr>
              <w:spacing w:before="20"/>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EA1768">
        <w:trPr>
          <w:trHeight w:val="594"/>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rPr>
            </w:pPr>
          </w:p>
        </w:tc>
        <w:tc>
          <w:tcPr>
            <w:tcW w:w="3118"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50</w:t>
            </w:r>
            <w:r>
              <w:rPr>
                <w:rFonts w:ascii="Century Gothic" w:hAnsi="Century Gothic"/>
                <w:color w:val="000000"/>
                <w:sz w:val="16"/>
                <w:szCs w:val="16"/>
              </w:rPr>
              <w:t xml:space="preserve"> 000</w:t>
            </w:r>
            <w:r w:rsidRPr="008D2B6B">
              <w:rPr>
                <w:rFonts w:ascii="Century Gothic" w:hAnsi="Century Gothic"/>
                <w:color w:val="000000"/>
                <w:sz w:val="16"/>
                <w:szCs w:val="16"/>
              </w:rPr>
              <w:t>-60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for up to 90 days targeting river red gum woodland, black box, cooba, tea tree and lignum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6"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1-2  in 5 years (3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r w:rsidRPr="008D2B6B">
              <w:rPr>
                <w:rFonts w:ascii="Century Gothic" w:hAnsi="Century Gothic"/>
                <w:color w:val="80808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2859" w:type="dxa"/>
            <w:vMerge w:val="restart"/>
            <w:tcBorders>
              <w:left w:val="single" w:sz="18" w:space="0" w:color="auto"/>
            </w:tcBorders>
            <w:shd w:val="clear" w:color="auto" w:fill="FFC000"/>
          </w:tcPr>
          <w:p w:rsidR="009535AA" w:rsidRDefault="009535AA" w:rsidP="00EA1768">
            <w:pPr>
              <w:jc w:val="center"/>
              <w:rPr>
                <w:rFonts w:ascii="Century Gothic" w:hAnsi="Century Gothic"/>
                <w:color w:val="000000"/>
                <w:sz w:val="16"/>
                <w:szCs w:val="16"/>
              </w:rPr>
            </w:pPr>
            <w:r>
              <w:rPr>
                <w:rFonts w:ascii="Century Gothic" w:hAnsi="Century Gothic"/>
                <w:color w:val="000000"/>
                <w:sz w:val="16"/>
                <w:szCs w:val="16"/>
              </w:rPr>
              <w:t xml:space="preserve">As above; sequential watering may be required for establishment of black box seedlings. </w:t>
            </w:r>
          </w:p>
          <w:p w:rsidR="009535AA" w:rsidRPr="00305899" w:rsidRDefault="009535AA" w:rsidP="00EA1768">
            <w:pPr>
              <w:jc w:val="center"/>
              <w:rPr>
                <w:rFonts w:ascii="Century Gothic" w:hAnsi="Century Gothic"/>
                <w:sz w:val="16"/>
                <w:szCs w:val="16"/>
              </w:rPr>
            </w:pP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color w:val="FFFFFF"/>
                <w:sz w:val="16"/>
                <w:szCs w:val="16"/>
              </w:rPr>
            </w:pPr>
            <w:proofErr w:type="gramStart"/>
            <w:r>
              <w:rPr>
                <w:rFonts w:ascii="Century Gothic" w:hAnsi="Century Gothic"/>
                <w:sz w:val="16"/>
                <w:szCs w:val="16"/>
              </w:rPr>
              <w:t>floodplain</w:t>
            </w:r>
            <w:proofErr w:type="gramEnd"/>
            <w:r>
              <w:rPr>
                <w:rFonts w:ascii="Century Gothic" w:hAnsi="Century Gothic"/>
                <w:sz w:val="16"/>
                <w:szCs w:val="16"/>
              </w:rPr>
              <w:t xml:space="preserve"> / </w:t>
            </w:r>
            <w:r w:rsidRPr="008D2B6B">
              <w:rPr>
                <w:rFonts w:ascii="Century Gothic" w:hAnsi="Century Gothic"/>
                <w:sz w:val="16"/>
                <w:szCs w:val="16"/>
              </w:rPr>
              <w:t xml:space="preserve">wetland sites </w:t>
            </w:r>
            <w:r>
              <w:rPr>
                <w:rFonts w:ascii="Century Gothic" w:hAnsi="Century Gothic"/>
                <w:sz w:val="16"/>
                <w:szCs w:val="16"/>
              </w:rPr>
              <w:t>using infrastructure</w:t>
            </w:r>
            <w:r w:rsidRPr="008D2B6B">
              <w:rPr>
                <w:rFonts w:ascii="Century Gothic" w:hAnsi="Century Gothic"/>
                <w:sz w:val="16"/>
                <w:szCs w:val="16"/>
              </w:rPr>
              <w:t>.</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372"/>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top w:val="single" w:sz="18" w:space="0" w:color="auto"/>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Moderate-High</w:t>
            </w:r>
          </w:p>
        </w:tc>
      </w:tr>
      <w:tr w:rsidR="009535AA" w:rsidRPr="008D2B6B" w:rsidTr="00EA1768">
        <w:trPr>
          <w:trHeight w:val="640"/>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Infrastructure delivery to a p</w:t>
            </w:r>
            <w:r>
              <w:rPr>
                <w:rFonts w:ascii="Century Gothic" w:hAnsi="Century Gothic"/>
                <w:color w:val="000000"/>
                <w:sz w:val="16"/>
                <w:szCs w:val="16"/>
              </w:rPr>
              <w:t>riority areas</w:t>
            </w:r>
            <w:r w:rsidRPr="008D2B6B">
              <w:rPr>
                <w:rFonts w:ascii="Century Gothic" w:hAnsi="Century Gothic"/>
                <w:color w:val="000000"/>
                <w:sz w:val="16"/>
                <w:szCs w:val="16"/>
              </w:rPr>
              <w:t xml:space="preserve"> equivalent to </w:t>
            </w:r>
            <w:r>
              <w:rPr>
                <w:rFonts w:ascii="Century Gothic" w:hAnsi="Century Gothic"/>
                <w:color w:val="000000"/>
                <w:sz w:val="16"/>
                <w:szCs w:val="16"/>
              </w:rPr>
              <w:t xml:space="preserve">                              </w:t>
            </w:r>
            <w:r w:rsidRPr="008D2B6B">
              <w:rPr>
                <w:rFonts w:ascii="Century Gothic" w:hAnsi="Century Gothic"/>
                <w:color w:val="000000"/>
                <w:sz w:val="16"/>
                <w:szCs w:val="16"/>
              </w:rPr>
              <w:t>60</w:t>
            </w:r>
            <w:r>
              <w:rPr>
                <w:rFonts w:ascii="Century Gothic" w:hAnsi="Century Gothic"/>
                <w:color w:val="000000"/>
                <w:sz w:val="16"/>
                <w:szCs w:val="16"/>
              </w:rPr>
              <w:t xml:space="preserve"> 000</w:t>
            </w:r>
            <w:r w:rsidRPr="008D2B6B">
              <w:rPr>
                <w:rFonts w:ascii="Century Gothic" w:hAnsi="Century Gothic"/>
                <w:color w:val="000000"/>
                <w:sz w:val="16"/>
                <w:szCs w:val="16"/>
              </w:rPr>
              <w:t>-70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targeting black box, cooba, lignum and chenopod and associated wetlands</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 (4 years)</w:t>
            </w:r>
          </w:p>
        </w:tc>
        <w:tc>
          <w:tcPr>
            <w:tcW w:w="1134" w:type="dxa"/>
            <w:vMerge w:val="restart"/>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val="restart"/>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tcPr>
          <w:p w:rsidR="009535AA" w:rsidRDefault="009535AA" w:rsidP="00EA1768">
            <w:pPr>
              <w:jc w:val="center"/>
              <w:rPr>
                <w:rFonts w:ascii="Century Gothic" w:hAnsi="Century Gothic"/>
                <w:color w:val="000000"/>
                <w:sz w:val="16"/>
                <w:szCs w:val="16"/>
              </w:rPr>
            </w:pPr>
            <w:r>
              <w:rPr>
                <w:rFonts w:ascii="Century Gothic" w:hAnsi="Century Gothic"/>
                <w:color w:val="000000"/>
                <w:sz w:val="16"/>
                <w:szCs w:val="16"/>
              </w:rPr>
              <w:t xml:space="preserve">As above; sequential watering may be required for establishment of black box seedlings. </w:t>
            </w:r>
          </w:p>
          <w:p w:rsidR="009535AA" w:rsidRPr="008D2B6B" w:rsidRDefault="009535AA" w:rsidP="00EA1768">
            <w:pPr>
              <w:spacing w:before="20"/>
              <w:jc w:val="center"/>
              <w:rPr>
                <w:rFonts w:ascii="Century Gothic" w:hAnsi="Century Gothic"/>
                <w:color w:val="000000"/>
                <w:sz w:val="16"/>
                <w:szCs w:val="16"/>
              </w:rPr>
            </w:pP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left w:val="single" w:sz="18" w:space="0" w:color="auto"/>
              <w:right w:val="single" w:sz="18" w:space="0" w:color="auto"/>
            </w:tcBorders>
            <w:shd w:val="clear" w:color="auto" w:fill="auto"/>
          </w:tcPr>
          <w:p w:rsidR="009535AA" w:rsidRPr="00E826BD" w:rsidRDefault="009535AA" w:rsidP="00EA1768">
            <w:pPr>
              <w:spacing w:before="20"/>
              <w:jc w:val="center"/>
              <w:rPr>
                <w:rFonts w:ascii="Century Gothic" w:hAnsi="Century Gothic"/>
                <w:color w:val="000000" w:themeColor="text1"/>
                <w:sz w:val="16"/>
                <w:szCs w:val="16"/>
              </w:rPr>
            </w:pPr>
            <w:r>
              <w:rPr>
                <w:rFonts w:ascii="Century Gothic" w:hAnsi="Century Gothic"/>
                <w:color w:val="000000" w:themeColor="text1"/>
                <w:sz w:val="16"/>
                <w:szCs w:val="16"/>
              </w:rPr>
              <w:t>Not a focus for water use under ‘moderate’ resource availability.</w:t>
            </w:r>
          </w:p>
        </w:tc>
        <w:tc>
          <w:tcPr>
            <w:tcW w:w="2283" w:type="dxa"/>
            <w:vMerge w:val="restart"/>
            <w:tcBorders>
              <w:lef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Low-Moderate</w:t>
            </w:r>
          </w:p>
        </w:tc>
      </w:tr>
      <w:tr w:rsidR="009535AA" w:rsidRPr="008D2B6B" w:rsidTr="00EA1768">
        <w:trPr>
          <w:trHeight w:val="474"/>
        </w:trPr>
        <w:tc>
          <w:tcPr>
            <w:tcW w:w="152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C0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Becoming critical</w:t>
            </w:r>
          </w:p>
        </w:tc>
      </w:tr>
      <w:tr w:rsidR="009535AA" w:rsidRPr="008D2B6B" w:rsidTr="009535AA">
        <w:trPr>
          <w:trHeight w:val="462"/>
        </w:trPr>
        <w:tc>
          <w:tcPr>
            <w:tcW w:w="1526" w:type="dxa"/>
            <w:vMerge w:val="restart"/>
          </w:tcPr>
          <w:p w:rsidR="009535AA" w:rsidRPr="008D2B6B" w:rsidRDefault="009535AA" w:rsidP="00EA1768">
            <w:pPr>
              <w:spacing w:before="20"/>
              <w:rPr>
                <w:rFonts w:ascii="Century Gothic" w:hAnsi="Century Gothic"/>
                <w:color w:val="000000"/>
                <w:sz w:val="16"/>
                <w:szCs w:val="16"/>
                <w:vertAlign w:val="superscript"/>
              </w:rPr>
            </w:pPr>
            <w:r w:rsidRPr="008D2B6B">
              <w:rPr>
                <w:rFonts w:ascii="Century Gothic" w:hAnsi="Century Gothic"/>
                <w:b/>
                <w:color w:val="000000"/>
                <w:sz w:val="16"/>
                <w:szCs w:val="16"/>
              </w:rPr>
              <w:t>Coorong, Lower Lakes and Murray Mouth</w:t>
            </w:r>
            <w:r w:rsidRPr="008D2B6B">
              <w:rPr>
                <w:rFonts w:ascii="Century Gothic" w:hAnsi="Century Gothic"/>
                <w:b/>
                <w:color w:val="000000"/>
                <w:sz w:val="16"/>
                <w:szCs w:val="16"/>
                <w:vertAlign w:val="superscript"/>
              </w:rPr>
              <w:t>7</w:t>
            </w:r>
          </w:p>
        </w:tc>
        <w:tc>
          <w:tcPr>
            <w:tcW w:w="3118"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Minimum barrage flow of 650 GL/yr </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1 year</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9535AA" w:rsidRPr="009535AA" w:rsidRDefault="009535AA" w:rsidP="009535AA">
            <w:pPr>
              <w:spacing w:before="20"/>
              <w:jc w:val="center"/>
              <w:rPr>
                <w:rFonts w:ascii="Century Gothic" w:hAnsi="Century Gothic"/>
                <w:szCs w:val="16"/>
              </w:rPr>
            </w:pPr>
            <w:r w:rsidRPr="009535AA">
              <w:rPr>
                <w:rFonts w:ascii="Century Gothic" w:hAnsi="Century Gothic"/>
                <w:color w:val="000000"/>
                <w:sz w:val="16"/>
                <w:szCs w:val="16"/>
              </w:rPr>
              <w:t>High</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Pr>
                <w:rFonts w:ascii="Century Gothic" w:hAnsi="Century Gothic"/>
                <w:b/>
                <w:bCs/>
                <w:color w:val="E46D0A"/>
                <w:sz w:val="16"/>
                <w:szCs w:val="16"/>
              </w:rPr>
              <w:t>Avoid damage</w:t>
            </w:r>
          </w:p>
        </w:tc>
        <w:tc>
          <w:tcPr>
            <w:tcW w:w="2605" w:type="dxa"/>
            <w:vMerge w:val="restart"/>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r>
              <w:rPr>
                <w:rFonts w:ascii="Century Gothic" w:hAnsi="Century Gothic"/>
                <w:color w:val="FFFFFF"/>
                <w:sz w:val="16"/>
                <w:szCs w:val="16"/>
              </w:rPr>
              <w:t>Likely</w:t>
            </w:r>
            <w:r w:rsidRPr="008D2B6B">
              <w:rPr>
                <w:rFonts w:ascii="Century Gothic" w:hAnsi="Century Gothic"/>
                <w:color w:val="FFFFFF"/>
                <w:sz w:val="16"/>
                <w:szCs w:val="16"/>
              </w:rPr>
              <w:t xml:space="preserve"> Commonwealth environmental water </w:t>
            </w:r>
            <w:r>
              <w:rPr>
                <w:rFonts w:ascii="Century Gothic" w:hAnsi="Century Gothic"/>
                <w:color w:val="FFFFFF"/>
                <w:sz w:val="16"/>
                <w:szCs w:val="16"/>
              </w:rPr>
              <w:t>contribution</w:t>
            </w:r>
          </w:p>
        </w:tc>
        <w:tc>
          <w:tcPr>
            <w:tcW w:w="2283" w:type="dxa"/>
            <w:vMerge w:val="restart"/>
            <w:tcBorders>
              <w:left w:val="single" w:sz="18" w:space="0" w:color="auto"/>
            </w:tcBorders>
            <w:shd w:val="clear" w:color="auto" w:fill="FF0000"/>
            <w:vAlign w:val="center"/>
          </w:tcPr>
          <w:p w:rsidR="009535AA" w:rsidRDefault="009535AA">
            <w:pPr>
              <w:spacing w:before="20"/>
              <w:jc w:val="center"/>
              <w:rPr>
                <w:rFonts w:ascii="Century Gothic" w:hAnsi="Century Gothic"/>
                <w:sz w:val="16"/>
                <w:szCs w:val="16"/>
              </w:rPr>
            </w:pPr>
            <w:r>
              <w:rPr>
                <w:rFonts w:ascii="Century Gothic" w:hAnsi="Century Gothic"/>
                <w:color w:val="000000"/>
                <w:sz w:val="16"/>
                <w:szCs w:val="16"/>
                <w:lang w:eastAsia="en-AU"/>
              </w:rPr>
              <w:t>High</w:t>
            </w: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High</w:t>
            </w:r>
          </w:p>
        </w:tc>
      </w:tr>
      <w:tr w:rsidR="009535AA" w:rsidRPr="008D2B6B" w:rsidTr="009535AA">
        <w:trPr>
          <w:trHeight w:val="461"/>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9535AA" w:rsidRPr="008D2B6B" w:rsidRDefault="009535AA" w:rsidP="009535AA">
            <w:pPr>
              <w:spacing w:before="2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9535AA"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C0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lang w:eastAsia="en-AU"/>
              </w:rPr>
              <w:t>Becoming critical</w:t>
            </w:r>
          </w:p>
        </w:tc>
      </w:tr>
      <w:tr w:rsidR="009535AA" w:rsidRPr="008D2B6B" w:rsidTr="009535AA">
        <w:trPr>
          <w:trHeight w:val="437"/>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Barrage flows of 2,000 GL/yr required to achieve salinity target in Lake Alexandrina </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Rolling three year average</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E46D0A"/>
                <w:sz w:val="16"/>
                <w:szCs w:val="16"/>
              </w:rPr>
              <w:t>Protect</w:t>
            </w:r>
          </w:p>
        </w:tc>
        <w:tc>
          <w:tcPr>
            <w:tcW w:w="2605" w:type="dxa"/>
            <w:vMerge w:val="restart"/>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r>
              <w:rPr>
                <w:rFonts w:ascii="Century Gothic" w:hAnsi="Century Gothic"/>
                <w:color w:val="FFFFFF"/>
                <w:sz w:val="16"/>
                <w:szCs w:val="16"/>
              </w:rPr>
              <w:t>Likely</w:t>
            </w:r>
            <w:r w:rsidRPr="008D2B6B">
              <w:rPr>
                <w:rFonts w:ascii="Century Gothic" w:hAnsi="Century Gothic"/>
                <w:color w:val="FFFFFF"/>
                <w:sz w:val="16"/>
                <w:szCs w:val="16"/>
              </w:rPr>
              <w:t xml:space="preserve"> Commonwealth environmental water </w:t>
            </w:r>
            <w:r>
              <w:rPr>
                <w:rFonts w:ascii="Century Gothic" w:hAnsi="Century Gothic"/>
                <w:color w:val="FFFFFF"/>
                <w:sz w:val="16"/>
                <w:szCs w:val="16"/>
              </w:rPr>
              <w:t>contribution</w:t>
            </w:r>
          </w:p>
        </w:tc>
        <w:tc>
          <w:tcPr>
            <w:tcW w:w="2283" w:type="dxa"/>
            <w:vMerge w:val="restart"/>
            <w:tcBorders>
              <w:left w:val="single" w:sz="18" w:space="0" w:color="auto"/>
            </w:tcBorders>
            <w:shd w:val="clear" w:color="auto" w:fill="FFC00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Low-moderate</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Low</w:t>
            </w:r>
          </w:p>
        </w:tc>
      </w:tr>
      <w:tr w:rsidR="009535AA" w:rsidRPr="008D2B6B" w:rsidTr="009535AA">
        <w:trPr>
          <w:trHeight w:val="40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lang w:eastAsia="en-AU"/>
              </w:rPr>
              <w:t>High</w:t>
            </w:r>
          </w:p>
        </w:tc>
      </w:tr>
      <w:tr w:rsidR="009535AA" w:rsidRPr="008D2B6B" w:rsidTr="009535AA">
        <w:trPr>
          <w:trHeight w:val="364"/>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Barrage flows of at least 2,500 GL over two years to avoid damage and protect habitat conditions within the Coorong</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9 in 10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year)</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shd w:val="clear" w:color="auto" w:fill="808080" w:themeFill="background1" w:themeFillShade="80"/>
          </w:tcPr>
          <w:p w:rsidR="009535AA" w:rsidRPr="008D2B6B" w:rsidRDefault="009535AA" w:rsidP="00EA1768">
            <w:pPr>
              <w:spacing w:before="20"/>
              <w:rPr>
                <w:rFonts w:ascii="Century Gothic" w:hAnsi="Century Gothic"/>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E46D0A"/>
                <w:sz w:val="16"/>
                <w:szCs w:val="16"/>
              </w:rPr>
              <w:t>Protect</w:t>
            </w:r>
          </w:p>
        </w:tc>
        <w:tc>
          <w:tcPr>
            <w:tcW w:w="2605" w:type="dxa"/>
            <w:vMerge w:val="restart"/>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r>
              <w:rPr>
                <w:rFonts w:ascii="Century Gothic" w:hAnsi="Century Gothic"/>
                <w:color w:val="FFFFFF"/>
                <w:sz w:val="16"/>
                <w:szCs w:val="16"/>
              </w:rPr>
              <w:t>Likely</w:t>
            </w:r>
            <w:r w:rsidRPr="008D2B6B">
              <w:rPr>
                <w:rFonts w:ascii="Century Gothic" w:hAnsi="Century Gothic"/>
                <w:color w:val="FFFFFF"/>
                <w:sz w:val="16"/>
                <w:szCs w:val="16"/>
              </w:rPr>
              <w:t xml:space="preserve"> Commonwealth environmental water </w:t>
            </w:r>
            <w:r>
              <w:rPr>
                <w:rFonts w:ascii="Century Gothic" w:hAnsi="Century Gothic"/>
                <w:color w:val="FFFFFF"/>
                <w:sz w:val="16"/>
                <w:szCs w:val="16"/>
              </w:rPr>
              <w:t>contribution</w:t>
            </w:r>
          </w:p>
        </w:tc>
        <w:tc>
          <w:tcPr>
            <w:tcW w:w="2283" w:type="dxa"/>
            <w:vMerge w:val="restart"/>
            <w:tcBorders>
              <w:left w:val="single" w:sz="18" w:space="0" w:color="auto"/>
            </w:tcBorders>
            <w:shd w:val="clear" w:color="auto" w:fill="FFC00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Low-moderate</w:t>
            </w:r>
          </w:p>
        </w:tc>
        <w:tc>
          <w:tcPr>
            <w:tcW w:w="3092" w:type="dxa"/>
            <w:gridSpan w:val="2"/>
            <w:tcBorders>
              <w:top w:val="nil"/>
              <w:left w:val="single" w:sz="18" w:space="0" w:color="auto"/>
              <w:bottom w:val="single" w:sz="18" w:space="0" w:color="auto"/>
              <w:right w:val="single" w:sz="18" w:space="0" w:color="auto"/>
            </w:tcBorders>
            <w:shd w:val="clear" w:color="auto" w:fill="FFC00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Moderate</w:t>
            </w:r>
          </w:p>
        </w:tc>
      </w:tr>
      <w:tr w:rsidR="009535AA" w:rsidRPr="008D2B6B" w:rsidTr="0054560D">
        <w:trPr>
          <w:trHeight w:val="372"/>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lang w:eastAsia="en-AU"/>
              </w:rPr>
              <w:t>High</w:t>
            </w:r>
          </w:p>
        </w:tc>
      </w:tr>
      <w:tr w:rsidR="009535AA" w:rsidRPr="008D2B6B" w:rsidTr="0054560D">
        <w:trPr>
          <w:trHeight w:val="390"/>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val="restart"/>
            <w:vAlign w:val="center"/>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Barrage flows of 6,000 GL every three to five years to maintain and improve habitat conditions within the Coorong</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(5 years)</w:t>
            </w:r>
          </w:p>
        </w:tc>
        <w:tc>
          <w:tcPr>
            <w:tcW w:w="1134" w:type="dxa"/>
            <w:vMerge w:val="restart"/>
            <w:shd w:val="clear" w:color="auto" w:fill="BFBFBF" w:themeFill="background1" w:themeFillShade="BF"/>
            <w:vAlign w:val="center"/>
          </w:tcPr>
          <w:p w:rsidR="009535AA" w:rsidRPr="008D2B6B" w:rsidRDefault="009535AA" w:rsidP="00EA1768">
            <w:pPr>
              <w:spacing w:before="20"/>
              <w:jc w:val="center"/>
              <w:rPr>
                <w:rFonts w:ascii="Century Gothic" w:hAnsi="Century Gothic"/>
                <w:color w:val="000000"/>
                <w:sz w:val="16"/>
                <w:szCs w:val="16"/>
              </w:rPr>
            </w:pPr>
          </w:p>
        </w:tc>
        <w:tc>
          <w:tcPr>
            <w:tcW w:w="992" w:type="dxa"/>
            <w:vMerge w:val="restart"/>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5</w:t>
            </w:r>
            <w:r>
              <w:rPr>
                <w:rFonts w:ascii="Century Gothic" w:hAnsi="Century Gothic"/>
                <w:color w:val="000000"/>
                <w:sz w:val="16"/>
                <w:szCs w:val="16"/>
              </w:rPr>
              <w:t>,270 GL in 2012-13</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FF3AA7">
              <w:rPr>
                <w:rFonts w:ascii="Century Gothic" w:hAnsi="Century Gothic"/>
                <w:b/>
                <w:bCs/>
                <w:color w:val="76923C" w:themeColor="accent3" w:themeShade="BF"/>
                <w:sz w:val="16"/>
                <w:szCs w:val="16"/>
              </w:rPr>
              <w:t>Maintain</w:t>
            </w:r>
          </w:p>
        </w:tc>
        <w:tc>
          <w:tcPr>
            <w:tcW w:w="2605" w:type="dxa"/>
            <w:vMerge w:val="restart"/>
            <w:tcBorders>
              <w:left w:val="single" w:sz="18" w:space="0" w:color="auto"/>
              <w:right w:val="single" w:sz="18" w:space="0" w:color="auto"/>
            </w:tcBorders>
            <w:shd w:val="clear" w:color="auto" w:fill="95B3D7" w:themeFill="accent1" w:themeFillTint="99"/>
          </w:tcPr>
          <w:p w:rsidR="009535AA" w:rsidRPr="001C6D5C" w:rsidRDefault="009535AA" w:rsidP="00EA1768">
            <w:pPr>
              <w:spacing w:before="20"/>
              <w:jc w:val="center"/>
              <w:rPr>
                <w:rFonts w:ascii="Century Gothic" w:hAnsi="Century Gothic"/>
                <w:sz w:val="16"/>
                <w:szCs w:val="16"/>
              </w:rPr>
            </w:pPr>
            <w:r>
              <w:rPr>
                <w:rFonts w:ascii="Century Gothic" w:hAnsi="Century Gothic"/>
                <w:sz w:val="16"/>
                <w:szCs w:val="16"/>
              </w:rPr>
              <w:t>Commonwealth l</w:t>
            </w:r>
            <w:r w:rsidRPr="001C6D5C">
              <w:rPr>
                <w:rFonts w:ascii="Century Gothic" w:hAnsi="Century Gothic"/>
                <w:sz w:val="16"/>
                <w:szCs w:val="16"/>
              </w:rPr>
              <w:t>ikely to contribute to support natural events, should the</w:t>
            </w:r>
            <w:r>
              <w:rPr>
                <w:rFonts w:ascii="Century Gothic" w:hAnsi="Century Gothic"/>
                <w:sz w:val="16"/>
                <w:szCs w:val="16"/>
              </w:rPr>
              <w:t>y eventuate</w:t>
            </w:r>
          </w:p>
        </w:tc>
        <w:tc>
          <w:tcPr>
            <w:tcW w:w="2283" w:type="dxa"/>
            <w:vMerge w:val="restart"/>
            <w:tcBorders>
              <w:left w:val="single" w:sz="18" w:space="0" w:color="auto"/>
            </w:tcBorders>
            <w:shd w:val="clear" w:color="auto" w:fill="00B05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Very low</w:t>
            </w:r>
          </w:p>
        </w:tc>
        <w:tc>
          <w:tcPr>
            <w:tcW w:w="3092" w:type="dxa"/>
            <w:gridSpan w:val="2"/>
            <w:tcBorders>
              <w:top w:val="nil"/>
              <w:left w:val="single" w:sz="18" w:space="0" w:color="auto"/>
              <w:bottom w:val="single" w:sz="18" w:space="0" w:color="auto"/>
              <w:right w:val="single" w:sz="18" w:space="0" w:color="auto"/>
            </w:tcBorders>
            <w:shd w:val="clear" w:color="auto" w:fill="00B05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Very low</w:t>
            </w:r>
          </w:p>
        </w:tc>
      </w:tr>
      <w:tr w:rsidR="009535AA" w:rsidRPr="008D2B6B" w:rsidTr="0054560D">
        <w:trPr>
          <w:trHeight w:val="369"/>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tcBorders>
              <w:bottom w:val="single" w:sz="18" w:space="0" w:color="auto"/>
            </w:tcBorders>
            <w:vAlign w:val="center"/>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BFBFBF" w:themeFill="background1" w:themeFillShade="BF"/>
            <w:vAlign w:val="center"/>
          </w:tcPr>
          <w:p w:rsidR="009535AA" w:rsidRPr="008D2B6B" w:rsidRDefault="009535AA" w:rsidP="00EA1768">
            <w:pPr>
              <w:spacing w:before="20"/>
              <w:jc w:val="center"/>
              <w:rPr>
                <w:rFonts w:ascii="Century Gothic" w:hAnsi="Century Gothic"/>
                <w:color w:val="000000"/>
                <w:sz w:val="16"/>
                <w:szCs w:val="16"/>
              </w:rPr>
            </w:pPr>
          </w:p>
        </w:tc>
        <w:tc>
          <w:tcPr>
            <w:tcW w:w="992"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FF3AA7"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lang w:eastAsia="en-AU"/>
              </w:rPr>
              <w:t>Low</w:t>
            </w:r>
          </w:p>
        </w:tc>
      </w:tr>
      <w:tr w:rsidR="009535AA" w:rsidRPr="008D2B6B" w:rsidTr="0054560D">
        <w:trPr>
          <w:trHeight w:val="388"/>
        </w:trPr>
        <w:tc>
          <w:tcPr>
            <w:tcW w:w="1526" w:type="dxa"/>
            <w:vMerge/>
          </w:tcPr>
          <w:p w:rsidR="009535AA" w:rsidRPr="008D2B6B" w:rsidRDefault="009535AA" w:rsidP="00EA1768">
            <w:pPr>
              <w:spacing w:before="20"/>
              <w:rPr>
                <w:rFonts w:ascii="Century Gothic" w:hAnsi="Century Gothic"/>
                <w:color w:val="000000"/>
                <w:sz w:val="16"/>
                <w:szCs w:val="16"/>
              </w:rPr>
            </w:pPr>
          </w:p>
        </w:tc>
        <w:tc>
          <w:tcPr>
            <w:tcW w:w="3118" w:type="dxa"/>
            <w:vMerge w:val="restart"/>
            <w:vAlign w:val="center"/>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Barrage flows of 10,000 GL every seven to seventeen years to improve habitat conditions within the Coorong</w:t>
            </w:r>
          </w:p>
        </w:tc>
        <w:tc>
          <w:tcPr>
            <w:tcW w:w="1276"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7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(17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w:t>
            </w:r>
            <w:r w:rsidRPr="008D2B6B">
              <w:rPr>
                <w:rFonts w:ascii="Century Gothic" w:hAnsi="Century Gothic"/>
                <w:color w:val="000000"/>
                <w:sz w:val="16"/>
                <w:szCs w:val="16"/>
              </w:rPr>
              <w:t>et in 2010-11</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FF3AA7">
              <w:rPr>
                <w:rFonts w:ascii="Century Gothic" w:hAnsi="Century Gothic"/>
                <w:b/>
                <w:bCs/>
                <w:color w:val="76923C" w:themeColor="accent3" w:themeShade="BF"/>
                <w:sz w:val="16"/>
                <w:szCs w:val="16"/>
              </w:rPr>
              <w:t>Maintain</w:t>
            </w:r>
          </w:p>
        </w:tc>
        <w:tc>
          <w:tcPr>
            <w:tcW w:w="2605" w:type="dxa"/>
            <w:vMerge w:val="restart"/>
            <w:tcBorders>
              <w:left w:val="single" w:sz="18" w:space="0" w:color="auto"/>
              <w:right w:val="single" w:sz="18" w:space="0" w:color="auto"/>
            </w:tcBorders>
            <w:shd w:val="clear" w:color="auto" w:fill="95B3D7" w:themeFill="accent1" w:themeFillTint="99"/>
          </w:tcPr>
          <w:p w:rsidR="009535AA" w:rsidRPr="001C6D5C" w:rsidRDefault="009535AA" w:rsidP="00EA1768">
            <w:pPr>
              <w:spacing w:before="20"/>
              <w:jc w:val="center"/>
              <w:rPr>
                <w:rFonts w:ascii="Century Gothic" w:hAnsi="Century Gothic"/>
                <w:sz w:val="16"/>
                <w:szCs w:val="16"/>
              </w:rPr>
            </w:pPr>
            <w:r>
              <w:rPr>
                <w:rFonts w:ascii="Century Gothic" w:hAnsi="Century Gothic"/>
                <w:sz w:val="16"/>
                <w:szCs w:val="16"/>
              </w:rPr>
              <w:t>Commonwealth l</w:t>
            </w:r>
            <w:r w:rsidRPr="001C6D5C">
              <w:rPr>
                <w:rFonts w:ascii="Century Gothic" w:hAnsi="Century Gothic"/>
                <w:sz w:val="16"/>
                <w:szCs w:val="16"/>
              </w:rPr>
              <w:t>ikely to contribute to support natural e</w:t>
            </w:r>
            <w:r>
              <w:rPr>
                <w:rFonts w:ascii="Century Gothic" w:hAnsi="Century Gothic"/>
                <w:sz w:val="16"/>
                <w:szCs w:val="16"/>
              </w:rPr>
              <w:t>vents, should they eventuate</w:t>
            </w:r>
          </w:p>
        </w:tc>
        <w:tc>
          <w:tcPr>
            <w:tcW w:w="2283" w:type="dxa"/>
            <w:vMerge w:val="restart"/>
            <w:tcBorders>
              <w:left w:val="single" w:sz="18" w:space="0" w:color="auto"/>
            </w:tcBorders>
            <w:shd w:val="clear" w:color="auto" w:fill="00B05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Very low</w:t>
            </w:r>
          </w:p>
        </w:tc>
        <w:tc>
          <w:tcPr>
            <w:tcW w:w="3092" w:type="dxa"/>
            <w:gridSpan w:val="2"/>
            <w:tcBorders>
              <w:top w:val="nil"/>
              <w:left w:val="single" w:sz="18" w:space="0" w:color="auto"/>
              <w:bottom w:val="single" w:sz="18" w:space="0" w:color="auto"/>
              <w:right w:val="single" w:sz="18" w:space="0" w:color="auto"/>
            </w:tcBorders>
            <w:shd w:val="clear" w:color="auto" w:fill="00B050"/>
            <w:vAlign w:val="center"/>
          </w:tcPr>
          <w:p w:rsidR="009535AA" w:rsidRDefault="009535AA">
            <w:pPr>
              <w:spacing w:before="20"/>
              <w:jc w:val="center"/>
              <w:rPr>
                <w:rFonts w:ascii="Century Gothic" w:hAnsi="Century Gothic"/>
                <w:color w:val="000000"/>
                <w:sz w:val="16"/>
                <w:szCs w:val="16"/>
              </w:rPr>
            </w:pPr>
            <w:r>
              <w:rPr>
                <w:rFonts w:ascii="Century Gothic" w:hAnsi="Century Gothic"/>
                <w:color w:val="000000"/>
                <w:sz w:val="16"/>
                <w:szCs w:val="16"/>
                <w:lang w:eastAsia="en-AU"/>
              </w:rPr>
              <w:t>Very low</w:t>
            </w:r>
          </w:p>
        </w:tc>
      </w:tr>
      <w:tr w:rsidR="009535AA" w:rsidRPr="008D2B6B" w:rsidTr="0054560D">
        <w:trPr>
          <w:trHeight w:val="380"/>
        </w:trPr>
        <w:tc>
          <w:tcPr>
            <w:tcW w:w="152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3118" w:type="dxa"/>
            <w:vMerge/>
            <w:tcBorders>
              <w:bottom w:val="single" w:sz="18" w:space="0" w:color="auto"/>
            </w:tcBorders>
            <w:vAlign w:val="center"/>
          </w:tcPr>
          <w:p w:rsidR="009535AA" w:rsidRPr="008D2B6B" w:rsidRDefault="009535AA" w:rsidP="00EA1768">
            <w:pPr>
              <w:spacing w:before="20"/>
              <w:rPr>
                <w:rFonts w:ascii="Century Gothic" w:hAnsi="Century Gothic"/>
                <w:color w:val="000000"/>
                <w:sz w:val="16"/>
                <w:szCs w:val="16"/>
              </w:rPr>
            </w:pPr>
          </w:p>
        </w:tc>
        <w:tc>
          <w:tcPr>
            <w:tcW w:w="127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tcBorders>
            <w:shd w:val="clear" w:color="auto" w:fill="FFFFFF" w:themeFill="background1"/>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00B050"/>
            <w:vAlign w:val="center"/>
          </w:tcPr>
          <w:p w:rsidR="009535AA"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FF3AA7"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lang w:eastAsia="en-AU"/>
              </w:rPr>
              <w:t>Low</w:t>
            </w:r>
          </w:p>
        </w:tc>
      </w:tr>
      <w:tr w:rsidR="009535AA" w:rsidRPr="0054560D" w:rsidTr="00EA1768">
        <w:trPr>
          <w:trHeight w:val="233"/>
        </w:trPr>
        <w:tc>
          <w:tcPr>
            <w:tcW w:w="11897" w:type="dxa"/>
            <w:gridSpan w:val="7"/>
            <w:vMerge w:val="restart"/>
            <w:tcBorders>
              <w:top w:val="single" w:sz="18" w:space="0" w:color="auto"/>
              <w:left w:val="nil"/>
              <w:right w:val="single" w:sz="18" w:space="0" w:color="auto"/>
            </w:tcBorders>
            <w:shd w:val="clear" w:color="auto" w:fill="auto"/>
          </w:tcPr>
          <w:p w:rsidR="009535AA" w:rsidRPr="0054560D" w:rsidRDefault="009535AA" w:rsidP="00EA1768">
            <w:pPr>
              <w:spacing w:before="20" w:after="40"/>
              <w:rPr>
                <w:rFonts w:ascii="Century Gothic" w:hAnsi="Century Gothic"/>
                <w:color w:val="000000"/>
                <w:sz w:val="16"/>
                <w:szCs w:val="16"/>
              </w:rPr>
            </w:pPr>
            <w:r w:rsidRPr="0054560D">
              <w:rPr>
                <w:rFonts w:ascii="Century Gothic" w:hAnsi="Century Gothic"/>
                <w:color w:val="000000"/>
                <w:sz w:val="16"/>
                <w:szCs w:val="16"/>
              </w:rPr>
              <w:t>1. Sourced from MDBA (2012b)</w:t>
            </w:r>
          </w:p>
          <w:p w:rsidR="009535AA" w:rsidRPr="0054560D" w:rsidRDefault="009535AA" w:rsidP="00EA1768">
            <w:pPr>
              <w:spacing w:before="20" w:after="40"/>
              <w:rPr>
                <w:rFonts w:ascii="Century Gothic" w:hAnsi="Century Gothic"/>
                <w:color w:val="000000"/>
                <w:sz w:val="16"/>
                <w:szCs w:val="16"/>
              </w:rPr>
            </w:pPr>
            <w:r w:rsidRPr="0054560D">
              <w:rPr>
                <w:rFonts w:ascii="Century Gothic" w:hAnsi="Century Gothic"/>
                <w:color w:val="000000"/>
                <w:sz w:val="16"/>
                <w:szCs w:val="16"/>
              </w:rPr>
              <w:t xml:space="preserve">2. Sourced from </w:t>
            </w:r>
            <w:proofErr w:type="spellStart"/>
            <w:r w:rsidRPr="0054560D">
              <w:rPr>
                <w:rFonts w:ascii="Century Gothic" w:hAnsi="Century Gothic"/>
                <w:color w:val="000000"/>
                <w:sz w:val="16"/>
                <w:szCs w:val="16"/>
              </w:rPr>
              <w:t>Nias</w:t>
            </w:r>
            <w:proofErr w:type="spellEnd"/>
            <w:r w:rsidRPr="0054560D">
              <w:rPr>
                <w:rFonts w:ascii="Century Gothic" w:hAnsi="Century Gothic"/>
                <w:color w:val="000000"/>
                <w:sz w:val="16"/>
                <w:szCs w:val="16"/>
              </w:rPr>
              <w:t xml:space="preserve"> (2002)</w:t>
            </w:r>
          </w:p>
          <w:p w:rsidR="009535AA" w:rsidRPr="0054560D" w:rsidRDefault="009535AA" w:rsidP="00EA1768">
            <w:pPr>
              <w:spacing w:before="20" w:after="40"/>
              <w:rPr>
                <w:rFonts w:ascii="Century Gothic" w:hAnsi="Century Gothic"/>
                <w:color w:val="000000"/>
                <w:sz w:val="16"/>
                <w:szCs w:val="16"/>
              </w:rPr>
            </w:pPr>
            <w:r w:rsidRPr="0054560D">
              <w:rPr>
                <w:rFonts w:ascii="Century Gothic" w:hAnsi="Century Gothic"/>
                <w:color w:val="000000"/>
                <w:sz w:val="16"/>
                <w:szCs w:val="16"/>
              </w:rPr>
              <w:t>3. Sourced from Wallace et al. (2014), Ecological Associates (2015), Ecological Associates (2010) and MDBA (2012(j))</w:t>
            </w:r>
          </w:p>
          <w:p w:rsidR="009535AA" w:rsidRPr="0054560D" w:rsidRDefault="009535AA" w:rsidP="00EA1768">
            <w:pPr>
              <w:pStyle w:val="FootnoteText"/>
              <w:spacing w:before="20" w:after="40"/>
              <w:jc w:val="left"/>
              <w:rPr>
                <w:rFonts w:ascii="Century Gothic" w:hAnsi="Century Gothic"/>
                <w:color w:val="000000" w:themeColor="text1"/>
                <w:sz w:val="16"/>
                <w:szCs w:val="16"/>
              </w:rPr>
            </w:pPr>
            <w:r w:rsidRPr="0054560D">
              <w:rPr>
                <w:rFonts w:ascii="Century Gothic" w:hAnsi="Century Gothic"/>
                <w:color w:val="000000" w:themeColor="text1"/>
                <w:sz w:val="16"/>
                <w:szCs w:val="16"/>
              </w:rPr>
              <w:t xml:space="preserve">4. Sourced from MDBA (2012g), (2012j); Roberts and Marston (2011). </w:t>
            </w:r>
          </w:p>
          <w:p w:rsidR="009535AA" w:rsidRPr="0054560D" w:rsidRDefault="009535AA" w:rsidP="00EA1768">
            <w:pPr>
              <w:spacing w:before="20" w:after="40"/>
              <w:rPr>
                <w:rFonts w:ascii="Century Gothic" w:hAnsi="Century Gothic"/>
                <w:color w:val="000000" w:themeColor="text1"/>
                <w:sz w:val="16"/>
                <w:szCs w:val="16"/>
              </w:rPr>
            </w:pPr>
            <w:r w:rsidRPr="0054560D">
              <w:rPr>
                <w:rFonts w:ascii="Century Gothic" w:hAnsi="Century Gothic"/>
                <w:color w:val="000000" w:themeColor="text1"/>
                <w:sz w:val="16"/>
                <w:szCs w:val="16"/>
              </w:rPr>
              <w:t>5. Sourced from MDBA (2012c): 40 000 ML/day for 45-60 days or 50 000 ML/day for 26-45 days. Total duration of natural flows can include multiple discreet flow pulses above 40-50 000 ML/day with a minimum duration of individual pulses of 7 days.</w:t>
            </w:r>
          </w:p>
          <w:p w:rsidR="009535AA" w:rsidRPr="0054560D" w:rsidRDefault="009535AA" w:rsidP="00EA1768">
            <w:pPr>
              <w:pStyle w:val="FootnoteText"/>
              <w:spacing w:before="20" w:after="40"/>
              <w:jc w:val="left"/>
              <w:rPr>
                <w:rFonts w:ascii="Century Gothic" w:hAnsi="Century Gothic"/>
                <w:color w:val="000000"/>
                <w:sz w:val="16"/>
                <w:szCs w:val="16"/>
              </w:rPr>
            </w:pPr>
            <w:r w:rsidRPr="0054560D">
              <w:rPr>
                <w:rFonts w:ascii="Century Gothic" w:hAnsi="Century Gothic"/>
                <w:color w:val="000000"/>
                <w:sz w:val="16"/>
                <w:szCs w:val="16"/>
              </w:rPr>
              <w:t>6. Sourced from MDBA (2014b) and MDBA (2012h)</w:t>
            </w:r>
          </w:p>
          <w:p w:rsidR="009535AA" w:rsidRPr="0054560D" w:rsidRDefault="009535AA" w:rsidP="00EA1768">
            <w:pPr>
              <w:pStyle w:val="FootnoteText"/>
              <w:spacing w:before="20" w:after="40"/>
              <w:jc w:val="left"/>
              <w:rPr>
                <w:rFonts w:ascii="Century Gothic" w:hAnsi="Century Gothic"/>
                <w:color w:val="000000"/>
                <w:sz w:val="16"/>
                <w:szCs w:val="16"/>
              </w:rPr>
            </w:pPr>
            <w:r w:rsidRPr="0054560D">
              <w:rPr>
                <w:rFonts w:ascii="Century Gothic" w:hAnsi="Century Gothic"/>
                <w:color w:val="000000"/>
                <w:sz w:val="16"/>
                <w:szCs w:val="16"/>
              </w:rPr>
              <w:t>7. Sourced from MDBA (2012i)</w:t>
            </w:r>
          </w:p>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noProof/>
                <w:color w:val="000000"/>
                <w:sz w:val="16"/>
                <w:szCs w:val="16"/>
                <w:lang w:eastAsia="en-AU"/>
              </w:rPr>
              <w:drawing>
                <wp:anchor distT="0" distB="0" distL="114300" distR="114300" simplePos="0" relativeHeight="251736064" behindDoc="0" locked="0" layoutInCell="1" allowOverlap="1">
                  <wp:simplePos x="0" y="0"/>
                  <wp:positionH relativeFrom="column">
                    <wp:posOffset>-20348</wp:posOffset>
                  </wp:positionH>
                  <wp:positionV relativeFrom="paragraph">
                    <wp:posOffset>312917</wp:posOffset>
                  </wp:positionV>
                  <wp:extent cx="7587698" cy="3167270"/>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587698" cy="3167270"/>
                          </a:xfrm>
                          <a:prstGeom prst="rect">
                            <a:avLst/>
                          </a:prstGeom>
                          <a:noFill/>
                          <a:ln w="9525">
                            <a:noFill/>
                            <a:miter lim="800000"/>
                            <a:headEnd/>
                            <a:tailEnd/>
                          </a:ln>
                        </pic:spPr>
                      </pic:pic>
                    </a:graphicData>
                  </a:graphic>
                </wp:anchor>
              </w:drawing>
            </w:r>
          </w:p>
        </w:tc>
        <w:tc>
          <w:tcPr>
            <w:tcW w:w="1352" w:type="dxa"/>
            <w:tcBorders>
              <w:top w:val="single" w:sz="18" w:space="0" w:color="auto"/>
              <w:left w:val="single" w:sz="18" w:space="0" w:color="auto"/>
              <w:bottom w:val="single" w:sz="18" w:space="0" w:color="auto"/>
              <w:right w:val="single" w:sz="18" w:space="0" w:color="auto"/>
            </w:tcBorders>
            <w:shd w:val="clear" w:color="auto" w:fill="auto"/>
          </w:tcPr>
          <w:p w:rsidR="009535AA" w:rsidRPr="0054560D" w:rsidRDefault="009535AA" w:rsidP="00EA1768">
            <w:pPr>
              <w:spacing w:before="20"/>
              <w:rPr>
                <w:rFonts w:ascii="Century Gothic" w:hAnsi="Century Gothic"/>
                <w:bCs/>
                <w:color w:val="000000"/>
                <w:sz w:val="16"/>
                <w:szCs w:val="16"/>
              </w:rPr>
            </w:pPr>
            <w:r w:rsidRPr="0054560D">
              <w:rPr>
                <w:rFonts w:ascii="Century Gothic" w:hAnsi="Century Gothic"/>
                <w:bCs/>
                <w:color w:val="000000"/>
                <w:sz w:val="16"/>
                <w:szCs w:val="16"/>
              </w:rPr>
              <w:t>Carryover potential</w:t>
            </w:r>
          </w:p>
        </w:tc>
        <w:tc>
          <w:tcPr>
            <w:tcW w:w="2605" w:type="dxa"/>
            <w:tcBorders>
              <w:top w:val="single" w:sz="18" w:space="0" w:color="auto"/>
              <w:left w:val="single" w:sz="18" w:space="0" w:color="auto"/>
              <w:bottom w:val="single" w:sz="18" w:space="0" w:color="auto"/>
              <w:right w:val="single" w:sz="18" w:space="0" w:color="auto"/>
            </w:tcBorders>
            <w:shd w:val="clear" w:color="auto" w:fill="auto"/>
          </w:tcPr>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color w:val="000000"/>
                <w:sz w:val="18"/>
                <w:szCs w:val="18"/>
              </w:rPr>
              <w:t>Moderate proportion of available allocations expected to be carried into 2016–17</w:t>
            </w:r>
          </w:p>
        </w:tc>
        <w:tc>
          <w:tcPr>
            <w:tcW w:w="2283" w:type="dxa"/>
            <w:tcBorders>
              <w:top w:val="single" w:sz="18" w:space="0" w:color="auto"/>
              <w:left w:val="single" w:sz="18" w:space="0" w:color="auto"/>
              <w:bottom w:val="single" w:sz="18" w:space="0" w:color="auto"/>
            </w:tcBorders>
            <w:shd w:val="clear" w:color="auto" w:fill="auto"/>
          </w:tcPr>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color w:val="000000"/>
                <w:sz w:val="18"/>
                <w:szCs w:val="18"/>
              </w:rPr>
              <w:t>A moderate proportion of available allocations may be carried over to 2017–18, but will depend upon resource availability and demands</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auto"/>
          </w:tcPr>
          <w:p w:rsidR="009535AA" w:rsidRPr="0054560D" w:rsidRDefault="009535AA" w:rsidP="00EA1768">
            <w:pPr>
              <w:spacing w:before="20"/>
              <w:ind w:firstLine="32"/>
              <w:rPr>
                <w:rFonts w:ascii="Century Gothic" w:hAnsi="Century Gothic"/>
                <w:color w:val="000000"/>
                <w:sz w:val="16"/>
                <w:szCs w:val="16"/>
              </w:rPr>
            </w:pPr>
            <w:r w:rsidRPr="0054560D">
              <w:rPr>
                <w:rFonts w:ascii="Century Gothic" w:hAnsi="Century Gothic"/>
                <w:color w:val="000000"/>
                <w:sz w:val="18"/>
                <w:szCs w:val="18"/>
              </w:rPr>
              <w:t>Potential carryover will depend upon resource availability and demands</w:t>
            </w:r>
          </w:p>
        </w:tc>
      </w:tr>
      <w:tr w:rsidR="009535AA" w:rsidRPr="0054560D" w:rsidTr="0054560D">
        <w:trPr>
          <w:trHeight w:val="233"/>
        </w:trPr>
        <w:tc>
          <w:tcPr>
            <w:tcW w:w="11897" w:type="dxa"/>
            <w:gridSpan w:val="7"/>
            <w:vMerge/>
            <w:tcBorders>
              <w:left w:val="nil"/>
              <w:bottom w:val="nil"/>
              <w:right w:val="single" w:sz="18" w:space="0" w:color="auto"/>
            </w:tcBorders>
            <w:shd w:val="clear" w:color="auto" w:fill="auto"/>
          </w:tcPr>
          <w:p w:rsidR="009535AA" w:rsidRPr="0054560D" w:rsidRDefault="009535AA" w:rsidP="00EA1768">
            <w:pPr>
              <w:spacing w:before="20"/>
              <w:jc w:val="center"/>
              <w:rPr>
                <w:rFonts w:ascii="Century Gothic" w:hAnsi="Century Gothic"/>
                <w:color w:val="000000"/>
                <w:sz w:val="16"/>
                <w:szCs w:val="16"/>
              </w:rPr>
            </w:pPr>
          </w:p>
        </w:tc>
        <w:tc>
          <w:tcPr>
            <w:tcW w:w="1352" w:type="dxa"/>
            <w:tcBorders>
              <w:top w:val="single" w:sz="18" w:space="0" w:color="auto"/>
              <w:left w:val="single" w:sz="18" w:space="0" w:color="auto"/>
              <w:bottom w:val="single" w:sz="18" w:space="0" w:color="auto"/>
            </w:tcBorders>
            <w:shd w:val="clear" w:color="auto" w:fill="auto"/>
          </w:tcPr>
          <w:p w:rsidR="009535AA" w:rsidRPr="0054560D" w:rsidRDefault="009535AA" w:rsidP="00EA1768">
            <w:pPr>
              <w:spacing w:before="20"/>
              <w:rPr>
                <w:rFonts w:ascii="Century Gothic" w:hAnsi="Century Gothic"/>
                <w:bCs/>
                <w:color w:val="000000"/>
                <w:sz w:val="16"/>
                <w:szCs w:val="16"/>
              </w:rPr>
            </w:pPr>
            <w:r w:rsidRPr="0054560D">
              <w:rPr>
                <w:rFonts w:ascii="Century Gothic" w:hAnsi="Century Gothic"/>
                <w:bCs/>
                <w:color w:val="000000"/>
                <w:sz w:val="16"/>
                <w:szCs w:val="16"/>
              </w:rPr>
              <w:t xml:space="preserve">Trade potential </w:t>
            </w:r>
          </w:p>
        </w:tc>
        <w:tc>
          <w:tcPr>
            <w:tcW w:w="2605" w:type="dxa"/>
            <w:tcBorders>
              <w:top w:val="single" w:sz="18" w:space="0" w:color="auto"/>
              <w:bottom w:val="single" w:sz="18" w:space="0" w:color="auto"/>
              <w:right w:val="single" w:sz="18" w:space="0" w:color="auto"/>
            </w:tcBorders>
            <w:shd w:val="clear" w:color="auto" w:fill="auto"/>
          </w:tcPr>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color w:val="000000"/>
                <w:sz w:val="18"/>
                <w:szCs w:val="18"/>
              </w:rPr>
              <w:t>No urgency to augment available allocations, therefore limited potential for allocation purchase. Moderate to high demands means allocation sale unlikely</w:t>
            </w:r>
          </w:p>
        </w:tc>
        <w:tc>
          <w:tcPr>
            <w:tcW w:w="2283" w:type="dxa"/>
            <w:tcBorders>
              <w:top w:val="single" w:sz="18" w:space="0" w:color="auto"/>
              <w:left w:val="single" w:sz="18" w:space="0" w:color="auto"/>
              <w:bottom w:val="single" w:sz="18" w:space="0" w:color="auto"/>
            </w:tcBorders>
            <w:shd w:val="clear" w:color="auto" w:fill="auto"/>
          </w:tcPr>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color w:val="000000"/>
                <w:sz w:val="18"/>
                <w:szCs w:val="18"/>
              </w:rPr>
              <w:t>No expected urgency to augment available allocations, therefore limited potential for allocation purchase. Moderate demands means allocation sale unlikely</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auto"/>
          </w:tcPr>
          <w:p w:rsidR="009535AA" w:rsidRPr="0054560D" w:rsidRDefault="009535AA" w:rsidP="00EA1768">
            <w:pPr>
              <w:spacing w:before="20"/>
              <w:rPr>
                <w:rFonts w:ascii="Century Gothic" w:hAnsi="Century Gothic"/>
                <w:color w:val="000000"/>
                <w:sz w:val="16"/>
                <w:szCs w:val="16"/>
              </w:rPr>
            </w:pPr>
            <w:r w:rsidRPr="0054560D">
              <w:rPr>
                <w:rFonts w:ascii="Century Gothic" w:hAnsi="Century Gothic"/>
                <w:color w:val="000000"/>
                <w:sz w:val="18"/>
                <w:szCs w:val="18"/>
              </w:rPr>
              <w:t>Potential to trade will be depend on environmental demands and resource availability</w:t>
            </w:r>
          </w:p>
        </w:tc>
      </w:tr>
    </w:tbl>
    <w:p w:rsidR="00060C7A" w:rsidRPr="0054560D" w:rsidRDefault="00060C7A" w:rsidP="00060C7A">
      <w:pPr>
        <w:rPr>
          <w:color w:val="FF0000"/>
        </w:rPr>
      </w:pPr>
    </w:p>
    <w:p w:rsidR="00060C7A" w:rsidRPr="008D2B6B" w:rsidRDefault="00060C7A" w:rsidP="00060C7A">
      <w:pPr>
        <w:rPr>
          <w:b/>
          <w:u w:val="single"/>
        </w:rPr>
      </w:pPr>
    </w:p>
    <w:p w:rsidR="00060C7A" w:rsidRPr="00D75601" w:rsidRDefault="00060C7A" w:rsidP="00060C7A">
      <w:pPr>
        <w:rPr>
          <w:rFonts w:ascii="Century Gothic" w:hAnsi="Century Gothic"/>
          <w:b/>
          <w:sz w:val="20"/>
          <w:szCs w:val="20"/>
        </w:rPr>
      </w:pPr>
      <w:r w:rsidRPr="008D2B6B">
        <w:rPr>
          <w:rFonts w:ascii="Century Gothic" w:hAnsi="Century Gothic"/>
          <w:b/>
          <w:sz w:val="16"/>
          <w:szCs w:val="16"/>
        </w:rPr>
        <w:br w:type="column"/>
      </w:r>
      <w:r w:rsidRPr="00D75601">
        <w:rPr>
          <w:rFonts w:ascii="Century Gothic" w:hAnsi="Century Gothic"/>
          <w:b/>
          <w:sz w:val="20"/>
          <w:szCs w:val="20"/>
        </w:rPr>
        <w:lastRenderedPageBreak/>
        <w:t>Table 2b</w:t>
      </w:r>
      <w:r w:rsidRPr="00D75601">
        <w:rPr>
          <w:rFonts w:ascii="Century Gothic" w:hAnsi="Century Gothic"/>
          <w:sz w:val="20"/>
          <w:szCs w:val="20"/>
        </w:rPr>
        <w:t xml:space="preserve">: Environmental demands, potential in 2015–16 and outlook for coming years in the </w:t>
      </w:r>
      <w:r w:rsidRPr="00D75601">
        <w:rPr>
          <w:rFonts w:ascii="Century Gothic" w:hAnsi="Century Gothic"/>
          <w:color w:val="000000" w:themeColor="text1"/>
          <w:sz w:val="20"/>
          <w:szCs w:val="20"/>
        </w:rPr>
        <w:t>Lower Murray–Darling Region</w:t>
      </w:r>
      <w:r w:rsidRPr="00D75601">
        <w:rPr>
          <w:rFonts w:ascii="Century Gothic" w:hAnsi="Century Gothic"/>
          <w:sz w:val="20"/>
          <w:szCs w:val="20"/>
        </w:rPr>
        <w:t xml:space="preserve"> – </w:t>
      </w:r>
      <w:r w:rsidRPr="00D75601">
        <w:rPr>
          <w:rFonts w:ascii="Century Gothic" w:hAnsi="Century Gothic"/>
          <w:b/>
          <w:sz w:val="20"/>
          <w:szCs w:val="20"/>
          <w:u w:val="single"/>
        </w:rPr>
        <w:t>HIGH</w:t>
      </w:r>
      <w:r w:rsidRPr="00D75601">
        <w:rPr>
          <w:rFonts w:ascii="Century Gothic" w:hAnsi="Century Gothic"/>
          <w:b/>
          <w:sz w:val="20"/>
          <w:szCs w:val="20"/>
        </w:rPr>
        <w:t xml:space="preserve"> WATER RESOURCE AVAILABILITY IN 2015–16 </w:t>
      </w:r>
      <w:r w:rsidRPr="00D75601">
        <w:rPr>
          <w:rFonts w:ascii="Century Gothic" w:hAnsi="Century Gothic"/>
          <w:sz w:val="20"/>
          <w:szCs w:val="20"/>
        </w:rPr>
        <w:t>(low likelihood of occurrence)</w:t>
      </w:r>
    </w:p>
    <w:tbl>
      <w:tblPr>
        <w:tblStyle w:val="TableGrid"/>
        <w:tblW w:w="0" w:type="auto"/>
        <w:tblLayout w:type="fixed"/>
        <w:tblLook w:val="04A0"/>
      </w:tblPr>
      <w:tblGrid>
        <w:gridCol w:w="1526"/>
        <w:gridCol w:w="2977"/>
        <w:gridCol w:w="1275"/>
        <w:gridCol w:w="1134"/>
        <w:gridCol w:w="1134"/>
        <w:gridCol w:w="992"/>
        <w:gridCol w:w="2859"/>
        <w:gridCol w:w="1352"/>
        <w:gridCol w:w="2605"/>
        <w:gridCol w:w="2283"/>
        <w:gridCol w:w="975"/>
        <w:gridCol w:w="2117"/>
      </w:tblGrid>
      <w:tr w:rsidR="00060C7A" w:rsidRPr="008D2B6B" w:rsidTr="00EA1768">
        <w:tc>
          <w:tcPr>
            <w:tcW w:w="1526" w:type="dxa"/>
            <w:vMerge w:val="restart"/>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Environmental assets</w:t>
            </w:r>
          </w:p>
        </w:tc>
        <w:tc>
          <w:tcPr>
            <w:tcW w:w="2977" w:type="dxa"/>
            <w:vMerge w:val="restart"/>
          </w:tcPr>
          <w:p w:rsidR="00060C7A" w:rsidRPr="008D2B6B" w:rsidRDefault="00060C7A" w:rsidP="00EA1768">
            <w:pPr>
              <w:spacing w:before="20"/>
              <w:rPr>
                <w:rFonts w:ascii="Century Gothic" w:hAnsi="Century Gothic"/>
                <w:b/>
                <w:bCs/>
                <w:color w:val="000000"/>
                <w:sz w:val="16"/>
                <w:szCs w:val="16"/>
                <w:vertAlign w:val="superscript"/>
              </w:rPr>
            </w:pPr>
            <w:r w:rsidRPr="008D2B6B">
              <w:rPr>
                <w:rFonts w:ascii="Century Gothic" w:hAnsi="Century Gothic"/>
                <w:b/>
                <w:bCs/>
                <w:color w:val="000000"/>
                <w:sz w:val="16"/>
                <w:szCs w:val="16"/>
              </w:rPr>
              <w:t xml:space="preserve">Indicative demand (for </w:t>
            </w:r>
            <w:r w:rsidRPr="008D2B6B">
              <w:rPr>
                <w:rFonts w:ascii="Century Gothic" w:hAnsi="Century Gothic"/>
                <w:b/>
                <w:bCs/>
                <w:color w:val="000000"/>
                <w:sz w:val="16"/>
                <w:szCs w:val="16"/>
                <w:u w:val="single"/>
              </w:rPr>
              <w:t>all sources of water</w:t>
            </w:r>
            <w:r w:rsidRPr="008D2B6B">
              <w:rPr>
                <w:rFonts w:ascii="Century Gothic" w:hAnsi="Century Gothic"/>
                <w:b/>
                <w:bCs/>
                <w:color w:val="000000"/>
                <w:sz w:val="16"/>
                <w:szCs w:val="16"/>
              </w:rPr>
              <w:t xml:space="preserve"> in the system)</w:t>
            </w:r>
          </w:p>
        </w:tc>
        <w:tc>
          <w:tcPr>
            <w:tcW w:w="1275" w:type="dxa"/>
            <w:vMerge w:val="restart"/>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Required frequency (maximum dry interval)</w:t>
            </w:r>
          </w:p>
        </w:tc>
        <w:tc>
          <w:tcPr>
            <w:tcW w:w="3260" w:type="dxa"/>
            <w:gridSpan w:val="3"/>
            <w:vMerge w:val="restart"/>
            <w:tcBorders>
              <w:right w:val="single" w:sz="18" w:space="0" w:color="auto"/>
            </w:tcBorders>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Watering history</w:t>
            </w:r>
          </w:p>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(from all sources of water)</w:t>
            </w:r>
          </w:p>
        </w:tc>
        <w:tc>
          <w:tcPr>
            <w:tcW w:w="6816" w:type="dxa"/>
            <w:gridSpan w:val="3"/>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2015-16</w:t>
            </w:r>
          </w:p>
        </w:tc>
        <w:tc>
          <w:tcPr>
            <w:tcW w:w="5375" w:type="dxa"/>
            <w:gridSpan w:val="3"/>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Implications for future demands</w:t>
            </w:r>
          </w:p>
        </w:tc>
      </w:tr>
      <w:tr w:rsidR="00060C7A" w:rsidRPr="008D2B6B" w:rsidTr="00EA1768">
        <w:trPr>
          <w:trHeight w:val="327"/>
        </w:trPr>
        <w:tc>
          <w:tcPr>
            <w:tcW w:w="1526" w:type="dxa"/>
            <w:vMerge/>
          </w:tcPr>
          <w:p w:rsidR="00060C7A" w:rsidRPr="008D2B6B" w:rsidRDefault="00060C7A" w:rsidP="00EA1768">
            <w:pPr>
              <w:spacing w:before="20"/>
              <w:rPr>
                <w:rFonts w:ascii="Century Gothic" w:hAnsi="Century Gothic"/>
                <w:b/>
                <w:bCs/>
                <w:color w:val="000000"/>
                <w:sz w:val="16"/>
                <w:szCs w:val="16"/>
              </w:rPr>
            </w:pPr>
          </w:p>
        </w:tc>
        <w:tc>
          <w:tcPr>
            <w:tcW w:w="2977" w:type="dxa"/>
            <w:vMerge/>
          </w:tcPr>
          <w:p w:rsidR="00060C7A" w:rsidRPr="008D2B6B" w:rsidRDefault="00060C7A" w:rsidP="00EA1768">
            <w:pPr>
              <w:spacing w:before="20"/>
              <w:rPr>
                <w:rFonts w:ascii="Century Gothic" w:hAnsi="Century Gothic"/>
                <w:b/>
                <w:bCs/>
                <w:color w:val="000000"/>
                <w:sz w:val="16"/>
                <w:szCs w:val="16"/>
              </w:rPr>
            </w:pPr>
          </w:p>
        </w:tc>
        <w:tc>
          <w:tcPr>
            <w:tcW w:w="1275" w:type="dxa"/>
            <w:vMerge/>
          </w:tcPr>
          <w:p w:rsidR="00060C7A" w:rsidRPr="008D2B6B" w:rsidRDefault="00060C7A" w:rsidP="00EA1768">
            <w:pPr>
              <w:spacing w:before="20"/>
              <w:rPr>
                <w:rFonts w:ascii="Century Gothic" w:hAnsi="Century Gothic"/>
                <w:b/>
                <w:bCs/>
                <w:color w:val="000000"/>
                <w:sz w:val="16"/>
                <w:szCs w:val="16"/>
              </w:rPr>
            </w:pPr>
          </w:p>
        </w:tc>
        <w:tc>
          <w:tcPr>
            <w:tcW w:w="3260" w:type="dxa"/>
            <w:gridSpan w:val="3"/>
            <w:vMerge/>
            <w:tcBorders>
              <w:right w:val="single" w:sz="18" w:space="0" w:color="auto"/>
            </w:tcBorders>
          </w:tcPr>
          <w:p w:rsidR="00060C7A" w:rsidRPr="008D2B6B" w:rsidRDefault="00060C7A" w:rsidP="00EA1768">
            <w:pPr>
              <w:spacing w:before="20"/>
              <w:rPr>
                <w:rFonts w:ascii="Century Gothic" w:hAnsi="Century Gothic"/>
                <w:sz w:val="16"/>
                <w:szCs w:val="16"/>
              </w:rPr>
            </w:pPr>
          </w:p>
        </w:tc>
        <w:tc>
          <w:tcPr>
            <w:tcW w:w="2859" w:type="dxa"/>
            <w:vMerge w:val="restart"/>
            <w:tcBorders>
              <w:left w:val="single" w:sz="18" w:space="0" w:color="auto"/>
            </w:tcBorders>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Predominant urgency of environmental demand for water</w:t>
            </w:r>
          </w:p>
        </w:tc>
        <w:tc>
          <w:tcPr>
            <w:tcW w:w="1352" w:type="dxa"/>
            <w:vMerge w:val="restart"/>
          </w:tcPr>
          <w:p w:rsidR="00060C7A" w:rsidRPr="008D2B6B" w:rsidRDefault="00060C7A" w:rsidP="00EA1768">
            <w:pPr>
              <w:spacing w:before="20"/>
              <w:jc w:val="center"/>
              <w:rPr>
                <w:rFonts w:ascii="Century Gothic" w:hAnsi="Century Gothic"/>
                <w:b/>
                <w:bCs/>
                <w:color w:val="000000"/>
                <w:sz w:val="16"/>
                <w:szCs w:val="16"/>
              </w:rPr>
            </w:pPr>
            <w:r w:rsidRPr="008D2B6B">
              <w:rPr>
                <w:rFonts w:ascii="Century Gothic" w:hAnsi="Century Gothic"/>
                <w:b/>
                <w:bCs/>
                <w:color w:val="000000"/>
                <w:sz w:val="16"/>
                <w:szCs w:val="16"/>
              </w:rPr>
              <w:t xml:space="preserve">Purpose under </w:t>
            </w:r>
            <w:r w:rsidRPr="008D2B6B">
              <w:rPr>
                <w:rFonts w:ascii="Century Gothic" w:hAnsi="Century Gothic"/>
                <w:b/>
                <w:bCs/>
                <w:color w:val="000000"/>
                <w:sz w:val="16"/>
                <w:szCs w:val="16"/>
                <w:u w:val="single"/>
              </w:rPr>
              <w:t xml:space="preserve">high </w:t>
            </w:r>
            <w:r w:rsidRPr="008D2B6B">
              <w:rPr>
                <w:rFonts w:ascii="Century Gothic" w:hAnsi="Century Gothic"/>
                <w:b/>
                <w:bCs/>
                <w:color w:val="000000"/>
                <w:sz w:val="16"/>
                <w:szCs w:val="16"/>
              </w:rPr>
              <w:t>resource availability</w:t>
            </w:r>
          </w:p>
        </w:tc>
        <w:tc>
          <w:tcPr>
            <w:tcW w:w="2605" w:type="dxa"/>
            <w:vMerge w:val="restart"/>
            <w:tcBorders>
              <w:right w:val="single" w:sz="18" w:space="0" w:color="auto"/>
            </w:tcBorders>
          </w:tcPr>
          <w:p w:rsidR="00060C7A" w:rsidRPr="008D2B6B" w:rsidRDefault="00060C7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Potential Commonwealth environmental water contribution?</w:t>
            </w:r>
          </w:p>
        </w:tc>
        <w:tc>
          <w:tcPr>
            <w:tcW w:w="2283" w:type="dxa"/>
            <w:vMerge w:val="restart"/>
            <w:tcBorders>
              <w:left w:val="single" w:sz="18" w:space="0" w:color="auto"/>
              <w:right w:val="single" w:sz="18" w:space="0" w:color="auto"/>
            </w:tcBorders>
          </w:tcPr>
          <w:p w:rsidR="00060C7A" w:rsidRPr="008D2B6B" w:rsidRDefault="00060C7A" w:rsidP="00EA1768">
            <w:pPr>
              <w:spacing w:before="20"/>
              <w:jc w:val="center"/>
              <w:rPr>
                <w:rFonts w:ascii="Century Gothic" w:hAnsi="Century Gothic"/>
                <w:sz w:val="16"/>
                <w:szCs w:val="16"/>
              </w:rPr>
            </w:pPr>
            <w:r>
              <w:rPr>
                <w:rFonts w:ascii="Century Gothic" w:hAnsi="Century Gothic"/>
                <w:b/>
                <w:bCs/>
                <w:color w:val="000000"/>
                <w:sz w:val="18"/>
                <w:szCs w:val="18"/>
              </w:rPr>
              <w:t>Likely urgency of demand in 2016-17 if watering occurred as planned in 2015-16</w:t>
            </w:r>
          </w:p>
        </w:tc>
        <w:tc>
          <w:tcPr>
            <w:tcW w:w="975" w:type="dxa"/>
            <w:vMerge w:val="restart"/>
            <w:tcBorders>
              <w:left w:val="single" w:sz="18" w:space="0" w:color="auto"/>
              <w:bottom w:val="nil"/>
              <w:right w:val="nil"/>
            </w:tcBorders>
          </w:tcPr>
          <w:p w:rsidR="00060C7A" w:rsidRPr="008D2B6B" w:rsidRDefault="00060C7A" w:rsidP="00EA1768">
            <w:pPr>
              <w:spacing w:before="20"/>
              <w:rPr>
                <w:rFonts w:ascii="Century Gothic" w:hAnsi="Century Gothic"/>
                <w:b/>
                <w:sz w:val="16"/>
                <w:szCs w:val="16"/>
              </w:rPr>
            </w:pPr>
            <w:r w:rsidRPr="008D2B6B">
              <w:rPr>
                <w:rFonts w:ascii="Century Gothic" w:hAnsi="Century Gothic"/>
                <w:b/>
                <w:sz w:val="16"/>
                <w:szCs w:val="16"/>
              </w:rPr>
              <w:t>2017–18</w:t>
            </w:r>
          </w:p>
          <w:p w:rsidR="00060C7A" w:rsidRPr="008D2B6B" w:rsidRDefault="00060C7A" w:rsidP="00EA1768">
            <w:pPr>
              <w:spacing w:before="20"/>
              <w:rPr>
                <w:rFonts w:ascii="Century Gothic" w:hAnsi="Century Gothic"/>
                <w:b/>
                <w:sz w:val="16"/>
                <w:szCs w:val="16"/>
              </w:rPr>
            </w:pPr>
            <w:r w:rsidRPr="008D2B6B">
              <w:rPr>
                <w:rFonts w:ascii="Century Gothic" w:hAnsi="Century Gothic"/>
                <w:b/>
                <w:sz w:val="16"/>
                <w:szCs w:val="16"/>
              </w:rPr>
              <w:t xml:space="preserve">Range of likely demand </w:t>
            </w:r>
          </w:p>
        </w:tc>
        <w:tc>
          <w:tcPr>
            <w:tcW w:w="2117" w:type="dxa"/>
            <w:vMerge w:val="restart"/>
            <w:tcBorders>
              <w:left w:val="nil"/>
              <w:right w:val="single" w:sz="18" w:space="0" w:color="auto"/>
            </w:tcBorders>
          </w:tcPr>
          <w:p w:rsidR="00060C7A" w:rsidRPr="008D2B6B" w:rsidRDefault="00060C7A" w:rsidP="00EA1768">
            <w:pPr>
              <w:spacing w:before="20"/>
              <w:rPr>
                <w:rFonts w:ascii="Century Gothic" w:hAnsi="Century Gothic"/>
                <w:b/>
                <w:sz w:val="16"/>
                <w:szCs w:val="16"/>
              </w:rPr>
            </w:pPr>
            <w:r w:rsidRPr="008D2B6B">
              <w:rPr>
                <w:rFonts w:ascii="Century Gothic" w:hAnsi="Century Gothic"/>
                <w:sz w:val="16"/>
                <w:szCs w:val="16"/>
              </w:rPr>
              <w:t>Met in 2016–17</w:t>
            </w:r>
          </w:p>
        </w:tc>
      </w:tr>
      <w:tr w:rsidR="00060C7A" w:rsidRPr="008D2B6B" w:rsidTr="00EA1768">
        <w:trPr>
          <w:trHeight w:val="134"/>
        </w:trPr>
        <w:tc>
          <w:tcPr>
            <w:tcW w:w="1526" w:type="dxa"/>
            <w:vMerge/>
          </w:tcPr>
          <w:p w:rsidR="00060C7A" w:rsidRPr="008D2B6B" w:rsidRDefault="00060C7A" w:rsidP="00EA1768">
            <w:pPr>
              <w:spacing w:before="20"/>
              <w:rPr>
                <w:rFonts w:ascii="Century Gothic" w:hAnsi="Century Gothic"/>
                <w:sz w:val="16"/>
                <w:szCs w:val="16"/>
              </w:rPr>
            </w:pPr>
          </w:p>
        </w:tc>
        <w:tc>
          <w:tcPr>
            <w:tcW w:w="2977" w:type="dxa"/>
            <w:vMerge/>
          </w:tcPr>
          <w:p w:rsidR="00060C7A" w:rsidRPr="008D2B6B" w:rsidRDefault="00060C7A" w:rsidP="00EA1768">
            <w:pPr>
              <w:spacing w:before="20"/>
              <w:rPr>
                <w:rFonts w:ascii="Century Gothic" w:hAnsi="Century Gothic"/>
                <w:sz w:val="16"/>
                <w:szCs w:val="16"/>
              </w:rPr>
            </w:pPr>
          </w:p>
        </w:tc>
        <w:tc>
          <w:tcPr>
            <w:tcW w:w="1275" w:type="dxa"/>
            <w:vMerge/>
            <w:vAlign w:val="center"/>
          </w:tcPr>
          <w:p w:rsidR="00060C7A" w:rsidRPr="008D2B6B" w:rsidRDefault="00060C7A" w:rsidP="00EA1768">
            <w:pPr>
              <w:spacing w:before="20"/>
              <w:rPr>
                <w:rFonts w:ascii="Century Gothic" w:hAnsi="Century Gothic"/>
                <w:b/>
                <w:bCs/>
                <w:color w:val="000000"/>
                <w:sz w:val="16"/>
                <w:szCs w:val="16"/>
              </w:rPr>
            </w:pPr>
          </w:p>
        </w:tc>
        <w:tc>
          <w:tcPr>
            <w:tcW w:w="1134" w:type="dxa"/>
          </w:tcPr>
          <w:p w:rsidR="00060C7A" w:rsidRPr="008D2B6B" w:rsidRDefault="00060C7A" w:rsidP="00EA1768">
            <w:pPr>
              <w:spacing w:before="20"/>
              <w:jc w:val="center"/>
              <w:rPr>
                <w:rFonts w:ascii="Century Gothic" w:hAnsi="Century Gothic"/>
                <w:b/>
                <w:color w:val="000000"/>
                <w:sz w:val="16"/>
                <w:szCs w:val="16"/>
              </w:rPr>
            </w:pPr>
            <w:r w:rsidRPr="008D2B6B">
              <w:rPr>
                <w:rFonts w:ascii="Century Gothic" w:hAnsi="Century Gothic"/>
                <w:b/>
                <w:color w:val="000000"/>
                <w:sz w:val="16"/>
                <w:szCs w:val="16"/>
              </w:rPr>
              <w:t>2012–13</w:t>
            </w:r>
          </w:p>
        </w:tc>
        <w:tc>
          <w:tcPr>
            <w:tcW w:w="1134" w:type="dxa"/>
          </w:tcPr>
          <w:p w:rsidR="00060C7A" w:rsidRPr="008D2B6B" w:rsidRDefault="00060C7A" w:rsidP="00EA1768">
            <w:pPr>
              <w:spacing w:before="20"/>
              <w:rPr>
                <w:rFonts w:ascii="Century Gothic" w:hAnsi="Century Gothic"/>
                <w:b/>
                <w:color w:val="000000"/>
                <w:sz w:val="16"/>
                <w:szCs w:val="16"/>
              </w:rPr>
            </w:pPr>
            <w:r w:rsidRPr="008D2B6B">
              <w:rPr>
                <w:rFonts w:ascii="Century Gothic" w:hAnsi="Century Gothic"/>
                <w:b/>
                <w:color w:val="000000"/>
                <w:sz w:val="16"/>
                <w:szCs w:val="16"/>
              </w:rPr>
              <w:t>2013–14</w:t>
            </w:r>
          </w:p>
        </w:tc>
        <w:tc>
          <w:tcPr>
            <w:tcW w:w="992" w:type="dxa"/>
            <w:tcBorders>
              <w:right w:val="single" w:sz="18" w:space="0" w:color="auto"/>
            </w:tcBorders>
          </w:tcPr>
          <w:p w:rsidR="00060C7A" w:rsidRPr="008D2B6B" w:rsidRDefault="00060C7A" w:rsidP="00EA1768">
            <w:pPr>
              <w:spacing w:before="20"/>
              <w:rPr>
                <w:rFonts w:ascii="Century Gothic" w:hAnsi="Century Gothic"/>
                <w:b/>
                <w:color w:val="000000"/>
                <w:sz w:val="16"/>
                <w:szCs w:val="16"/>
              </w:rPr>
            </w:pPr>
            <w:r w:rsidRPr="008D2B6B">
              <w:rPr>
                <w:rFonts w:ascii="Century Gothic" w:hAnsi="Century Gothic"/>
                <w:b/>
                <w:color w:val="000000"/>
                <w:sz w:val="16"/>
                <w:szCs w:val="16"/>
              </w:rPr>
              <w:t>2014–15</w:t>
            </w:r>
          </w:p>
        </w:tc>
        <w:tc>
          <w:tcPr>
            <w:tcW w:w="2859" w:type="dxa"/>
            <w:vMerge/>
            <w:tcBorders>
              <w:lef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1352" w:type="dxa"/>
            <w:vMerge/>
            <w:vAlign w:val="center"/>
          </w:tcPr>
          <w:p w:rsidR="00060C7A" w:rsidRPr="008D2B6B" w:rsidRDefault="00060C7A" w:rsidP="00EA1768">
            <w:pPr>
              <w:spacing w:before="20"/>
              <w:rPr>
                <w:rFonts w:ascii="Century Gothic" w:hAnsi="Century Gothic"/>
                <w:b/>
                <w:bCs/>
                <w:color w:val="000000"/>
                <w:sz w:val="16"/>
                <w:szCs w:val="16"/>
              </w:rPr>
            </w:pPr>
          </w:p>
        </w:tc>
        <w:tc>
          <w:tcPr>
            <w:tcW w:w="2605" w:type="dxa"/>
            <w:vMerge/>
            <w:tcBorders>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283" w:type="dxa"/>
            <w:vMerge/>
            <w:tcBorders>
              <w:left w:val="single" w:sz="18" w:space="0" w:color="auto"/>
              <w:right w:val="single" w:sz="18" w:space="0" w:color="auto"/>
            </w:tcBorders>
          </w:tcPr>
          <w:p w:rsidR="00060C7A" w:rsidRPr="008D2B6B" w:rsidRDefault="00060C7A" w:rsidP="00EA1768">
            <w:pPr>
              <w:spacing w:before="20"/>
              <w:rPr>
                <w:rFonts w:ascii="Century Gothic" w:hAnsi="Century Gothic"/>
                <w:b/>
                <w:bCs/>
                <w:color w:val="000000"/>
                <w:sz w:val="16"/>
                <w:szCs w:val="16"/>
              </w:rPr>
            </w:pPr>
          </w:p>
        </w:tc>
        <w:tc>
          <w:tcPr>
            <w:tcW w:w="975" w:type="dxa"/>
            <w:vMerge/>
            <w:tcBorders>
              <w:left w:val="single" w:sz="18" w:space="0" w:color="auto"/>
              <w:bottom w:val="nil"/>
              <w:right w:val="nil"/>
            </w:tcBorders>
          </w:tcPr>
          <w:p w:rsidR="00060C7A" w:rsidRPr="008D2B6B" w:rsidRDefault="00060C7A" w:rsidP="00EA1768">
            <w:pPr>
              <w:spacing w:before="20"/>
              <w:rPr>
                <w:rFonts w:ascii="Century Gothic" w:hAnsi="Century Gothic"/>
                <w:sz w:val="16"/>
                <w:szCs w:val="16"/>
              </w:rPr>
            </w:pPr>
          </w:p>
        </w:tc>
        <w:tc>
          <w:tcPr>
            <w:tcW w:w="2117" w:type="dxa"/>
            <w:vMerge/>
            <w:tcBorders>
              <w:left w:val="nil"/>
              <w:right w:val="single" w:sz="18" w:space="0" w:color="auto"/>
            </w:tcBorders>
          </w:tcPr>
          <w:p w:rsidR="00060C7A" w:rsidRPr="008D2B6B" w:rsidRDefault="00060C7A" w:rsidP="00EA1768">
            <w:pPr>
              <w:spacing w:before="20"/>
              <w:rPr>
                <w:rFonts w:ascii="Century Gothic" w:hAnsi="Century Gothic"/>
                <w:sz w:val="16"/>
                <w:szCs w:val="16"/>
              </w:rPr>
            </w:pPr>
          </w:p>
        </w:tc>
      </w:tr>
      <w:tr w:rsidR="00060C7A" w:rsidRPr="008D2B6B" w:rsidTr="00EA1768">
        <w:trPr>
          <w:trHeight w:val="310"/>
        </w:trPr>
        <w:tc>
          <w:tcPr>
            <w:tcW w:w="1526" w:type="dxa"/>
            <w:vMerge/>
            <w:tcBorders>
              <w:bottom w:val="single" w:sz="18" w:space="0" w:color="auto"/>
            </w:tcBorders>
          </w:tcPr>
          <w:p w:rsidR="00060C7A" w:rsidRPr="008D2B6B" w:rsidRDefault="00060C7A" w:rsidP="00EA1768">
            <w:pPr>
              <w:spacing w:before="20"/>
              <w:rPr>
                <w:rFonts w:ascii="Century Gothic" w:hAnsi="Century Gothic"/>
                <w:sz w:val="16"/>
                <w:szCs w:val="16"/>
              </w:rPr>
            </w:pPr>
          </w:p>
        </w:tc>
        <w:tc>
          <w:tcPr>
            <w:tcW w:w="2977" w:type="dxa"/>
            <w:vMerge/>
            <w:tcBorders>
              <w:bottom w:val="single" w:sz="18" w:space="0" w:color="auto"/>
            </w:tcBorders>
          </w:tcPr>
          <w:p w:rsidR="00060C7A" w:rsidRPr="008D2B6B" w:rsidRDefault="00060C7A" w:rsidP="00EA1768">
            <w:pPr>
              <w:spacing w:before="20"/>
              <w:rPr>
                <w:rFonts w:ascii="Century Gothic" w:hAnsi="Century Gothic"/>
                <w:sz w:val="16"/>
                <w:szCs w:val="16"/>
              </w:rPr>
            </w:pPr>
          </w:p>
        </w:tc>
        <w:tc>
          <w:tcPr>
            <w:tcW w:w="1275" w:type="dxa"/>
            <w:vMerge/>
            <w:tcBorders>
              <w:bottom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1134" w:type="dxa"/>
            <w:tcBorders>
              <w:bottom w:val="single" w:sz="18" w:space="0" w:color="auto"/>
            </w:tcBorders>
          </w:tcPr>
          <w:p w:rsidR="00060C7A" w:rsidRPr="008D2B6B" w:rsidRDefault="00060C7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wet</w:t>
            </w:r>
          </w:p>
        </w:tc>
        <w:tc>
          <w:tcPr>
            <w:tcW w:w="1134" w:type="dxa"/>
            <w:tcBorders>
              <w:bottom w:val="single" w:sz="18" w:space="0" w:color="auto"/>
            </w:tcBorders>
          </w:tcPr>
          <w:p w:rsidR="00060C7A" w:rsidRPr="008D2B6B" w:rsidRDefault="00060C7A" w:rsidP="00EA1768">
            <w:pPr>
              <w:spacing w:before="20"/>
              <w:ind w:right="-96"/>
              <w:rPr>
                <w:rFonts w:ascii="Century Gothic" w:hAnsi="Century Gothic"/>
                <w:color w:val="000000"/>
                <w:sz w:val="16"/>
                <w:szCs w:val="16"/>
              </w:rPr>
            </w:pPr>
            <w:r w:rsidRPr="008D2B6B">
              <w:rPr>
                <w:rFonts w:ascii="Century Gothic" w:hAnsi="Century Gothic"/>
                <w:color w:val="000000"/>
                <w:sz w:val="16"/>
                <w:szCs w:val="16"/>
              </w:rPr>
              <w:t>moderate</w:t>
            </w:r>
          </w:p>
        </w:tc>
        <w:tc>
          <w:tcPr>
            <w:tcW w:w="992" w:type="dxa"/>
            <w:tcBorders>
              <w:bottom w:val="single" w:sz="18" w:space="0" w:color="auto"/>
              <w:right w:val="single" w:sz="18" w:space="0" w:color="auto"/>
            </w:tcBorders>
          </w:tcPr>
          <w:p w:rsidR="00060C7A" w:rsidRPr="008D2B6B" w:rsidRDefault="00060C7A" w:rsidP="00EA1768">
            <w:pPr>
              <w:spacing w:before="20"/>
              <w:rPr>
                <w:rFonts w:ascii="Century Gothic" w:hAnsi="Century Gothic"/>
                <w:color w:val="000000"/>
                <w:sz w:val="16"/>
                <w:szCs w:val="16"/>
              </w:rPr>
            </w:pPr>
            <w:r w:rsidRPr="008D2B6B">
              <w:rPr>
                <w:rFonts w:ascii="Century Gothic" w:hAnsi="Century Gothic"/>
                <w:color w:val="000000"/>
                <w:sz w:val="16"/>
                <w:szCs w:val="16"/>
              </w:rPr>
              <w:t>drying</w:t>
            </w:r>
          </w:p>
        </w:tc>
        <w:tc>
          <w:tcPr>
            <w:tcW w:w="2859" w:type="dxa"/>
            <w:vMerge/>
            <w:tcBorders>
              <w:left w:val="single" w:sz="18" w:space="0" w:color="auto"/>
              <w:bottom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1352" w:type="dxa"/>
            <w:vMerge/>
            <w:tcBorders>
              <w:bottom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605" w:type="dxa"/>
            <w:vMerge/>
            <w:tcBorders>
              <w:bottom w:val="single" w:sz="18" w:space="0" w:color="auto"/>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2283" w:type="dxa"/>
            <w:vMerge/>
            <w:tcBorders>
              <w:left w:val="single" w:sz="18" w:space="0" w:color="auto"/>
              <w:bottom w:val="single" w:sz="18" w:space="0" w:color="auto"/>
              <w:right w:val="single" w:sz="18" w:space="0" w:color="auto"/>
            </w:tcBorders>
            <w:vAlign w:val="center"/>
          </w:tcPr>
          <w:p w:rsidR="00060C7A" w:rsidRPr="008D2B6B" w:rsidRDefault="00060C7A" w:rsidP="00EA1768">
            <w:pPr>
              <w:spacing w:before="20"/>
              <w:rPr>
                <w:rFonts w:ascii="Century Gothic" w:hAnsi="Century Gothic"/>
                <w:b/>
                <w:bCs/>
                <w:color w:val="000000"/>
                <w:sz w:val="16"/>
                <w:szCs w:val="16"/>
              </w:rPr>
            </w:pPr>
          </w:p>
        </w:tc>
        <w:tc>
          <w:tcPr>
            <w:tcW w:w="975" w:type="dxa"/>
            <w:vMerge/>
            <w:tcBorders>
              <w:left w:val="single" w:sz="18" w:space="0" w:color="auto"/>
              <w:bottom w:val="nil"/>
              <w:right w:val="nil"/>
            </w:tcBorders>
          </w:tcPr>
          <w:p w:rsidR="00060C7A" w:rsidRPr="008D2B6B" w:rsidRDefault="00060C7A" w:rsidP="00EA1768">
            <w:pPr>
              <w:spacing w:before="20"/>
              <w:rPr>
                <w:rFonts w:ascii="Century Gothic" w:hAnsi="Century Gothic"/>
                <w:sz w:val="16"/>
                <w:szCs w:val="16"/>
              </w:rPr>
            </w:pPr>
          </w:p>
        </w:tc>
        <w:tc>
          <w:tcPr>
            <w:tcW w:w="2117" w:type="dxa"/>
            <w:tcBorders>
              <w:left w:val="nil"/>
              <w:bottom w:val="single" w:sz="18" w:space="0" w:color="auto"/>
              <w:right w:val="single" w:sz="18" w:space="0" w:color="auto"/>
            </w:tcBorders>
          </w:tcPr>
          <w:p w:rsidR="00060C7A" w:rsidRPr="008D2B6B" w:rsidRDefault="00060C7A" w:rsidP="00EA1768">
            <w:pPr>
              <w:spacing w:before="20"/>
              <w:rPr>
                <w:rFonts w:ascii="Century Gothic" w:hAnsi="Century Gothic"/>
                <w:sz w:val="16"/>
                <w:szCs w:val="16"/>
              </w:rPr>
            </w:pPr>
            <w:r w:rsidRPr="008D2B6B">
              <w:rPr>
                <w:rFonts w:ascii="Century Gothic" w:hAnsi="Century Gothic"/>
                <w:sz w:val="16"/>
                <w:szCs w:val="16"/>
              </w:rPr>
              <w:t>Not met in 2016–17</w:t>
            </w:r>
          </w:p>
        </w:tc>
      </w:tr>
      <w:tr w:rsidR="009535AA" w:rsidRPr="008D2B6B" w:rsidTr="009535AA">
        <w:trPr>
          <w:trHeight w:val="426"/>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Lower Darling River</w:t>
            </w:r>
            <w:r w:rsidRPr="008D2B6B">
              <w:rPr>
                <w:rFonts w:ascii="Century Gothic" w:hAnsi="Century Gothic"/>
                <w:b/>
                <w:color w:val="000000"/>
                <w:sz w:val="16"/>
                <w:szCs w:val="16"/>
                <w:vertAlign w:val="superscript"/>
              </w:rPr>
              <w:t>1</w:t>
            </w: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Smal</w:t>
            </w:r>
            <w:r>
              <w:rPr>
                <w:rFonts w:ascii="Century Gothic" w:hAnsi="Century Gothic"/>
                <w:color w:val="000000"/>
                <w:sz w:val="16"/>
                <w:szCs w:val="16"/>
              </w:rPr>
              <w:t>l to moderate river flow (7,000 </w:t>
            </w:r>
            <w:r w:rsidRPr="008D2B6B">
              <w:rPr>
                <w:rFonts w:ascii="Century Gothic" w:hAnsi="Century Gothic"/>
                <w:color w:val="000000"/>
                <w:sz w:val="16"/>
                <w:szCs w:val="16"/>
              </w:rPr>
              <w:t>ML/d</w:t>
            </w:r>
            <w:r>
              <w:rPr>
                <w:rFonts w:ascii="Century Gothic" w:hAnsi="Century Gothic"/>
                <w:color w:val="000000"/>
                <w:sz w:val="16"/>
                <w:szCs w:val="16"/>
              </w:rPr>
              <w:t>ay</w:t>
            </w:r>
            <w:r w:rsidRPr="008D2B6B">
              <w:rPr>
                <w:rFonts w:ascii="Century Gothic" w:hAnsi="Century Gothic"/>
                <w:color w:val="000000"/>
                <w:sz w:val="16"/>
                <w:szCs w:val="16"/>
              </w:rPr>
              <w:t xml:space="preserve"> @ Weir 32 for 10 days in summer)</w:t>
            </w:r>
          </w:p>
        </w:tc>
        <w:tc>
          <w:tcPr>
            <w:tcW w:w="1275" w:type="dxa"/>
            <w:vMerge w:val="restart"/>
            <w:tcBorders>
              <w:top w:val="single" w:sz="18" w:space="0" w:color="auto"/>
            </w:tcBorders>
          </w:tcPr>
          <w:p w:rsidR="009535AA" w:rsidRPr="00990D48" w:rsidRDefault="009535AA" w:rsidP="00EA1768">
            <w:pPr>
              <w:spacing w:before="20"/>
              <w:rPr>
                <w:rFonts w:ascii="Century Gothic" w:hAnsi="Century Gothic"/>
                <w:sz w:val="16"/>
                <w:szCs w:val="16"/>
              </w:rPr>
            </w:pPr>
            <w:r w:rsidRPr="00990D48">
              <w:rPr>
                <w:rFonts w:ascii="Century Gothic" w:hAnsi="Century Gothic"/>
                <w:sz w:val="16"/>
                <w:szCs w:val="16"/>
              </w:rPr>
              <w:t xml:space="preserve">1-2 in 5 years (max interval unknown) </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1134"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r>
              <w:rPr>
                <w:rFonts w:ascii="Century Gothic" w:hAnsi="Century Gothic"/>
                <w:color w:val="FFFFFF" w:themeColor="background1"/>
                <w:sz w:val="16"/>
                <w:szCs w:val="16"/>
              </w:rPr>
              <w:t xml:space="preserve">Potential </w:t>
            </w:r>
            <w:r w:rsidRPr="008D2B6B">
              <w:rPr>
                <w:rFonts w:ascii="Century Gothic" w:hAnsi="Century Gothic"/>
                <w:color w:val="FFFFFF" w:themeColor="background1"/>
                <w:sz w:val="16"/>
                <w:szCs w:val="16"/>
              </w:rPr>
              <w:t xml:space="preserve">Commonwealth environmental water </w:t>
            </w:r>
            <w:r>
              <w:rPr>
                <w:rFonts w:ascii="Century Gothic" w:hAnsi="Century Gothic"/>
                <w:color w:val="FFFFFF" w:themeColor="background1"/>
                <w:sz w:val="16"/>
                <w:szCs w:val="16"/>
              </w:rPr>
              <w:t>contribution</w:t>
            </w:r>
            <w:r w:rsidRPr="008D2B6B">
              <w:rPr>
                <w:rFonts w:ascii="Century Gothic" w:hAnsi="Century Gothic"/>
                <w:color w:val="FFFFFF" w:themeColor="background1"/>
                <w:sz w:val="16"/>
                <w:szCs w:val="16"/>
              </w:rPr>
              <w:t xml:space="preserve">, subject to </w:t>
            </w:r>
            <w:r>
              <w:rPr>
                <w:rFonts w:ascii="Century Gothic" w:hAnsi="Century Gothic"/>
                <w:color w:val="FFFFFF" w:themeColor="background1"/>
                <w:sz w:val="16"/>
                <w:szCs w:val="16"/>
              </w:rPr>
              <w:t>water availability within</w:t>
            </w:r>
            <w:r w:rsidRPr="008D2B6B">
              <w:rPr>
                <w:rFonts w:ascii="Century Gothic" w:hAnsi="Century Gothic"/>
                <w:color w:val="FFFFFF" w:themeColor="background1"/>
                <w:sz w:val="16"/>
                <w:szCs w:val="16"/>
              </w:rPr>
              <w:t xml:space="preserve"> Menindee Lakes</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nil"/>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16"/>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990D48" w:rsidRDefault="009535AA" w:rsidP="00EA1768">
            <w:pPr>
              <w:spacing w:before="20"/>
              <w:rPr>
                <w:rFonts w:ascii="Century Gothic" w:hAnsi="Century Gothic"/>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EA1768">
            <w:pPr>
              <w:spacing w:before="20"/>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428"/>
        </w:trPr>
        <w:tc>
          <w:tcPr>
            <w:tcW w:w="1526" w:type="dxa"/>
            <w:vMerge w:val="restart"/>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Great Darling Anabranch</w:t>
            </w:r>
            <w:r w:rsidRPr="008D2B6B">
              <w:rPr>
                <w:rFonts w:ascii="Century Gothic" w:hAnsi="Century Gothic"/>
                <w:b/>
                <w:color w:val="000000"/>
                <w:sz w:val="16"/>
                <w:szCs w:val="16"/>
                <w:vertAlign w:val="superscript"/>
              </w:rPr>
              <w:t>2</w:t>
            </w:r>
          </w:p>
        </w:tc>
        <w:tc>
          <w:tcPr>
            <w:tcW w:w="2977"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1,500-2,000 ML/d</w:t>
            </w:r>
            <w:r>
              <w:rPr>
                <w:rFonts w:ascii="Century Gothic" w:hAnsi="Century Gothic"/>
                <w:color w:val="000000"/>
                <w:sz w:val="16"/>
                <w:szCs w:val="16"/>
              </w:rPr>
              <w:t>ay</w:t>
            </w:r>
            <w:r w:rsidRPr="008D2B6B">
              <w:rPr>
                <w:rFonts w:ascii="Century Gothic" w:hAnsi="Century Gothic"/>
                <w:color w:val="000000"/>
                <w:sz w:val="16"/>
                <w:szCs w:val="16"/>
              </w:rPr>
              <w:t xml:space="preserve"> from Menindee Lakes for 30-45 days</w:t>
            </w:r>
          </w:p>
        </w:tc>
        <w:tc>
          <w:tcPr>
            <w:tcW w:w="1275" w:type="dxa"/>
            <w:vMerge w:val="restart"/>
          </w:tcPr>
          <w:p w:rsidR="009535AA" w:rsidRPr="00990D48" w:rsidRDefault="009535AA" w:rsidP="00EA1768">
            <w:pPr>
              <w:spacing w:before="20"/>
              <w:rPr>
                <w:rFonts w:ascii="Century Gothic" w:hAnsi="Century Gothic"/>
                <w:color w:val="000000"/>
                <w:sz w:val="16"/>
                <w:szCs w:val="16"/>
              </w:rPr>
            </w:pPr>
            <w:r w:rsidRPr="00990D48">
              <w:rPr>
                <w:rFonts w:ascii="Century Gothic" w:hAnsi="Century Gothic"/>
                <w:color w:val="000000"/>
                <w:sz w:val="16"/>
                <w:szCs w:val="16"/>
              </w:rPr>
              <w:t>1 in 2 years (max interval unknown)</w:t>
            </w:r>
          </w:p>
        </w:tc>
        <w:tc>
          <w:tcPr>
            <w:tcW w:w="1134" w:type="dxa"/>
            <w:vMerge w:val="restart"/>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r w:rsidRPr="008D2B6B">
              <w:rPr>
                <w:rFonts w:ascii="Century Gothic" w:hAnsi="Century Gothic"/>
                <w:b/>
                <w:bCs/>
                <w:color w:val="365F91" w:themeColor="accent1" w:themeShade="BF"/>
                <w:sz w:val="16"/>
                <w:szCs w:val="16"/>
              </w:rPr>
              <w:t>Improve</w:t>
            </w:r>
          </w:p>
        </w:tc>
        <w:tc>
          <w:tcPr>
            <w:tcW w:w="2605" w:type="dxa"/>
            <w:vMerge/>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sz w:val="16"/>
                <w:szCs w:val="16"/>
              </w:rPr>
            </w:pPr>
          </w:p>
        </w:tc>
        <w:tc>
          <w:tcPr>
            <w:tcW w:w="2283" w:type="dxa"/>
            <w:vMerge w:val="restart"/>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28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418"/>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River Murray from Euston to Lower Lakes, including pool level wetlands</w:t>
            </w:r>
            <w:r w:rsidRPr="008D2B6B">
              <w:rPr>
                <w:rFonts w:ascii="Century Gothic" w:hAnsi="Century Gothic"/>
                <w:b/>
                <w:color w:val="000000"/>
                <w:sz w:val="16"/>
                <w:szCs w:val="16"/>
                <w:vertAlign w:val="superscript"/>
              </w:rPr>
              <w:t>3</w:t>
            </w: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River flow of at least 10 </w:t>
            </w:r>
            <w:r w:rsidRPr="008D2B6B">
              <w:rPr>
                <w:rFonts w:ascii="Century Gothic" w:hAnsi="Century Gothic"/>
                <w:color w:val="000000"/>
                <w:sz w:val="16"/>
                <w:szCs w:val="16"/>
              </w:rPr>
              <w:t>000 ML/day @ SA border for up to 60 days in spring/summer</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sz w:val="16"/>
                <w:szCs w:val="16"/>
              </w:rPr>
            </w:pPr>
            <w:r w:rsidRPr="008D2B6B">
              <w:rPr>
                <w:rFonts w:ascii="Century Gothic" w:hAnsi="Century Gothic"/>
                <w:sz w:val="16"/>
                <w:szCs w:val="16"/>
              </w:rPr>
              <w:t>9 in 10 years (2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p w:rsidR="009535AA" w:rsidRPr="008D2B6B" w:rsidRDefault="009535AA" w:rsidP="00EA1768">
            <w:pPr>
              <w:spacing w:before="20"/>
              <w:rPr>
                <w:rFonts w:ascii="Century Gothic" w:hAnsi="Century Gothic"/>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sz w:val="16"/>
                <w:szCs w:val="16"/>
              </w:rPr>
            </w:pPr>
            <w:r>
              <w:rPr>
                <w:rFonts w:ascii="Century Gothic" w:hAnsi="Century Gothic"/>
                <w:color w:val="FFFFFF"/>
                <w:sz w:val="16"/>
                <w:szCs w:val="16"/>
              </w:rPr>
              <w:t>Likely Commonwealth environmental water contribution, subject to seasonal cues</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87"/>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9535AA">
        <w:trPr>
          <w:trHeight w:val="419"/>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River flow of 15-25 </w:t>
            </w:r>
            <w:r w:rsidRPr="008D2B6B">
              <w:rPr>
                <w:rFonts w:ascii="Century Gothic" w:hAnsi="Century Gothic"/>
                <w:color w:val="000000"/>
                <w:sz w:val="16"/>
                <w:szCs w:val="16"/>
              </w:rPr>
              <w:t>000 ML/day @ SA border for up to 90 days in spring/summer</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2  in 3 years (2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r>
              <w:rPr>
                <w:rFonts w:ascii="Century Gothic" w:hAnsi="Century Gothic"/>
                <w:color w:val="FFFFFF"/>
                <w:sz w:val="16"/>
                <w:szCs w:val="16"/>
              </w:rPr>
              <w:t>Likely Commonwealth environmental water contribution, subject to seasonal cues</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nil"/>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257"/>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nil"/>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39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River flow of 25-35</w:t>
            </w:r>
            <w:r>
              <w:rPr>
                <w:rFonts w:ascii="Century Gothic" w:hAnsi="Century Gothic"/>
                <w:color w:val="000000"/>
                <w:sz w:val="16"/>
                <w:szCs w:val="16"/>
              </w:rPr>
              <w:t xml:space="preserve"> </w:t>
            </w:r>
            <w:r w:rsidRPr="008D2B6B">
              <w:rPr>
                <w:rFonts w:ascii="Century Gothic" w:hAnsi="Century Gothic"/>
                <w:color w:val="000000"/>
                <w:sz w:val="16"/>
                <w:szCs w:val="16"/>
              </w:rPr>
              <w:t>000 ML/day @ SA border for up to 60 days in spring/summer</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2 years (3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sz w:val="16"/>
                <w:szCs w:val="16"/>
              </w:rPr>
            </w:pPr>
            <w:r>
              <w:rPr>
                <w:rFonts w:ascii="Century Gothic" w:hAnsi="Century Gothic"/>
                <w:sz w:val="16"/>
                <w:szCs w:val="16"/>
              </w:rPr>
              <w:t>Moderate</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FF632C" w:rsidRDefault="009535AA" w:rsidP="00EA1768">
            <w:pPr>
              <w:spacing w:before="20"/>
              <w:jc w:val="center"/>
              <w:rPr>
                <w:rFonts w:ascii="Century Gothic" w:hAnsi="Century Gothic"/>
                <w:sz w:val="16"/>
                <w:szCs w:val="16"/>
              </w:rPr>
            </w:pPr>
            <w:r w:rsidRPr="00FF632C">
              <w:rPr>
                <w:rFonts w:ascii="Century Gothic" w:hAnsi="Century Gothic"/>
                <w:sz w:val="16"/>
                <w:szCs w:val="16"/>
              </w:rPr>
              <w:t>Potential Commonwealth environmental water contribution, subject to seasonal cues</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nil"/>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28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Moderate-High</w:t>
            </w:r>
          </w:p>
        </w:tc>
      </w:tr>
      <w:tr w:rsidR="009535AA" w:rsidRPr="008D2B6B" w:rsidTr="009535AA">
        <w:trPr>
          <w:trHeight w:val="782"/>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color w:val="000000"/>
                <w:sz w:val="16"/>
                <w:szCs w:val="16"/>
              </w:rPr>
              <w:t>Hattah Lakes</w:t>
            </w:r>
            <w:r w:rsidRPr="008D2B6B">
              <w:rPr>
                <w:rFonts w:ascii="Century Gothic" w:hAnsi="Century Gothic"/>
                <w:b/>
                <w:color w:val="000000"/>
                <w:sz w:val="16"/>
                <w:szCs w:val="16"/>
                <w:vertAlign w:val="superscript"/>
              </w:rPr>
              <w:t>4</w:t>
            </w: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Small </w:t>
            </w:r>
            <w:r>
              <w:rPr>
                <w:rFonts w:ascii="Century Gothic" w:hAnsi="Century Gothic"/>
                <w:color w:val="000000"/>
                <w:sz w:val="16"/>
                <w:szCs w:val="16"/>
              </w:rPr>
              <w:t>action</w:t>
            </w:r>
            <w:r w:rsidRPr="008D2B6B">
              <w:rPr>
                <w:rFonts w:ascii="Century Gothic" w:hAnsi="Century Gothic"/>
                <w:color w:val="000000"/>
                <w:sz w:val="16"/>
                <w:szCs w:val="16"/>
              </w:rPr>
              <w:t xml:space="preserve"> targeting temporary wetlands (inundation to 42-43 m A</w:t>
            </w:r>
            <w:r>
              <w:rPr>
                <w:rFonts w:ascii="Century Gothic" w:hAnsi="Century Gothic"/>
                <w:color w:val="000000"/>
                <w:sz w:val="16"/>
                <w:szCs w:val="16"/>
              </w:rPr>
              <w:t xml:space="preserve">HD in winter/spring) - up to 22 </w:t>
            </w:r>
            <w:r w:rsidRPr="008D2B6B">
              <w:rPr>
                <w:rFonts w:ascii="Century Gothic" w:hAnsi="Century Gothic"/>
                <w:color w:val="000000"/>
                <w:sz w:val="16"/>
                <w:szCs w:val="16"/>
              </w:rPr>
              <w:t xml:space="preserve">000 ML via infrastructure, equivalent to </w:t>
            </w:r>
            <w:r>
              <w:rPr>
                <w:rFonts w:ascii="Century Gothic" w:hAnsi="Century Gothic"/>
                <w:color w:val="000000"/>
                <w:sz w:val="16"/>
                <w:szCs w:val="16"/>
              </w:rPr>
              <w:t xml:space="preserve">natural event of 40-50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at Euston for 26-60 days</w:t>
            </w:r>
            <w:r w:rsidRPr="008D2B6B">
              <w:rPr>
                <w:rStyle w:val="FootnoteReference"/>
                <w:rFonts w:ascii="Century Gothic" w:hAnsi="Century Gothic"/>
                <w:color w:val="000000"/>
                <w:sz w:val="16"/>
                <w:szCs w:val="16"/>
              </w:rPr>
              <w:footnoteReference w:id="3"/>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1 in 2-3 years </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(4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Despite higher river flows, temporary levees prevented inundation</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jc w:val="center"/>
              <w:rPr>
                <w:rFonts w:ascii="Century Gothic" w:hAnsi="Century Gothic"/>
                <w:sz w:val="16"/>
                <w:szCs w:val="16"/>
              </w:rPr>
            </w:pPr>
            <w:r>
              <w:rPr>
                <w:rFonts w:ascii="Century Gothic" w:hAnsi="Century Gothic"/>
                <w:sz w:val="16"/>
                <w:szCs w:val="16"/>
              </w:rPr>
              <w:t xml:space="preserve">If sufficient </w:t>
            </w:r>
            <w:r w:rsidRPr="008D2B6B">
              <w:rPr>
                <w:rFonts w:ascii="Century Gothic" w:hAnsi="Century Gothic"/>
                <w:sz w:val="16"/>
                <w:szCs w:val="16"/>
              </w:rPr>
              <w:t>C</w:t>
            </w:r>
            <w:r>
              <w:rPr>
                <w:rFonts w:ascii="Century Gothic" w:hAnsi="Century Gothic"/>
                <w:sz w:val="16"/>
                <w:szCs w:val="16"/>
              </w:rPr>
              <w:t xml:space="preserve">ommonwealth water </w:t>
            </w:r>
            <w:r w:rsidRPr="008D2B6B">
              <w:rPr>
                <w:rFonts w:ascii="Century Gothic" w:hAnsi="Century Gothic"/>
                <w:sz w:val="16"/>
                <w:szCs w:val="16"/>
              </w:rPr>
              <w:t xml:space="preserve">available and </w:t>
            </w:r>
            <w:r>
              <w:rPr>
                <w:rFonts w:ascii="Century Gothic" w:hAnsi="Century Gothic"/>
                <w:sz w:val="16"/>
                <w:szCs w:val="16"/>
              </w:rPr>
              <w:t xml:space="preserve">was </w:t>
            </w:r>
            <w:r w:rsidRPr="008D2B6B">
              <w:rPr>
                <w:rFonts w:ascii="Century Gothic" w:hAnsi="Century Gothic"/>
                <w:sz w:val="16"/>
                <w:szCs w:val="16"/>
              </w:rPr>
              <w:t>required</w:t>
            </w:r>
            <w:r>
              <w:rPr>
                <w:rFonts w:ascii="Century Gothic" w:hAnsi="Century Gothic"/>
                <w:sz w:val="16"/>
                <w:szCs w:val="16"/>
              </w:rPr>
              <w:t>.</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539"/>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66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Moderate </w:t>
            </w:r>
            <w:r>
              <w:rPr>
                <w:rFonts w:ascii="Century Gothic" w:hAnsi="Century Gothic"/>
                <w:color w:val="000000"/>
                <w:sz w:val="16"/>
                <w:szCs w:val="16"/>
              </w:rPr>
              <w:t>action</w:t>
            </w:r>
            <w:r w:rsidRPr="008D2B6B">
              <w:rPr>
                <w:rFonts w:ascii="Century Gothic" w:hAnsi="Century Gothic"/>
                <w:color w:val="000000"/>
                <w:sz w:val="16"/>
                <w:szCs w:val="16"/>
              </w:rPr>
              <w:t xml:space="preserve"> targeting wetlands and fringing river red gums (inundation to 43.5 m AHD for 90 da</w:t>
            </w:r>
            <w:r>
              <w:rPr>
                <w:rFonts w:ascii="Century Gothic" w:hAnsi="Century Gothic"/>
                <w:color w:val="000000"/>
                <w:sz w:val="16"/>
                <w:szCs w:val="16"/>
              </w:rPr>
              <w:t>ys in winter/spring) – up to 40 </w:t>
            </w:r>
            <w:r w:rsidRPr="008D2B6B">
              <w:rPr>
                <w:rFonts w:ascii="Century Gothic" w:hAnsi="Century Gothic"/>
                <w:color w:val="000000"/>
                <w:sz w:val="16"/>
                <w:szCs w:val="16"/>
              </w:rPr>
              <w:t>000 ML via infrastructure, eq</w:t>
            </w:r>
            <w:r>
              <w:rPr>
                <w:rFonts w:ascii="Century Gothic" w:hAnsi="Century Gothic"/>
                <w:color w:val="000000"/>
                <w:sz w:val="16"/>
                <w:szCs w:val="16"/>
              </w:rPr>
              <w:t xml:space="preserve">uivalent to natural event of        85 </w:t>
            </w:r>
            <w:r w:rsidRPr="008D2B6B">
              <w:rPr>
                <w:rFonts w:ascii="Century Gothic" w:hAnsi="Century Gothic"/>
                <w:color w:val="000000"/>
                <w:sz w:val="16"/>
                <w:szCs w:val="16"/>
              </w:rPr>
              <w:t>000 ML/d</w:t>
            </w:r>
            <w:r>
              <w:rPr>
                <w:rFonts w:ascii="Century Gothic" w:hAnsi="Century Gothic"/>
                <w:color w:val="000000"/>
                <w:sz w:val="16"/>
                <w:szCs w:val="16"/>
              </w:rPr>
              <w:t>ay at Euston for 7-</w:t>
            </w:r>
            <w:r w:rsidRPr="008D2B6B">
              <w:rPr>
                <w:rFonts w:ascii="Century Gothic" w:hAnsi="Century Gothic"/>
                <w:color w:val="000000"/>
                <w:sz w:val="16"/>
                <w:szCs w:val="16"/>
              </w:rPr>
              <w:t xml:space="preserve">30 days. </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 (7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jc w:val="center"/>
              <w:rPr>
                <w:rFonts w:ascii="Century Gothic" w:hAnsi="Century Gothic"/>
                <w:sz w:val="16"/>
                <w:szCs w:val="16"/>
              </w:rPr>
            </w:pPr>
            <w:r>
              <w:rPr>
                <w:rFonts w:ascii="Century Gothic" w:hAnsi="Century Gothic"/>
                <w:sz w:val="16"/>
                <w:szCs w:val="16"/>
              </w:rPr>
              <w:t>Not targeted in 2015-16 because demands met</w:t>
            </w:r>
            <w:r w:rsidRPr="008D2B6B">
              <w:rPr>
                <w:rFonts w:ascii="Century Gothic" w:hAnsi="Century Gothic"/>
                <w:sz w:val="16"/>
                <w:szCs w:val="16"/>
              </w:rPr>
              <w:t xml:space="preserve"> in 2014-15</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663"/>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auto"/>
          </w:tcPr>
          <w:p w:rsidR="009535AA" w:rsidRPr="008D2B6B" w:rsidRDefault="009535AA" w:rsidP="00EA1768">
            <w:pPr>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745"/>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Large </w:t>
            </w:r>
            <w:r>
              <w:rPr>
                <w:rFonts w:ascii="Century Gothic" w:hAnsi="Century Gothic"/>
                <w:color w:val="000000"/>
                <w:sz w:val="16"/>
                <w:szCs w:val="16"/>
              </w:rPr>
              <w:t>action</w:t>
            </w:r>
            <w:r w:rsidRPr="008D2B6B">
              <w:rPr>
                <w:rFonts w:ascii="Century Gothic" w:hAnsi="Century Gothic"/>
                <w:color w:val="000000"/>
                <w:sz w:val="16"/>
                <w:szCs w:val="16"/>
              </w:rPr>
              <w:t xml:space="preserve"> targeting wetlands and river red gum/black box woodlands on floodplain (inundation to </w:t>
            </w:r>
            <w:r>
              <w:rPr>
                <w:rFonts w:ascii="Century Gothic" w:hAnsi="Century Gothic"/>
                <w:color w:val="000000"/>
                <w:sz w:val="16"/>
                <w:szCs w:val="16"/>
              </w:rPr>
              <w:t xml:space="preserve">45 m AHD for 90 days), up to120 </w:t>
            </w:r>
            <w:r w:rsidRPr="008D2B6B">
              <w:rPr>
                <w:rFonts w:ascii="Century Gothic" w:hAnsi="Century Gothic"/>
                <w:color w:val="000000"/>
                <w:sz w:val="16"/>
                <w:szCs w:val="16"/>
              </w:rPr>
              <w:t>000 ML via infrastructure - equ</w:t>
            </w:r>
            <w:r>
              <w:rPr>
                <w:rFonts w:ascii="Century Gothic" w:hAnsi="Century Gothic"/>
                <w:color w:val="000000"/>
                <w:sz w:val="16"/>
                <w:szCs w:val="16"/>
              </w:rPr>
              <w:t xml:space="preserve">ivalent to natural event of 150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E</w:t>
            </w:r>
            <w:r>
              <w:rPr>
                <w:rFonts w:ascii="Century Gothic" w:hAnsi="Century Gothic"/>
                <w:color w:val="000000"/>
                <w:sz w:val="16"/>
                <w:szCs w:val="16"/>
              </w:rPr>
              <w:t>uston for 7 days anytime in year.</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8 years (12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00B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Very 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r>
              <w:rPr>
                <w:rFonts w:ascii="Century Gothic" w:hAnsi="Century Gothic"/>
                <w:sz w:val="16"/>
                <w:szCs w:val="16"/>
              </w:rPr>
              <w:t>Not targeted in 2015-16 because demands met</w:t>
            </w:r>
            <w:r w:rsidRPr="008D2B6B">
              <w:rPr>
                <w:rFonts w:ascii="Century Gothic" w:hAnsi="Century Gothic"/>
                <w:sz w:val="16"/>
                <w:szCs w:val="16"/>
              </w:rPr>
              <w:t xml:space="preserve"> in 2014-15</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745"/>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13"/>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sz w:val="16"/>
                <w:szCs w:val="16"/>
              </w:rPr>
              <w:t>Floodplain and wetlands from Euston to South Australian border</w:t>
            </w:r>
            <w:r w:rsidRPr="008D2B6B">
              <w:rPr>
                <w:rFonts w:ascii="Century Gothic" w:hAnsi="Century Gothic"/>
                <w:b/>
                <w:sz w:val="16"/>
                <w:szCs w:val="16"/>
                <w:vertAlign w:val="superscript"/>
              </w:rPr>
              <w:t>5</w:t>
            </w:r>
          </w:p>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30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for 30-60 days targeting low lying wetlands and anabranches,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2 in 5 years (4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Low</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color w:val="FFFFFF" w:themeColor="background1"/>
                <w:sz w:val="16"/>
                <w:szCs w:val="16"/>
              </w:rPr>
              <w:t xml:space="preserve">A high </w:t>
            </w:r>
            <w:r>
              <w:rPr>
                <w:rFonts w:ascii="Century Gothic" w:hAnsi="Century Gothic"/>
                <w:color w:val="FFFFFF" w:themeColor="background1"/>
                <w:sz w:val="16"/>
                <w:szCs w:val="16"/>
              </w:rPr>
              <w:t>potential</w:t>
            </w:r>
            <w:r w:rsidRPr="008D2B6B">
              <w:rPr>
                <w:rFonts w:ascii="Century Gothic" w:hAnsi="Century Gothic"/>
                <w:color w:val="FFFFFF" w:themeColor="background1"/>
                <w:sz w:val="16"/>
                <w:szCs w:val="16"/>
              </w:rPr>
              <w:t xml:space="preserve"> to continue system recovery and support native vegetation and fish communities.</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13"/>
        </w:trPr>
        <w:tc>
          <w:tcPr>
            <w:tcW w:w="1526" w:type="dxa"/>
            <w:vMerge/>
          </w:tcPr>
          <w:p w:rsidR="009535AA" w:rsidRPr="008D2B6B" w:rsidRDefault="009535AA" w:rsidP="00EA1768">
            <w:pPr>
              <w:spacing w:before="20"/>
              <w:rPr>
                <w:rFonts w:ascii="Century Gothic" w:hAnsi="Century Gothic"/>
                <w:b/>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365F91" w:themeFill="accent1" w:themeFillShade="BF"/>
          </w:tcPr>
          <w:p w:rsidR="009535AA" w:rsidRPr="008D2B6B" w:rsidRDefault="009535AA" w:rsidP="00EA1768">
            <w:pPr>
              <w:spacing w:before="20"/>
              <w:jc w:val="center"/>
              <w:rPr>
                <w:rFonts w:ascii="Century Gothic" w:hAnsi="Century Gothic"/>
                <w:color w:val="FFFFFF" w:themeColor="background1"/>
                <w:sz w:val="16"/>
                <w:szCs w:val="16"/>
              </w:rPr>
            </w:pPr>
          </w:p>
        </w:tc>
        <w:tc>
          <w:tcPr>
            <w:tcW w:w="2283" w:type="dxa"/>
            <w:vMerge/>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476"/>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50-60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for 60-120 days targeting river red gum forest, lignum </w:t>
            </w:r>
            <w:proofErr w:type="spellStart"/>
            <w:r w:rsidRPr="008D2B6B">
              <w:rPr>
                <w:rFonts w:ascii="Century Gothic" w:hAnsi="Century Gothic"/>
                <w:color w:val="000000"/>
                <w:sz w:val="16"/>
                <w:szCs w:val="16"/>
              </w:rPr>
              <w:t>shrubland</w:t>
            </w:r>
            <w:proofErr w:type="spellEnd"/>
            <w:r w:rsidRPr="008D2B6B">
              <w:rPr>
                <w:rFonts w:ascii="Century Gothic" w:hAnsi="Century Gothic"/>
                <w:color w:val="000000"/>
                <w:sz w:val="16"/>
                <w:szCs w:val="16"/>
              </w:rPr>
              <w:t xml:space="preserve">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5 years (5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Red Gum and</w:t>
            </w:r>
            <w:r w:rsidRPr="008D2B6B">
              <w:rPr>
                <w:rFonts w:ascii="Century Gothic" w:hAnsi="Century Gothic"/>
                <w:color w:val="000000"/>
                <w:sz w:val="16"/>
                <w:szCs w:val="16"/>
              </w:rPr>
              <w:t xml:space="preserve"> lignum received water in 2014-15</w:t>
            </w:r>
          </w:p>
        </w:tc>
        <w:tc>
          <w:tcPr>
            <w:tcW w:w="2859" w:type="dxa"/>
            <w:vMerge w:val="restart"/>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sz w:val="16"/>
                <w:szCs w:val="16"/>
              </w:rPr>
              <w:t>Subject to seasonal cue</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4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9535AA">
        <w:trPr>
          <w:trHeight w:val="47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Infrastructure delivery to a p</w:t>
            </w:r>
            <w:r>
              <w:rPr>
                <w:rFonts w:ascii="Century Gothic" w:hAnsi="Century Gothic"/>
                <w:color w:val="000000"/>
                <w:sz w:val="16"/>
                <w:szCs w:val="16"/>
              </w:rPr>
              <w:t>riority areas</w:t>
            </w:r>
            <w:r w:rsidRPr="008D2B6B">
              <w:rPr>
                <w:rFonts w:ascii="Century Gothic" w:hAnsi="Century Gothic"/>
                <w:color w:val="000000"/>
                <w:sz w:val="16"/>
                <w:szCs w:val="16"/>
              </w:rPr>
              <w:t xml:space="preserve"> of floodplain equivalent to </w:t>
            </w:r>
            <w:r>
              <w:rPr>
                <w:rFonts w:ascii="Century Gothic" w:hAnsi="Century Gothic"/>
                <w:color w:val="000000"/>
                <w:sz w:val="16"/>
                <w:szCs w:val="16"/>
              </w:rPr>
              <w:t xml:space="preserve">  </w:t>
            </w:r>
            <w:r w:rsidRPr="008D2B6B">
              <w:rPr>
                <w:rFonts w:ascii="Century Gothic" w:hAnsi="Century Gothic"/>
                <w:color w:val="000000"/>
                <w:sz w:val="16"/>
                <w:szCs w:val="16"/>
              </w:rPr>
              <w:t>80</w:t>
            </w:r>
            <w:r>
              <w:rPr>
                <w:rFonts w:ascii="Century Gothic" w:hAnsi="Century Gothic"/>
                <w:color w:val="000000"/>
                <w:sz w:val="16"/>
                <w:szCs w:val="16"/>
              </w:rPr>
              <w:t xml:space="preserve">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Lock 8 targeting river red gum and black box woodland and associated wetlands</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1-2 in 10 years (8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top w:val="single" w:sz="18" w:space="0" w:color="auto"/>
              <w:left w:val="single" w:sz="18" w:space="0" w:color="auto"/>
            </w:tcBorders>
            <w:shd w:val="clear" w:color="auto" w:fill="92D050"/>
            <w:vAlign w:val="center"/>
          </w:tcPr>
          <w:p w:rsidR="009535AA" w:rsidRPr="008D2B6B" w:rsidRDefault="009535AA" w:rsidP="009535AA">
            <w:pPr>
              <w:spacing w:before="20"/>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r>
              <w:rPr>
                <w:rFonts w:ascii="Century Gothic" w:hAnsi="Century Gothic"/>
                <w:color w:val="000000"/>
                <w:sz w:val="16"/>
                <w:szCs w:val="16"/>
              </w:rPr>
              <w:t>, sequential watering may be required for establishment of black box seedling</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r w:rsidRPr="008D2B6B">
              <w:rPr>
                <w:rFonts w:ascii="Century Gothic" w:hAnsi="Century Gothic"/>
                <w:sz w:val="16"/>
                <w:szCs w:val="16"/>
              </w:rPr>
              <w:t>Subject to seasonal cue</w:t>
            </w:r>
          </w:p>
        </w:tc>
        <w:tc>
          <w:tcPr>
            <w:tcW w:w="2283" w:type="dxa"/>
            <w:vMerge w:val="restart"/>
            <w:tcBorders>
              <w:top w:val="single" w:sz="18" w:space="0" w:color="auto"/>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469"/>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92D05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640"/>
        </w:trPr>
        <w:tc>
          <w:tcPr>
            <w:tcW w:w="1526" w:type="dxa"/>
            <w:vMerge w:val="restart"/>
            <w:tcBorders>
              <w:top w:val="single" w:sz="18" w:space="0" w:color="auto"/>
            </w:tcBorders>
          </w:tcPr>
          <w:p w:rsidR="009535AA" w:rsidRPr="008D2B6B" w:rsidRDefault="009535AA" w:rsidP="00EA1768">
            <w:pPr>
              <w:spacing w:before="20"/>
              <w:rPr>
                <w:rFonts w:ascii="Century Gothic" w:hAnsi="Century Gothic"/>
                <w:b/>
                <w:color w:val="000000"/>
                <w:sz w:val="16"/>
                <w:szCs w:val="16"/>
                <w:vertAlign w:val="superscript"/>
              </w:rPr>
            </w:pPr>
            <w:r w:rsidRPr="008D2B6B">
              <w:rPr>
                <w:rFonts w:ascii="Century Gothic" w:hAnsi="Century Gothic"/>
                <w:b/>
                <w:sz w:val="16"/>
                <w:szCs w:val="16"/>
              </w:rPr>
              <w:t xml:space="preserve">Floodplain and wetlands from South Australian border to </w:t>
            </w:r>
            <w:r>
              <w:rPr>
                <w:rFonts w:ascii="Century Gothic" w:hAnsi="Century Gothic"/>
                <w:b/>
                <w:sz w:val="16"/>
                <w:szCs w:val="16"/>
              </w:rPr>
              <w:t>Lower Lakes</w:t>
            </w:r>
            <w:r w:rsidRPr="008D2B6B">
              <w:rPr>
                <w:rFonts w:ascii="Century Gothic" w:hAnsi="Century Gothic"/>
                <w:b/>
                <w:sz w:val="16"/>
                <w:szCs w:val="16"/>
                <w:vertAlign w:val="superscript"/>
              </w:rPr>
              <w:t>6</w:t>
            </w: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40-50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for up to 90 days targeting river red gum forest, tea tree, lignum, river cooba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2 years (3 years)</w:t>
            </w:r>
          </w:p>
        </w:tc>
        <w:tc>
          <w:tcPr>
            <w:tcW w:w="1134" w:type="dxa"/>
            <w:vMerge w:val="restart"/>
            <w:tcBorders>
              <w:top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2859" w:type="dxa"/>
            <w:vMerge w:val="restart"/>
            <w:tcBorders>
              <w:top w:val="single" w:sz="18" w:space="0" w:color="auto"/>
              <w:left w:val="single" w:sz="18" w:space="0" w:color="auto"/>
            </w:tcBorders>
            <w:shd w:val="clear" w:color="auto" w:fill="FFC000"/>
            <w:vAlign w:val="center"/>
          </w:tcPr>
          <w:p w:rsidR="009535AA" w:rsidRPr="008D2B6B" w:rsidRDefault="009535AA" w:rsidP="009535AA">
            <w:pPr>
              <w:jc w:val="center"/>
              <w:rPr>
                <w:rFonts w:ascii="Century Gothic" w:hAnsi="Century Gothic"/>
                <w:color w:val="000000"/>
                <w:sz w:val="16"/>
                <w:szCs w:val="16"/>
              </w:rPr>
            </w:pPr>
            <w:r>
              <w:rPr>
                <w:rFonts w:ascii="Century Gothic" w:hAnsi="Century Gothic"/>
                <w:color w:val="000000"/>
                <w:sz w:val="16"/>
                <w:szCs w:val="16"/>
              </w:rPr>
              <w:t>Met for large areas of floodplain i</w:t>
            </w:r>
            <w:r w:rsidRPr="008D2B6B">
              <w:rPr>
                <w:rFonts w:ascii="Century Gothic" w:hAnsi="Century Gothic"/>
                <w:color w:val="000000"/>
                <w:sz w:val="16"/>
                <w:szCs w:val="16"/>
              </w:rPr>
              <w:t>n early 2011 floods</w:t>
            </w:r>
            <w:r>
              <w:rPr>
                <w:rFonts w:ascii="Century Gothic" w:hAnsi="Century Gothic"/>
                <w:color w:val="000000"/>
                <w:sz w:val="16"/>
                <w:szCs w:val="16"/>
              </w:rPr>
              <w:t>, however floodplain still recovering from drought. Demands for some individual sites lower due to managed water delivery.</w:t>
            </w: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top w:val="single" w:sz="18" w:space="0" w:color="auto"/>
              <w:left w:val="single" w:sz="18" w:space="0" w:color="auto"/>
              <w:right w:val="single" w:sz="18" w:space="0" w:color="auto"/>
            </w:tcBorders>
            <w:shd w:val="clear" w:color="auto" w:fill="95B3D7" w:themeFill="accent1" w:themeFillTint="99"/>
          </w:tcPr>
          <w:p w:rsidR="009535AA" w:rsidRDefault="009535AA" w:rsidP="00EA1768">
            <w:pPr>
              <w:spacing w:before="20"/>
              <w:jc w:val="center"/>
              <w:rPr>
                <w:rFonts w:ascii="Century Gothic" w:hAnsi="Century Gothic"/>
                <w:sz w:val="16"/>
                <w:szCs w:val="16"/>
              </w:rPr>
            </w:pPr>
            <w:r>
              <w:rPr>
                <w:rFonts w:ascii="Century Gothic" w:hAnsi="Century Gothic"/>
                <w:sz w:val="16"/>
                <w:szCs w:val="16"/>
              </w:rPr>
              <w:t xml:space="preserve">Contribution to overbank flows possible, subject to seasonal cues. </w:t>
            </w:r>
          </w:p>
          <w:p w:rsidR="009535AA" w:rsidRDefault="009535AA" w:rsidP="00EA1768">
            <w:pPr>
              <w:spacing w:before="20"/>
              <w:jc w:val="center"/>
              <w:rPr>
                <w:rFonts w:ascii="Century Gothic" w:hAnsi="Century Gothic"/>
                <w:sz w:val="16"/>
                <w:szCs w:val="16"/>
              </w:rPr>
            </w:pPr>
          </w:p>
          <w:p w:rsidR="009535AA" w:rsidRDefault="009535AA" w:rsidP="00EA1768">
            <w:pPr>
              <w:spacing w:before="20" w:after="220"/>
              <w:jc w:val="center"/>
              <w:rPr>
                <w:rFonts w:ascii="Century Gothic" w:hAnsi="Century Gothic"/>
                <w:sz w:val="16"/>
                <w:szCs w:val="16"/>
              </w:rPr>
            </w:pPr>
          </w:p>
          <w:p w:rsidR="009535AA" w:rsidRPr="008D2B6B" w:rsidRDefault="009535AA" w:rsidP="00EA1768">
            <w:pPr>
              <w:spacing w:before="20" w:after="220"/>
              <w:jc w:val="center"/>
              <w:rPr>
                <w:rFonts w:ascii="Century Gothic" w:hAnsi="Century Gothic"/>
                <w:color w:val="FFFFFF"/>
                <w:sz w:val="16"/>
                <w:szCs w:val="16"/>
              </w:rPr>
            </w:pPr>
            <w:r>
              <w:rPr>
                <w:rFonts w:ascii="Century Gothic" w:hAnsi="Century Gothic"/>
                <w:sz w:val="16"/>
                <w:szCs w:val="16"/>
              </w:rPr>
              <w:t>Commonwealth environmental water may be delivered to individual floodplain / wetland sites using infrastructure.</w:t>
            </w: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lastRenderedPageBreak/>
              <w:t>Moderate</w:t>
            </w:r>
          </w:p>
        </w:tc>
        <w:tc>
          <w:tcPr>
            <w:tcW w:w="3092" w:type="dxa"/>
            <w:gridSpan w:val="2"/>
            <w:tcBorders>
              <w:top w:val="single" w:sz="18" w:space="0" w:color="auto"/>
              <w:left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408"/>
        </w:trPr>
        <w:tc>
          <w:tcPr>
            <w:tcW w:w="1526" w:type="dxa"/>
            <w:vMerge/>
          </w:tcPr>
          <w:p w:rsidR="009535AA" w:rsidRPr="008D2B6B" w:rsidRDefault="009535AA" w:rsidP="00EA1768">
            <w:pPr>
              <w:spacing w:before="20"/>
              <w:rPr>
                <w:rFonts w:ascii="Century Gothic" w:hAnsi="Century Gothic"/>
                <w:b/>
                <w:sz w:val="16"/>
                <w:szCs w:val="16"/>
              </w:rPr>
            </w:pPr>
          </w:p>
        </w:tc>
        <w:tc>
          <w:tcPr>
            <w:tcW w:w="2977" w:type="dxa"/>
            <w:vMerge/>
          </w:tcPr>
          <w:p w:rsidR="009535AA" w:rsidRPr="008D2B6B" w:rsidRDefault="009535AA" w:rsidP="00EA1768">
            <w:pPr>
              <w:spacing w:before="20"/>
              <w:rPr>
                <w:rFonts w:ascii="Century Gothic" w:hAnsi="Century Gothic"/>
                <w:color w:val="000000"/>
                <w:sz w:val="16"/>
                <w:szCs w:val="16"/>
              </w:rPr>
            </w:pPr>
          </w:p>
        </w:tc>
        <w:tc>
          <w:tcPr>
            <w:tcW w:w="1275" w:type="dxa"/>
            <w:vMerge/>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shd w:val="clear" w:color="auto" w:fill="auto"/>
          </w:tcPr>
          <w:p w:rsidR="009535AA" w:rsidRPr="008D2B6B" w:rsidRDefault="009535AA" w:rsidP="00EA1768">
            <w:pPr>
              <w:spacing w:before="20"/>
              <w:rPr>
                <w:rFonts w:ascii="Century Gothic" w:hAnsi="Century Gothic"/>
                <w:color w:val="000000"/>
                <w:sz w:val="16"/>
                <w:szCs w:val="16"/>
              </w:rPr>
            </w:pPr>
          </w:p>
        </w:tc>
        <w:tc>
          <w:tcPr>
            <w:tcW w:w="992" w:type="dxa"/>
            <w:vMerge/>
            <w:tcBorders>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tcBorders>
            <w:shd w:val="clear" w:color="auto" w:fill="FFC00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after="220"/>
              <w:jc w:val="center"/>
              <w:rPr>
                <w:rFonts w:ascii="Century Gothic" w:hAnsi="Century Gothic"/>
                <w:color w:val="FFFFFF"/>
                <w:sz w:val="16"/>
                <w:szCs w:val="16"/>
              </w:rPr>
            </w:pPr>
          </w:p>
        </w:tc>
        <w:tc>
          <w:tcPr>
            <w:tcW w:w="2283" w:type="dxa"/>
            <w:vMerge/>
            <w:tcBorders>
              <w:left w:val="single" w:sz="18" w:space="0" w:color="auto"/>
            </w:tcBorders>
            <w:shd w:val="clear" w:color="auto" w:fill="FFC000"/>
            <w:vAlign w:val="center"/>
          </w:tcPr>
          <w:p w:rsidR="009535AA" w:rsidRPr="008D2B6B" w:rsidRDefault="009535AA" w:rsidP="00EA1768">
            <w:pPr>
              <w:spacing w:before="20"/>
              <w:rPr>
                <w:rFonts w:ascii="Century Gothic" w:hAnsi="Century Gothic"/>
                <w:color w:val="000000"/>
                <w:sz w:val="16"/>
                <w:szCs w:val="16"/>
              </w:rPr>
            </w:pPr>
          </w:p>
        </w:tc>
        <w:tc>
          <w:tcPr>
            <w:tcW w:w="3092" w:type="dxa"/>
            <w:gridSpan w:val="2"/>
            <w:tcBorders>
              <w:top w:val="single" w:sz="18" w:space="0" w:color="auto"/>
              <w:left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High</w:t>
            </w:r>
          </w:p>
        </w:tc>
      </w:tr>
      <w:tr w:rsidR="009535AA" w:rsidRPr="008D2B6B" w:rsidTr="009535AA">
        <w:trPr>
          <w:trHeight w:val="560"/>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50-60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for up to 90 days targeting river red gum woodland, black box, cooba, tea tree and lignum and associated wetlands, or p</w:t>
            </w:r>
            <w:r>
              <w:rPr>
                <w:rFonts w:ascii="Century Gothic" w:hAnsi="Century Gothic"/>
                <w:color w:val="000000"/>
                <w:sz w:val="16"/>
                <w:szCs w:val="16"/>
              </w:rPr>
              <w:t>riority areas</w:t>
            </w:r>
            <w:r w:rsidRPr="008D2B6B">
              <w:rPr>
                <w:rFonts w:ascii="Century Gothic" w:hAnsi="Century Gothic"/>
                <w:color w:val="000000"/>
                <w:sz w:val="16"/>
                <w:szCs w:val="16"/>
              </w:rPr>
              <w:t xml:space="preserve"> via infrastructure</w:t>
            </w:r>
          </w:p>
        </w:tc>
        <w:tc>
          <w:tcPr>
            <w:tcW w:w="1275" w:type="dxa"/>
            <w:vMerge w:val="restart"/>
            <w:tcBorders>
              <w:top w:val="single" w:sz="18" w:space="0" w:color="auto"/>
            </w:tcBorders>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1-2  in 5 years (3 years)</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1134" w:type="dxa"/>
            <w:vMerge w:val="restart"/>
            <w:tcBorders>
              <w:top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r w:rsidRPr="008D2B6B">
              <w:rPr>
                <w:rFonts w:ascii="Century Gothic" w:hAnsi="Century Gothic"/>
                <w:color w:val="808080"/>
                <w:sz w:val="16"/>
                <w:szCs w:val="16"/>
              </w:rPr>
              <w:t> </w:t>
            </w:r>
          </w:p>
        </w:tc>
        <w:tc>
          <w:tcPr>
            <w:tcW w:w="992" w:type="dxa"/>
            <w:vMerge w:val="restart"/>
            <w:tcBorders>
              <w:top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w:t>
            </w:r>
          </w:p>
        </w:tc>
        <w:tc>
          <w:tcPr>
            <w:tcW w:w="2859" w:type="dxa"/>
            <w:vMerge w:val="restart"/>
            <w:tcBorders>
              <w:top w:val="single" w:sz="18" w:space="0" w:color="auto"/>
              <w:left w:val="single" w:sz="18" w:space="0" w:color="auto"/>
            </w:tcBorders>
            <w:shd w:val="clear" w:color="auto" w:fill="FFC000"/>
            <w:vAlign w:val="center"/>
          </w:tcPr>
          <w:p w:rsidR="009535AA" w:rsidRDefault="009535AA" w:rsidP="009535AA">
            <w:pPr>
              <w:jc w:val="center"/>
              <w:rPr>
                <w:rFonts w:ascii="Century Gothic" w:hAnsi="Century Gothic"/>
                <w:color w:val="000000"/>
                <w:sz w:val="16"/>
                <w:szCs w:val="16"/>
              </w:rPr>
            </w:pPr>
            <w:r>
              <w:rPr>
                <w:rFonts w:ascii="Century Gothic" w:hAnsi="Century Gothic"/>
                <w:color w:val="000000"/>
                <w:sz w:val="16"/>
                <w:szCs w:val="16"/>
              </w:rPr>
              <w:t>As above; sequential watering may be required for establishment of black box seedlings.</w:t>
            </w:r>
          </w:p>
          <w:p w:rsidR="009535AA" w:rsidRPr="00305899" w:rsidRDefault="009535AA" w:rsidP="009535AA">
            <w:pPr>
              <w:jc w:val="center"/>
              <w:rPr>
                <w:rFonts w:ascii="Century Gothic" w:hAnsi="Century Gothic"/>
                <w:sz w:val="16"/>
                <w:szCs w:val="16"/>
              </w:rPr>
            </w:pPr>
          </w:p>
        </w:tc>
        <w:tc>
          <w:tcPr>
            <w:tcW w:w="1352" w:type="dxa"/>
            <w:vMerge w:val="restart"/>
            <w:tcBorders>
              <w:top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after="220"/>
              <w:jc w:val="center"/>
              <w:rPr>
                <w:rFonts w:ascii="Century Gothic" w:hAnsi="Century Gothic"/>
                <w:color w:val="FFFFFF"/>
                <w:sz w:val="16"/>
                <w:szCs w:val="16"/>
              </w:rPr>
            </w:pPr>
          </w:p>
        </w:tc>
        <w:tc>
          <w:tcPr>
            <w:tcW w:w="2283" w:type="dxa"/>
            <w:vMerge w:val="restart"/>
            <w:tcBorders>
              <w:top w:val="single" w:sz="18" w:space="0" w:color="auto"/>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9535AA">
        <w:trPr>
          <w:trHeight w:val="372"/>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top w:val="single" w:sz="18" w:space="0" w:color="auto"/>
              <w:bottom w:val="single" w:sz="18" w:space="0" w:color="auto"/>
              <w:right w:val="single" w:sz="18" w:space="0" w:color="auto"/>
            </w:tcBorders>
            <w:shd w:val="clear" w:color="auto" w:fill="D9D9D9" w:themeFill="background1" w:themeFillShade="D9"/>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9535AA">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right w:val="single" w:sz="18" w:space="0" w:color="auto"/>
            </w:tcBorders>
            <w:shd w:val="clear" w:color="auto" w:fill="95B3D7" w:themeFill="accent1" w:themeFillTint="99"/>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single" w:sz="18" w:space="0" w:color="auto"/>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Moderate-High</w:t>
            </w:r>
          </w:p>
        </w:tc>
      </w:tr>
      <w:tr w:rsidR="009535AA" w:rsidRPr="008D2B6B" w:rsidTr="009535AA">
        <w:trPr>
          <w:trHeight w:val="578"/>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Infrastructure delivery to a p</w:t>
            </w:r>
            <w:r>
              <w:rPr>
                <w:rFonts w:ascii="Century Gothic" w:hAnsi="Century Gothic"/>
                <w:color w:val="000000"/>
                <w:sz w:val="16"/>
                <w:szCs w:val="16"/>
              </w:rPr>
              <w:t xml:space="preserve">riority areas equivalent to                         60-70 </w:t>
            </w:r>
            <w:r w:rsidRPr="008D2B6B">
              <w:rPr>
                <w:rFonts w:ascii="Century Gothic" w:hAnsi="Century Gothic"/>
                <w:color w:val="000000"/>
                <w:sz w:val="16"/>
                <w:szCs w:val="16"/>
              </w:rPr>
              <w:t>000 ML/d</w:t>
            </w:r>
            <w:r>
              <w:rPr>
                <w:rFonts w:ascii="Century Gothic" w:hAnsi="Century Gothic"/>
                <w:color w:val="000000"/>
                <w:sz w:val="16"/>
                <w:szCs w:val="16"/>
              </w:rPr>
              <w:t>ay</w:t>
            </w:r>
            <w:r w:rsidRPr="008D2B6B">
              <w:rPr>
                <w:rFonts w:ascii="Century Gothic" w:hAnsi="Century Gothic"/>
                <w:color w:val="000000"/>
                <w:sz w:val="16"/>
                <w:szCs w:val="16"/>
              </w:rPr>
              <w:t xml:space="preserve"> @ South Australian border targeting black box, cooba, lignum and chenopod and associated wetlands</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 (4 years)</w:t>
            </w:r>
          </w:p>
        </w:tc>
        <w:tc>
          <w:tcPr>
            <w:tcW w:w="1134" w:type="dxa"/>
            <w:vMerge w:val="restart"/>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val="restart"/>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val="restart"/>
            <w:tcBorders>
              <w:top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Default="009535AA" w:rsidP="009535AA">
            <w:pPr>
              <w:jc w:val="center"/>
              <w:rPr>
                <w:rFonts w:ascii="Century Gothic" w:hAnsi="Century Gothic"/>
                <w:color w:val="000000"/>
                <w:sz w:val="16"/>
                <w:szCs w:val="16"/>
              </w:rPr>
            </w:pPr>
            <w:r>
              <w:rPr>
                <w:rFonts w:ascii="Century Gothic" w:hAnsi="Century Gothic"/>
                <w:color w:val="000000"/>
                <w:sz w:val="16"/>
                <w:szCs w:val="16"/>
              </w:rPr>
              <w:t>As above; sequential watering may be required for establishment of black box seedlings.</w:t>
            </w:r>
          </w:p>
          <w:p w:rsidR="009535AA" w:rsidRPr="008D2B6B" w:rsidRDefault="009535AA" w:rsidP="009535AA">
            <w:pPr>
              <w:spacing w:before="20"/>
              <w:jc w:val="center"/>
              <w:rPr>
                <w:rFonts w:ascii="Century Gothic" w:hAnsi="Century Gothic"/>
                <w:color w:val="000000"/>
                <w:sz w:val="16"/>
                <w:szCs w:val="16"/>
              </w:rPr>
            </w:pP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tcBorders>
              <w:left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color w:val="FFFFFF"/>
                <w:sz w:val="16"/>
                <w:szCs w:val="16"/>
              </w:rPr>
            </w:pPr>
          </w:p>
        </w:tc>
        <w:tc>
          <w:tcPr>
            <w:tcW w:w="2283" w:type="dxa"/>
            <w:vMerge w:val="restart"/>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Low</w:t>
            </w:r>
          </w:p>
        </w:tc>
      </w:tr>
      <w:tr w:rsidR="009535AA" w:rsidRPr="008D2B6B" w:rsidTr="00EA1768">
        <w:trPr>
          <w:trHeight w:val="474"/>
        </w:trPr>
        <w:tc>
          <w:tcPr>
            <w:tcW w:w="152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2977"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p>
        </w:tc>
        <w:tc>
          <w:tcPr>
            <w:tcW w:w="2605" w:type="dxa"/>
            <w:vMerge/>
            <w:tcBorders>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Moderate</w:t>
            </w:r>
          </w:p>
        </w:tc>
      </w:tr>
      <w:tr w:rsidR="009535AA" w:rsidRPr="008D2B6B" w:rsidTr="00EA1768">
        <w:trPr>
          <w:trHeight w:val="322"/>
        </w:trPr>
        <w:tc>
          <w:tcPr>
            <w:tcW w:w="1526" w:type="dxa"/>
            <w:vMerge w:val="restart"/>
          </w:tcPr>
          <w:p w:rsidR="009535AA" w:rsidRPr="008D2B6B" w:rsidRDefault="009535AA" w:rsidP="00EA1768">
            <w:pPr>
              <w:spacing w:before="20"/>
              <w:rPr>
                <w:rFonts w:ascii="Century Gothic" w:hAnsi="Century Gothic"/>
                <w:color w:val="000000"/>
                <w:sz w:val="16"/>
                <w:szCs w:val="16"/>
                <w:vertAlign w:val="superscript"/>
              </w:rPr>
            </w:pPr>
            <w:r w:rsidRPr="008D2B6B">
              <w:rPr>
                <w:rFonts w:ascii="Century Gothic" w:hAnsi="Century Gothic"/>
                <w:b/>
                <w:color w:val="000000"/>
                <w:sz w:val="16"/>
                <w:szCs w:val="16"/>
              </w:rPr>
              <w:t>Coorong, Lower Lakes and Murray Mouth</w:t>
            </w:r>
            <w:r w:rsidRPr="008D2B6B">
              <w:rPr>
                <w:rFonts w:ascii="Century Gothic" w:hAnsi="Century Gothic"/>
                <w:b/>
                <w:color w:val="000000"/>
                <w:sz w:val="16"/>
                <w:szCs w:val="16"/>
                <w:vertAlign w:val="superscript"/>
              </w:rPr>
              <w:t>7</w:t>
            </w:r>
          </w:p>
        </w:tc>
        <w:tc>
          <w:tcPr>
            <w:tcW w:w="2977"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 xml:space="preserve">Minimum barrage flow of 650 GL/yr </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1 year</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0000"/>
            <w:vAlign w:val="center"/>
          </w:tcPr>
          <w:p w:rsidR="009535AA" w:rsidRPr="00E51CFE" w:rsidRDefault="00E51CFE" w:rsidP="00EA1768">
            <w:pPr>
              <w:spacing w:before="20"/>
              <w:jc w:val="center"/>
              <w:rPr>
                <w:rFonts w:ascii="Century Gothic" w:hAnsi="Century Gothic"/>
                <w:color w:val="000000"/>
                <w:sz w:val="16"/>
                <w:szCs w:val="16"/>
              </w:rPr>
            </w:pPr>
            <w:r w:rsidRPr="00E51CFE">
              <w:rPr>
                <w:rFonts w:ascii="Century Gothic" w:hAnsi="Century Gothic"/>
                <w:color w:val="000000"/>
                <w:sz w:val="16"/>
                <w:szCs w:val="16"/>
              </w:rPr>
              <w:t>High</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left w:val="single" w:sz="18" w:space="0" w:color="auto"/>
              <w:right w:val="single" w:sz="18" w:space="0" w:color="auto"/>
            </w:tcBorders>
            <w:shd w:val="clear" w:color="auto" w:fill="365F91" w:themeFill="accent1" w:themeFillShade="BF"/>
            <w:vAlign w:val="center"/>
          </w:tcPr>
          <w:p w:rsidR="009535AA" w:rsidRPr="008D2B6B" w:rsidRDefault="009535AA" w:rsidP="00EA1768">
            <w:pPr>
              <w:spacing w:before="20"/>
              <w:jc w:val="center"/>
              <w:rPr>
                <w:rFonts w:ascii="Century Gothic" w:hAnsi="Century Gothic"/>
                <w:color w:val="FFFFFF"/>
                <w:sz w:val="16"/>
                <w:szCs w:val="16"/>
              </w:rPr>
            </w:pPr>
            <w:r>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0000"/>
            <w:vAlign w:val="center"/>
          </w:tcPr>
          <w:p w:rsidR="009535AA" w:rsidRPr="008D2B6B" w:rsidRDefault="009535AA" w:rsidP="00EA1768">
            <w:pPr>
              <w:spacing w:before="20"/>
              <w:jc w:val="center"/>
              <w:rPr>
                <w:rFonts w:ascii="Century Gothic" w:hAnsi="Century Gothic"/>
                <w:sz w:val="16"/>
                <w:szCs w:val="16"/>
              </w:rPr>
            </w:pPr>
            <w:r>
              <w:rPr>
                <w:rFonts w:ascii="Century Gothic" w:hAnsi="Century Gothic"/>
                <w:color w:val="000000"/>
                <w:sz w:val="16"/>
                <w:szCs w:val="16"/>
              </w:rPr>
              <w:t>High</w:t>
            </w: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High</w:t>
            </w:r>
          </w:p>
        </w:tc>
      </w:tr>
      <w:tr w:rsidR="009535AA" w:rsidRPr="008D2B6B" w:rsidTr="0054560D">
        <w:trPr>
          <w:trHeight w:val="38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0000"/>
            <w:vAlign w:val="center"/>
          </w:tcPr>
          <w:p w:rsidR="009535AA" w:rsidRPr="00E51CFE"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365F91" w:themeColor="accent1" w:themeShade="BF"/>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vAlign w:val="center"/>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0000"/>
            <w:vAlign w:val="center"/>
          </w:tcPr>
          <w:p w:rsidR="009535AA"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C00000"/>
            <w:vAlign w:val="center"/>
          </w:tcPr>
          <w:p w:rsidR="009535AA" w:rsidRDefault="009535AA" w:rsidP="009D47DE">
            <w:pPr>
              <w:spacing w:before="20"/>
              <w:jc w:val="center"/>
              <w:rPr>
                <w:rFonts w:ascii="Century Gothic" w:hAnsi="Century Gothic"/>
                <w:color w:val="000000"/>
                <w:sz w:val="16"/>
                <w:szCs w:val="16"/>
              </w:rPr>
            </w:pPr>
            <w:r>
              <w:rPr>
                <w:rFonts w:ascii="Century Gothic" w:hAnsi="Century Gothic"/>
                <w:color w:val="000000"/>
                <w:sz w:val="16"/>
                <w:szCs w:val="16"/>
              </w:rPr>
              <w:t>Becoming critical</w:t>
            </w:r>
          </w:p>
        </w:tc>
      </w:tr>
      <w:tr w:rsidR="009535AA" w:rsidRPr="008D2B6B" w:rsidTr="0054560D">
        <w:trPr>
          <w:trHeight w:val="374"/>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val="restart"/>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Barrage flows of 2,</w:t>
            </w:r>
            <w:r w:rsidRPr="008D2B6B">
              <w:rPr>
                <w:rFonts w:ascii="Century Gothic" w:hAnsi="Century Gothic"/>
                <w:color w:val="000000"/>
                <w:sz w:val="16"/>
                <w:szCs w:val="16"/>
              </w:rPr>
              <w:t xml:space="preserve">000 GL/yr required to achieve salinity target in Lake Alexandrina </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Rolling three year average</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E51CFE" w:rsidRDefault="00E51CFE" w:rsidP="00EA1768">
            <w:pPr>
              <w:spacing w:before="20"/>
              <w:jc w:val="center"/>
              <w:rPr>
                <w:rFonts w:ascii="Century Gothic" w:hAnsi="Century Gothic"/>
                <w:color w:val="000000"/>
                <w:sz w:val="16"/>
                <w:szCs w:val="16"/>
              </w:rPr>
            </w:pPr>
            <w:r w:rsidRPr="00E51CFE">
              <w:rPr>
                <w:rFonts w:ascii="Century Gothic" w:hAnsi="Century Gothic"/>
                <w:color w:val="000000"/>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left w:val="single" w:sz="18" w:space="0" w:color="auto"/>
              <w:right w:val="single" w:sz="18" w:space="0" w:color="auto"/>
            </w:tcBorders>
            <w:shd w:val="clear" w:color="auto" w:fill="365F91" w:themeFill="accent1" w:themeFillShade="BF"/>
            <w:vAlign w:val="center"/>
          </w:tcPr>
          <w:p w:rsidR="009535AA" w:rsidRPr="008D2B6B" w:rsidRDefault="009535AA" w:rsidP="00EA1768">
            <w:pPr>
              <w:spacing w:before="20"/>
              <w:jc w:val="center"/>
              <w:rPr>
                <w:rFonts w:ascii="Century Gothic" w:hAnsi="Century Gothic"/>
                <w:color w:val="FFFFFF"/>
                <w:sz w:val="16"/>
                <w:szCs w:val="16"/>
              </w:rPr>
            </w:pPr>
            <w:r>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Low-moderate</w:t>
            </w: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Low</w:t>
            </w:r>
          </w:p>
        </w:tc>
      </w:tr>
      <w:tr w:rsidR="009535AA" w:rsidRPr="008D2B6B" w:rsidTr="0054560D">
        <w:trPr>
          <w:trHeight w:val="366"/>
        </w:trPr>
        <w:tc>
          <w:tcPr>
            <w:tcW w:w="1526" w:type="dxa"/>
            <w:vMerge/>
          </w:tcPr>
          <w:p w:rsidR="009535AA" w:rsidRPr="008D2B6B" w:rsidRDefault="009535AA" w:rsidP="00EA1768">
            <w:pPr>
              <w:spacing w:before="20"/>
              <w:rPr>
                <w:rFonts w:ascii="Century Gothic" w:hAnsi="Century Gothic"/>
                <w:b/>
                <w:color w:val="000000"/>
                <w:sz w:val="16"/>
                <w:szCs w:val="16"/>
              </w:rPr>
            </w:pPr>
          </w:p>
        </w:tc>
        <w:tc>
          <w:tcPr>
            <w:tcW w:w="2977" w:type="dxa"/>
            <w:vMerge/>
            <w:tcBorders>
              <w:bottom w:val="single" w:sz="18" w:space="0" w:color="auto"/>
            </w:tcBorders>
          </w:tcPr>
          <w:p w:rsidR="009535AA"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E51CFE"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365F91" w:themeColor="accent1" w:themeShade="BF"/>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vAlign w:val="center"/>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High</w:t>
            </w:r>
          </w:p>
        </w:tc>
      </w:tr>
      <w:tr w:rsidR="009535AA" w:rsidRPr="008D2B6B" w:rsidTr="0054560D">
        <w:trPr>
          <w:trHeight w:val="544"/>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val="restart"/>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Barrage flows of at least 2,</w:t>
            </w:r>
            <w:r w:rsidRPr="008D2B6B">
              <w:rPr>
                <w:rFonts w:ascii="Century Gothic" w:hAnsi="Century Gothic"/>
                <w:color w:val="000000"/>
                <w:sz w:val="16"/>
                <w:szCs w:val="16"/>
              </w:rPr>
              <w:t>500 GL over two years to avoid damage and protect habitat conditions within the Coorong</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9 in 10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year)</w:t>
            </w: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val="restart"/>
            <w:shd w:val="clear" w:color="auto" w:fill="808080" w:themeFill="background1" w:themeFillShade="80"/>
          </w:tcPr>
          <w:p w:rsidR="009535AA" w:rsidRPr="008D2B6B" w:rsidRDefault="009535AA" w:rsidP="00EA1768">
            <w:pPr>
              <w:spacing w:before="20"/>
              <w:rPr>
                <w:rFonts w:ascii="Century Gothic" w:hAnsi="Century Gothic"/>
                <w:sz w:val="16"/>
                <w:szCs w:val="16"/>
              </w:rPr>
            </w:pPr>
          </w:p>
        </w:tc>
        <w:tc>
          <w:tcPr>
            <w:tcW w:w="992" w:type="dxa"/>
            <w:vMerge w:val="restart"/>
            <w:tcBorders>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FFC000"/>
            <w:vAlign w:val="center"/>
          </w:tcPr>
          <w:p w:rsidR="009535AA" w:rsidRPr="00E51CFE" w:rsidRDefault="00E51CFE" w:rsidP="00EA1768">
            <w:pPr>
              <w:spacing w:before="20"/>
              <w:jc w:val="center"/>
              <w:rPr>
                <w:rFonts w:ascii="Century Gothic" w:hAnsi="Century Gothic"/>
                <w:color w:val="000000"/>
                <w:sz w:val="16"/>
                <w:szCs w:val="16"/>
              </w:rPr>
            </w:pPr>
            <w:r w:rsidRPr="00E51CFE">
              <w:rPr>
                <w:rFonts w:ascii="Century Gothic" w:hAnsi="Century Gothic"/>
                <w:color w:val="000000"/>
                <w:sz w:val="16"/>
                <w:szCs w:val="16"/>
              </w:rPr>
              <w:t>Moderate</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365F91" w:themeColor="accent1" w:themeShade="BF"/>
                <w:sz w:val="16"/>
                <w:szCs w:val="16"/>
              </w:rPr>
              <w:t>Improve</w:t>
            </w:r>
          </w:p>
        </w:tc>
        <w:tc>
          <w:tcPr>
            <w:tcW w:w="2605" w:type="dxa"/>
            <w:vMerge w:val="restart"/>
            <w:tcBorders>
              <w:left w:val="single" w:sz="18" w:space="0" w:color="auto"/>
              <w:right w:val="single" w:sz="18" w:space="0" w:color="auto"/>
            </w:tcBorders>
            <w:shd w:val="clear" w:color="auto" w:fill="365F91" w:themeFill="accent1" w:themeFillShade="BF"/>
            <w:vAlign w:val="center"/>
          </w:tcPr>
          <w:p w:rsidR="009535AA" w:rsidRPr="008D2B6B" w:rsidRDefault="009535AA" w:rsidP="00EA1768">
            <w:pPr>
              <w:spacing w:before="20"/>
              <w:jc w:val="center"/>
              <w:rPr>
                <w:rFonts w:ascii="Century Gothic" w:hAnsi="Century Gothic"/>
                <w:color w:val="FFFFFF"/>
                <w:sz w:val="16"/>
                <w:szCs w:val="16"/>
              </w:rPr>
            </w:pPr>
            <w:r>
              <w:rPr>
                <w:rFonts w:ascii="Century Gothic" w:hAnsi="Century Gothic"/>
                <w:color w:val="FFFFFF"/>
                <w:sz w:val="16"/>
                <w:szCs w:val="16"/>
              </w:rPr>
              <w:t>Likely Commonwealth environmental water contribution</w:t>
            </w:r>
          </w:p>
        </w:tc>
        <w:tc>
          <w:tcPr>
            <w:tcW w:w="2283" w:type="dxa"/>
            <w:vMerge w:val="restart"/>
            <w:tcBorders>
              <w:lef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Low-moderate</w:t>
            </w:r>
          </w:p>
        </w:tc>
        <w:tc>
          <w:tcPr>
            <w:tcW w:w="3092" w:type="dxa"/>
            <w:gridSpan w:val="2"/>
            <w:tcBorders>
              <w:top w:val="nil"/>
              <w:left w:val="single" w:sz="18" w:space="0" w:color="auto"/>
              <w:bottom w:val="single" w:sz="18" w:space="0" w:color="auto"/>
              <w:right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Moderate</w:t>
            </w:r>
          </w:p>
        </w:tc>
      </w:tr>
      <w:tr w:rsidR="009535AA" w:rsidRPr="008D2B6B" w:rsidTr="0054560D">
        <w:trPr>
          <w:trHeight w:val="383"/>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tcBorders>
              <w:bottom w:val="single" w:sz="18" w:space="0" w:color="auto"/>
            </w:tcBorders>
          </w:tcPr>
          <w:p w:rsidR="009535AA"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sz w:val="16"/>
                <w:szCs w:val="16"/>
              </w:rPr>
            </w:pPr>
          </w:p>
        </w:tc>
        <w:tc>
          <w:tcPr>
            <w:tcW w:w="992" w:type="dxa"/>
            <w:vMerge/>
            <w:tcBorders>
              <w:bottom w:val="single" w:sz="18" w:space="0" w:color="auto"/>
              <w:right w:val="single" w:sz="18" w:space="0" w:color="auto"/>
            </w:tcBorders>
            <w:shd w:val="clear" w:color="auto" w:fill="808080" w:themeFill="background1" w:themeFillShade="80"/>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FFFFFF" w:themeColor="background1"/>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365F91" w:themeColor="accent1" w:themeShade="BF"/>
                <w:sz w:val="16"/>
                <w:szCs w:val="16"/>
              </w:rPr>
            </w:pPr>
          </w:p>
        </w:tc>
        <w:tc>
          <w:tcPr>
            <w:tcW w:w="2605" w:type="dxa"/>
            <w:vMerge/>
            <w:tcBorders>
              <w:left w:val="single" w:sz="18" w:space="0" w:color="auto"/>
              <w:bottom w:val="single" w:sz="18" w:space="0" w:color="auto"/>
              <w:right w:val="single" w:sz="18" w:space="0" w:color="auto"/>
            </w:tcBorders>
            <w:shd w:val="clear" w:color="auto" w:fill="365F91" w:themeFill="accent1" w:themeFillShade="BF"/>
            <w:vAlign w:val="center"/>
          </w:tcPr>
          <w:p w:rsidR="009535AA" w:rsidRDefault="009535AA" w:rsidP="00EA1768">
            <w:pPr>
              <w:spacing w:before="20"/>
              <w:jc w:val="center"/>
              <w:rPr>
                <w:rFonts w:ascii="Century Gothic" w:hAnsi="Century Gothic"/>
                <w:color w:val="FFFFFF"/>
                <w:sz w:val="16"/>
                <w:szCs w:val="16"/>
              </w:rPr>
            </w:pPr>
          </w:p>
        </w:tc>
        <w:tc>
          <w:tcPr>
            <w:tcW w:w="2283" w:type="dxa"/>
            <w:vMerge/>
            <w:tcBorders>
              <w:left w:val="single" w:sz="18" w:space="0" w:color="auto"/>
              <w:bottom w:val="single" w:sz="18" w:space="0" w:color="auto"/>
            </w:tcBorders>
            <w:shd w:val="clear" w:color="auto" w:fill="FFC00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FF000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High</w:t>
            </w:r>
          </w:p>
        </w:tc>
      </w:tr>
      <w:tr w:rsidR="009535AA" w:rsidRPr="008D2B6B" w:rsidTr="0054560D">
        <w:trPr>
          <w:trHeight w:val="375"/>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val="restart"/>
            <w:vAlign w:val="center"/>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Barrage flows of 6,</w:t>
            </w:r>
            <w:r w:rsidRPr="008D2B6B">
              <w:rPr>
                <w:rFonts w:ascii="Century Gothic" w:hAnsi="Century Gothic"/>
                <w:color w:val="000000"/>
                <w:sz w:val="16"/>
                <w:szCs w:val="16"/>
              </w:rPr>
              <w:t>000 GL every three to five years to maintain and improve habitat conditions within the Coorong</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3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(5 years)</w:t>
            </w:r>
          </w:p>
        </w:tc>
        <w:tc>
          <w:tcPr>
            <w:tcW w:w="1134" w:type="dxa"/>
            <w:vMerge w:val="restart"/>
            <w:shd w:val="clear" w:color="auto" w:fill="BFBFBF" w:themeFill="background1" w:themeFillShade="BF"/>
            <w:vAlign w:val="center"/>
          </w:tcPr>
          <w:p w:rsidR="009535AA" w:rsidRPr="008D2B6B" w:rsidRDefault="009535AA" w:rsidP="00EA1768">
            <w:pPr>
              <w:spacing w:before="20"/>
              <w:jc w:val="center"/>
              <w:rPr>
                <w:rFonts w:ascii="Century Gothic" w:hAnsi="Century Gothic"/>
                <w:color w:val="000000"/>
                <w:sz w:val="16"/>
                <w:szCs w:val="16"/>
              </w:rPr>
            </w:pPr>
          </w:p>
        </w:tc>
        <w:tc>
          <w:tcPr>
            <w:tcW w:w="1134" w:type="dxa"/>
            <w:vMerge w:val="restart"/>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5</w:t>
            </w:r>
            <w:r>
              <w:rPr>
                <w:rFonts w:ascii="Century Gothic" w:hAnsi="Century Gothic"/>
                <w:color w:val="000000"/>
                <w:sz w:val="16"/>
                <w:szCs w:val="16"/>
              </w:rPr>
              <w:t>,270 GL in 2012-13</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left w:val="single" w:sz="18" w:space="0" w:color="auto"/>
              <w:right w:val="single" w:sz="18" w:space="0" w:color="auto"/>
            </w:tcBorders>
            <w:shd w:val="clear" w:color="auto" w:fill="95B3D7" w:themeFill="accent1" w:themeFillTint="99"/>
            <w:vAlign w:val="center"/>
          </w:tcPr>
          <w:p w:rsidR="009535AA" w:rsidRPr="00BB2DB2" w:rsidRDefault="009535AA" w:rsidP="00EA1768">
            <w:pPr>
              <w:spacing w:before="20"/>
              <w:jc w:val="center"/>
              <w:rPr>
                <w:rFonts w:ascii="Century Gothic" w:hAnsi="Century Gothic"/>
                <w:color w:val="000000" w:themeColor="text1"/>
                <w:sz w:val="16"/>
                <w:szCs w:val="16"/>
              </w:rPr>
            </w:pPr>
            <w:r>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Very low</w:t>
            </w:r>
          </w:p>
        </w:tc>
        <w:tc>
          <w:tcPr>
            <w:tcW w:w="3092" w:type="dxa"/>
            <w:gridSpan w:val="2"/>
            <w:tcBorders>
              <w:top w:val="nil"/>
              <w:left w:val="single" w:sz="18" w:space="0" w:color="auto"/>
              <w:bottom w:val="single" w:sz="18" w:space="0" w:color="auto"/>
              <w:righ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Very low</w:t>
            </w:r>
          </w:p>
        </w:tc>
      </w:tr>
      <w:tr w:rsidR="009535AA" w:rsidRPr="008D2B6B" w:rsidTr="0054560D">
        <w:trPr>
          <w:trHeight w:val="157"/>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tcBorders>
              <w:bottom w:val="single" w:sz="18" w:space="0" w:color="auto"/>
            </w:tcBorders>
            <w:vAlign w:val="center"/>
          </w:tcPr>
          <w:p w:rsidR="009535AA"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BFBFBF" w:themeFill="background1" w:themeFillShade="BF"/>
            <w:vAlign w:val="center"/>
          </w:tcPr>
          <w:p w:rsidR="009535AA" w:rsidRPr="008D2B6B" w:rsidRDefault="009535AA" w:rsidP="00EA1768">
            <w:pPr>
              <w:spacing w:before="20"/>
              <w:jc w:val="center"/>
              <w:rPr>
                <w:rFonts w:ascii="Century Gothic" w:hAnsi="Century Gothic"/>
                <w:color w:val="000000"/>
                <w:sz w:val="16"/>
                <w:szCs w:val="16"/>
              </w:rPr>
            </w:pPr>
          </w:p>
        </w:tc>
        <w:tc>
          <w:tcPr>
            <w:tcW w:w="1134" w:type="dxa"/>
            <w:vMerge/>
            <w:tcBorders>
              <w:bottom w:val="single" w:sz="18" w:space="0" w:color="auto"/>
            </w:tcBorders>
            <w:shd w:val="clear" w:color="auto" w:fill="auto"/>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vAlign w:val="center"/>
          </w:tcPr>
          <w:p w:rsidR="009535AA"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Low</w:t>
            </w:r>
          </w:p>
        </w:tc>
      </w:tr>
      <w:tr w:rsidR="009535AA" w:rsidRPr="008D2B6B" w:rsidTr="0054560D">
        <w:trPr>
          <w:trHeight w:val="400"/>
        </w:trPr>
        <w:tc>
          <w:tcPr>
            <w:tcW w:w="1526" w:type="dxa"/>
            <w:vMerge/>
          </w:tcPr>
          <w:p w:rsidR="009535AA" w:rsidRPr="008D2B6B" w:rsidRDefault="009535AA" w:rsidP="00EA1768">
            <w:pPr>
              <w:spacing w:before="20"/>
              <w:rPr>
                <w:rFonts w:ascii="Century Gothic" w:hAnsi="Century Gothic"/>
                <w:color w:val="000000"/>
                <w:sz w:val="16"/>
                <w:szCs w:val="16"/>
              </w:rPr>
            </w:pPr>
          </w:p>
        </w:tc>
        <w:tc>
          <w:tcPr>
            <w:tcW w:w="2977" w:type="dxa"/>
            <w:vMerge w:val="restart"/>
            <w:vAlign w:val="center"/>
          </w:tcPr>
          <w:p w:rsidR="009535AA" w:rsidRPr="008D2B6B" w:rsidRDefault="009535AA" w:rsidP="00EA1768">
            <w:pPr>
              <w:spacing w:before="20"/>
              <w:rPr>
                <w:rFonts w:ascii="Century Gothic" w:hAnsi="Century Gothic"/>
                <w:color w:val="000000"/>
                <w:sz w:val="16"/>
                <w:szCs w:val="16"/>
              </w:rPr>
            </w:pPr>
            <w:r>
              <w:rPr>
                <w:rFonts w:ascii="Century Gothic" w:hAnsi="Century Gothic"/>
                <w:color w:val="000000"/>
                <w:sz w:val="16"/>
                <w:szCs w:val="16"/>
              </w:rPr>
              <w:t xml:space="preserve">Barrage flows of 10 </w:t>
            </w:r>
            <w:r w:rsidRPr="008D2B6B">
              <w:rPr>
                <w:rFonts w:ascii="Century Gothic" w:hAnsi="Century Gothic"/>
                <w:color w:val="000000"/>
                <w:sz w:val="16"/>
                <w:szCs w:val="16"/>
              </w:rPr>
              <w:t>000 GL every seven to seventeen years to improve habitat conditions within the Coorong</w:t>
            </w:r>
          </w:p>
        </w:tc>
        <w:tc>
          <w:tcPr>
            <w:tcW w:w="1275" w:type="dxa"/>
            <w:vMerge w:val="restart"/>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 in 7 years</w:t>
            </w:r>
          </w:p>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6"/>
                <w:szCs w:val="16"/>
              </w:rPr>
              <w:t>(17 years)</w:t>
            </w: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val="restart"/>
            <w:tcBorders>
              <w:top w:val="single" w:sz="18" w:space="0" w:color="auto"/>
            </w:tcBorders>
            <w:shd w:val="clear" w:color="auto" w:fill="FFFFFF" w:themeFill="background1"/>
          </w:tcPr>
          <w:p w:rsidR="009535AA" w:rsidRPr="008D2B6B" w:rsidRDefault="009535AA" w:rsidP="00EA1768">
            <w:pPr>
              <w:spacing w:before="20"/>
              <w:rPr>
                <w:rFonts w:ascii="Century Gothic" w:hAnsi="Century Gothic"/>
                <w:color w:val="808080"/>
                <w:sz w:val="16"/>
                <w:szCs w:val="16"/>
              </w:rPr>
            </w:pPr>
          </w:p>
        </w:tc>
        <w:tc>
          <w:tcPr>
            <w:tcW w:w="992" w:type="dxa"/>
            <w:vMerge w:val="restart"/>
            <w:tcBorders>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val="restart"/>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M</w:t>
            </w:r>
            <w:r w:rsidRPr="008D2B6B">
              <w:rPr>
                <w:rFonts w:ascii="Century Gothic" w:hAnsi="Century Gothic"/>
                <w:color w:val="000000"/>
                <w:sz w:val="16"/>
                <w:szCs w:val="16"/>
              </w:rPr>
              <w:t>et in 2010-11</w:t>
            </w:r>
          </w:p>
        </w:tc>
        <w:tc>
          <w:tcPr>
            <w:tcW w:w="1352" w:type="dxa"/>
            <w:vMerge w:val="restart"/>
            <w:tcBorders>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E46D0A"/>
                <w:sz w:val="16"/>
                <w:szCs w:val="16"/>
              </w:rPr>
            </w:pPr>
            <w:r w:rsidRPr="008D2B6B">
              <w:rPr>
                <w:rFonts w:ascii="Century Gothic" w:hAnsi="Century Gothic"/>
                <w:b/>
                <w:bCs/>
                <w:color w:val="76923C" w:themeColor="accent3" w:themeShade="BF"/>
                <w:sz w:val="16"/>
                <w:szCs w:val="16"/>
              </w:rPr>
              <w:t>Maintain</w:t>
            </w:r>
          </w:p>
        </w:tc>
        <w:tc>
          <w:tcPr>
            <w:tcW w:w="2605" w:type="dxa"/>
            <w:vMerge w:val="restart"/>
            <w:tcBorders>
              <w:left w:val="single" w:sz="18" w:space="0" w:color="auto"/>
              <w:right w:val="single" w:sz="18" w:space="0" w:color="auto"/>
            </w:tcBorders>
            <w:shd w:val="clear" w:color="auto" w:fill="95B3D7" w:themeFill="accent1" w:themeFillTint="99"/>
            <w:vAlign w:val="center"/>
          </w:tcPr>
          <w:p w:rsidR="009535AA" w:rsidRPr="00BB2DB2" w:rsidRDefault="009535AA" w:rsidP="00EA1768">
            <w:pPr>
              <w:spacing w:before="20"/>
              <w:jc w:val="center"/>
              <w:rPr>
                <w:rFonts w:ascii="Century Gothic" w:hAnsi="Century Gothic"/>
                <w:color w:val="000000" w:themeColor="text1"/>
                <w:sz w:val="16"/>
                <w:szCs w:val="16"/>
              </w:rPr>
            </w:pPr>
            <w:r>
              <w:rPr>
                <w:rFonts w:ascii="Century Gothic" w:hAnsi="Century Gothic"/>
                <w:sz w:val="16"/>
                <w:szCs w:val="16"/>
              </w:rPr>
              <w:t>Commonwealth likely to contribute to support natural events, should they eventuate</w:t>
            </w:r>
          </w:p>
        </w:tc>
        <w:tc>
          <w:tcPr>
            <w:tcW w:w="2283" w:type="dxa"/>
            <w:vMerge w:val="restart"/>
            <w:tcBorders>
              <w:lef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Very low</w:t>
            </w:r>
          </w:p>
        </w:tc>
        <w:tc>
          <w:tcPr>
            <w:tcW w:w="3092" w:type="dxa"/>
            <w:gridSpan w:val="2"/>
            <w:tcBorders>
              <w:top w:val="nil"/>
              <w:left w:val="single" w:sz="18" w:space="0" w:color="auto"/>
              <w:bottom w:val="single" w:sz="18" w:space="0" w:color="auto"/>
              <w:right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r w:rsidRPr="008D2B6B">
              <w:rPr>
                <w:rFonts w:ascii="Century Gothic" w:hAnsi="Century Gothic"/>
                <w:color w:val="000000"/>
                <w:sz w:val="16"/>
                <w:szCs w:val="16"/>
              </w:rPr>
              <w:t>Very low</w:t>
            </w:r>
          </w:p>
        </w:tc>
      </w:tr>
      <w:tr w:rsidR="009535AA" w:rsidRPr="008D2B6B" w:rsidTr="0054560D">
        <w:trPr>
          <w:trHeight w:val="378"/>
        </w:trPr>
        <w:tc>
          <w:tcPr>
            <w:tcW w:w="1526"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2977" w:type="dxa"/>
            <w:vMerge/>
            <w:tcBorders>
              <w:bottom w:val="single" w:sz="18" w:space="0" w:color="auto"/>
            </w:tcBorders>
            <w:vAlign w:val="center"/>
          </w:tcPr>
          <w:p w:rsidR="009535AA" w:rsidRDefault="009535AA" w:rsidP="00EA1768">
            <w:pPr>
              <w:spacing w:before="20"/>
              <w:rPr>
                <w:rFonts w:ascii="Century Gothic" w:hAnsi="Century Gothic"/>
                <w:color w:val="000000"/>
                <w:sz w:val="16"/>
                <w:szCs w:val="16"/>
              </w:rPr>
            </w:pPr>
          </w:p>
        </w:tc>
        <w:tc>
          <w:tcPr>
            <w:tcW w:w="1275" w:type="dxa"/>
            <w:vMerge/>
            <w:tcBorders>
              <w:bottom w:val="single" w:sz="18" w:space="0" w:color="auto"/>
            </w:tcBorders>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FFFFFF" w:themeFill="background1"/>
          </w:tcPr>
          <w:p w:rsidR="009535AA" w:rsidRPr="008D2B6B" w:rsidRDefault="009535AA" w:rsidP="00EA1768">
            <w:pPr>
              <w:spacing w:before="20"/>
              <w:rPr>
                <w:rFonts w:ascii="Century Gothic" w:hAnsi="Century Gothic"/>
                <w:color w:val="000000"/>
                <w:sz w:val="16"/>
                <w:szCs w:val="16"/>
              </w:rPr>
            </w:pPr>
          </w:p>
        </w:tc>
        <w:tc>
          <w:tcPr>
            <w:tcW w:w="1134" w:type="dxa"/>
            <w:vMerge/>
            <w:tcBorders>
              <w:bottom w:val="single" w:sz="18" w:space="0" w:color="auto"/>
            </w:tcBorders>
            <w:shd w:val="clear" w:color="auto" w:fill="FFFFFF" w:themeFill="background1"/>
          </w:tcPr>
          <w:p w:rsidR="009535AA" w:rsidRPr="008D2B6B" w:rsidRDefault="009535AA" w:rsidP="00EA1768">
            <w:pPr>
              <w:spacing w:before="20"/>
              <w:rPr>
                <w:rFonts w:ascii="Century Gothic" w:hAnsi="Century Gothic"/>
                <w:color w:val="808080"/>
                <w:sz w:val="16"/>
                <w:szCs w:val="16"/>
              </w:rPr>
            </w:pPr>
          </w:p>
        </w:tc>
        <w:tc>
          <w:tcPr>
            <w:tcW w:w="992" w:type="dxa"/>
            <w:vMerge/>
            <w:tcBorders>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p>
        </w:tc>
        <w:tc>
          <w:tcPr>
            <w:tcW w:w="2859" w:type="dxa"/>
            <w:vMerge/>
            <w:tcBorders>
              <w:left w:val="single" w:sz="18" w:space="0" w:color="auto"/>
              <w:bottom w:val="single" w:sz="18" w:space="0" w:color="auto"/>
            </w:tcBorders>
            <w:shd w:val="clear" w:color="auto" w:fill="00B050"/>
            <w:vAlign w:val="center"/>
          </w:tcPr>
          <w:p w:rsidR="009535AA" w:rsidRDefault="009535AA" w:rsidP="00EA1768">
            <w:pPr>
              <w:spacing w:before="20"/>
              <w:jc w:val="center"/>
              <w:rPr>
                <w:rFonts w:ascii="Century Gothic" w:hAnsi="Century Gothic"/>
                <w:color w:val="000000"/>
                <w:sz w:val="16"/>
                <w:szCs w:val="16"/>
              </w:rPr>
            </w:pPr>
          </w:p>
        </w:tc>
        <w:tc>
          <w:tcPr>
            <w:tcW w:w="1352" w:type="dxa"/>
            <w:vMerge/>
            <w:tcBorders>
              <w:bottom w:val="single" w:sz="18" w:space="0" w:color="auto"/>
              <w:right w:val="single" w:sz="18" w:space="0" w:color="auto"/>
            </w:tcBorders>
            <w:shd w:val="clear" w:color="auto" w:fill="auto"/>
          </w:tcPr>
          <w:p w:rsidR="009535AA" w:rsidRPr="008D2B6B" w:rsidRDefault="009535AA" w:rsidP="00EA1768">
            <w:pPr>
              <w:spacing w:before="20"/>
              <w:jc w:val="center"/>
              <w:rPr>
                <w:rFonts w:ascii="Century Gothic" w:hAnsi="Century Gothic"/>
                <w:b/>
                <w:bCs/>
                <w:color w:val="76923C" w:themeColor="accent3" w:themeShade="BF"/>
                <w:sz w:val="16"/>
                <w:szCs w:val="16"/>
              </w:rPr>
            </w:pPr>
          </w:p>
        </w:tc>
        <w:tc>
          <w:tcPr>
            <w:tcW w:w="2605" w:type="dxa"/>
            <w:vMerge/>
            <w:tcBorders>
              <w:left w:val="single" w:sz="18" w:space="0" w:color="auto"/>
              <w:bottom w:val="single" w:sz="18" w:space="0" w:color="auto"/>
              <w:right w:val="single" w:sz="18" w:space="0" w:color="auto"/>
            </w:tcBorders>
            <w:shd w:val="clear" w:color="auto" w:fill="95B3D7" w:themeFill="accent1" w:themeFillTint="99"/>
            <w:vAlign w:val="center"/>
          </w:tcPr>
          <w:p w:rsidR="009535AA" w:rsidRDefault="009535AA" w:rsidP="00EA1768">
            <w:pPr>
              <w:spacing w:before="20"/>
              <w:jc w:val="center"/>
              <w:rPr>
                <w:rFonts w:ascii="Century Gothic" w:hAnsi="Century Gothic"/>
                <w:sz w:val="16"/>
                <w:szCs w:val="16"/>
              </w:rPr>
            </w:pPr>
          </w:p>
        </w:tc>
        <w:tc>
          <w:tcPr>
            <w:tcW w:w="2283" w:type="dxa"/>
            <w:vMerge/>
            <w:tcBorders>
              <w:left w:val="single" w:sz="18" w:space="0" w:color="auto"/>
              <w:bottom w:val="single" w:sz="18" w:space="0" w:color="auto"/>
            </w:tcBorders>
            <w:shd w:val="clear" w:color="auto" w:fill="00B050"/>
            <w:vAlign w:val="center"/>
          </w:tcPr>
          <w:p w:rsidR="009535AA" w:rsidRPr="008D2B6B" w:rsidRDefault="009535AA" w:rsidP="00EA1768">
            <w:pPr>
              <w:spacing w:before="20"/>
              <w:jc w:val="center"/>
              <w:rPr>
                <w:rFonts w:ascii="Century Gothic" w:hAnsi="Century Gothic"/>
                <w:color w:val="000000"/>
                <w:sz w:val="16"/>
                <w:szCs w:val="16"/>
              </w:rPr>
            </w:pPr>
          </w:p>
        </w:tc>
        <w:tc>
          <w:tcPr>
            <w:tcW w:w="3092" w:type="dxa"/>
            <w:gridSpan w:val="2"/>
            <w:tcBorders>
              <w:top w:val="nil"/>
              <w:left w:val="single" w:sz="18" w:space="0" w:color="auto"/>
              <w:bottom w:val="single" w:sz="18" w:space="0" w:color="auto"/>
              <w:right w:val="single" w:sz="18" w:space="0" w:color="auto"/>
            </w:tcBorders>
            <w:shd w:val="clear" w:color="auto" w:fill="92D050"/>
            <w:vAlign w:val="center"/>
          </w:tcPr>
          <w:p w:rsidR="009535AA" w:rsidRPr="008D2B6B" w:rsidRDefault="009535AA" w:rsidP="00EA1768">
            <w:pPr>
              <w:spacing w:before="20"/>
              <w:jc w:val="center"/>
              <w:rPr>
                <w:rFonts w:ascii="Century Gothic" w:hAnsi="Century Gothic"/>
                <w:color w:val="000000"/>
                <w:sz w:val="16"/>
                <w:szCs w:val="16"/>
              </w:rPr>
            </w:pPr>
            <w:r>
              <w:rPr>
                <w:rFonts w:ascii="Century Gothic" w:hAnsi="Century Gothic"/>
                <w:color w:val="000000"/>
                <w:sz w:val="16"/>
                <w:szCs w:val="16"/>
              </w:rPr>
              <w:t>Low</w:t>
            </w:r>
          </w:p>
        </w:tc>
      </w:tr>
      <w:tr w:rsidR="009535AA" w:rsidRPr="008D2B6B" w:rsidTr="00EA1768">
        <w:trPr>
          <w:trHeight w:val="233"/>
        </w:trPr>
        <w:tc>
          <w:tcPr>
            <w:tcW w:w="11897" w:type="dxa"/>
            <w:gridSpan w:val="7"/>
            <w:vMerge w:val="restart"/>
            <w:tcBorders>
              <w:top w:val="single" w:sz="18" w:space="0" w:color="auto"/>
              <w:left w:val="nil"/>
              <w:right w:val="single" w:sz="18" w:space="0" w:color="auto"/>
            </w:tcBorders>
            <w:shd w:val="clear" w:color="auto" w:fill="auto"/>
          </w:tcPr>
          <w:p w:rsidR="009535AA" w:rsidRPr="008D2B6B" w:rsidRDefault="009535AA" w:rsidP="00EA1768">
            <w:pPr>
              <w:pStyle w:val="FootnoteText"/>
              <w:spacing w:before="20" w:after="40"/>
              <w:jc w:val="left"/>
              <w:rPr>
                <w:rFonts w:ascii="Century Gothic" w:hAnsi="Century Gothic"/>
                <w:color w:val="000000"/>
                <w:sz w:val="16"/>
                <w:szCs w:val="16"/>
              </w:rPr>
            </w:pPr>
            <w:r>
              <w:rPr>
                <w:rFonts w:ascii="Century Gothic" w:hAnsi="Century Gothic"/>
                <w:color w:val="000000"/>
                <w:sz w:val="16"/>
                <w:szCs w:val="16"/>
              </w:rPr>
              <w:t>See Table 2a for footnotes</w:t>
            </w:r>
          </w:p>
          <w:p w:rsidR="009535AA" w:rsidRPr="008D2B6B" w:rsidRDefault="009535AA" w:rsidP="00EA1768">
            <w:pPr>
              <w:spacing w:before="20"/>
              <w:rPr>
                <w:rFonts w:ascii="Century Gothic" w:hAnsi="Century Gothic"/>
                <w:color w:val="000000"/>
                <w:sz w:val="16"/>
                <w:szCs w:val="16"/>
              </w:rPr>
            </w:pPr>
            <w:r w:rsidRPr="00AC1072">
              <w:rPr>
                <w:rFonts w:ascii="Century Gothic" w:hAnsi="Century Gothic"/>
                <w:noProof/>
                <w:color w:val="000000"/>
                <w:sz w:val="16"/>
                <w:szCs w:val="16"/>
                <w:lang w:eastAsia="en-AU"/>
              </w:rPr>
              <w:drawing>
                <wp:anchor distT="0" distB="0" distL="114300" distR="114300" simplePos="0" relativeHeight="251738112" behindDoc="0" locked="0" layoutInCell="1" allowOverlap="1">
                  <wp:simplePos x="0" y="0"/>
                  <wp:positionH relativeFrom="column">
                    <wp:posOffset>-33599</wp:posOffset>
                  </wp:positionH>
                  <wp:positionV relativeFrom="paragraph">
                    <wp:posOffset>389861</wp:posOffset>
                  </wp:positionV>
                  <wp:extent cx="7395186" cy="3074505"/>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402831" cy="3077683"/>
                          </a:xfrm>
                          <a:prstGeom prst="rect">
                            <a:avLst/>
                          </a:prstGeom>
                          <a:noFill/>
                          <a:ln w="9525">
                            <a:noFill/>
                            <a:miter lim="800000"/>
                            <a:headEnd/>
                            <a:tailEnd/>
                          </a:ln>
                        </pic:spPr>
                      </pic:pic>
                    </a:graphicData>
                  </a:graphic>
                </wp:anchor>
              </w:drawing>
            </w:r>
          </w:p>
        </w:tc>
        <w:tc>
          <w:tcPr>
            <w:tcW w:w="1352" w:type="dxa"/>
            <w:tcBorders>
              <w:top w:val="single" w:sz="18" w:space="0" w:color="auto"/>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Carryover potential</w:t>
            </w:r>
          </w:p>
        </w:tc>
        <w:tc>
          <w:tcPr>
            <w:tcW w:w="2605" w:type="dxa"/>
            <w:tcBorders>
              <w:top w:val="single" w:sz="18" w:space="0" w:color="auto"/>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8"/>
                <w:szCs w:val="18"/>
              </w:rPr>
              <w:t>Moderate proportion of available allocations expected to be carried into 2016–17</w:t>
            </w:r>
          </w:p>
        </w:tc>
        <w:tc>
          <w:tcPr>
            <w:tcW w:w="2283" w:type="dxa"/>
            <w:tcBorders>
              <w:top w:val="single" w:sz="18" w:space="0" w:color="auto"/>
              <w:left w:val="single" w:sz="18" w:space="0" w:color="auto"/>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8"/>
                <w:szCs w:val="18"/>
              </w:rPr>
              <w:t>A moderate proportion of available allocations may be carried over to 2017–18, but will depend upon resource availability and demands</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ind w:firstLine="32"/>
              <w:rPr>
                <w:rFonts w:ascii="Century Gothic" w:hAnsi="Century Gothic"/>
                <w:color w:val="000000"/>
                <w:sz w:val="16"/>
                <w:szCs w:val="16"/>
              </w:rPr>
            </w:pPr>
            <w:r w:rsidRPr="008D2B6B">
              <w:rPr>
                <w:rFonts w:ascii="Century Gothic" w:hAnsi="Century Gothic"/>
                <w:color w:val="000000"/>
                <w:sz w:val="18"/>
                <w:szCs w:val="18"/>
              </w:rPr>
              <w:t>Potential carryover will depend upon resource availability and demands</w:t>
            </w:r>
          </w:p>
        </w:tc>
      </w:tr>
      <w:tr w:rsidR="009535AA" w:rsidRPr="008D2B6B" w:rsidTr="00EA1768">
        <w:trPr>
          <w:trHeight w:val="233"/>
        </w:trPr>
        <w:tc>
          <w:tcPr>
            <w:tcW w:w="11897" w:type="dxa"/>
            <w:gridSpan w:val="7"/>
            <w:vMerge/>
            <w:tcBorders>
              <w:left w:val="nil"/>
              <w:bottom w:val="nil"/>
              <w:right w:val="single" w:sz="18" w:space="0" w:color="auto"/>
            </w:tcBorders>
            <w:shd w:val="clear" w:color="auto" w:fill="auto"/>
          </w:tcPr>
          <w:p w:rsidR="009535AA" w:rsidRPr="008D2B6B" w:rsidRDefault="009535AA" w:rsidP="00EA1768">
            <w:pPr>
              <w:spacing w:before="20"/>
              <w:jc w:val="center"/>
              <w:rPr>
                <w:rFonts w:ascii="Century Gothic" w:hAnsi="Century Gothic"/>
                <w:color w:val="000000"/>
                <w:sz w:val="16"/>
                <w:szCs w:val="16"/>
              </w:rPr>
            </w:pPr>
          </w:p>
        </w:tc>
        <w:tc>
          <w:tcPr>
            <w:tcW w:w="1352" w:type="dxa"/>
            <w:tcBorders>
              <w:top w:val="single" w:sz="18" w:space="0" w:color="auto"/>
              <w:left w:val="single" w:sz="18" w:space="0" w:color="auto"/>
              <w:bottom w:val="single" w:sz="18" w:space="0" w:color="auto"/>
            </w:tcBorders>
            <w:shd w:val="clear" w:color="auto" w:fill="auto"/>
          </w:tcPr>
          <w:p w:rsidR="009535AA" w:rsidRPr="008D2B6B" w:rsidRDefault="009535AA" w:rsidP="00EA1768">
            <w:pPr>
              <w:spacing w:before="20"/>
              <w:rPr>
                <w:rFonts w:ascii="Century Gothic" w:hAnsi="Century Gothic"/>
                <w:b/>
                <w:bCs/>
                <w:color w:val="000000"/>
                <w:sz w:val="16"/>
                <w:szCs w:val="16"/>
              </w:rPr>
            </w:pPr>
            <w:r w:rsidRPr="008D2B6B">
              <w:rPr>
                <w:rFonts w:ascii="Century Gothic" w:hAnsi="Century Gothic"/>
                <w:b/>
                <w:bCs/>
                <w:color w:val="000000"/>
                <w:sz w:val="16"/>
                <w:szCs w:val="16"/>
              </w:rPr>
              <w:t xml:space="preserve">Trade potential </w:t>
            </w:r>
          </w:p>
        </w:tc>
        <w:tc>
          <w:tcPr>
            <w:tcW w:w="2605" w:type="dxa"/>
            <w:tcBorders>
              <w:top w:val="single" w:sz="18" w:space="0" w:color="auto"/>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8"/>
                <w:szCs w:val="18"/>
              </w:rPr>
              <w:t>No urgency to augment available allocations, therefore limited potential for allocation purchase. Moderate to high demands means allocation sale unlikely</w:t>
            </w:r>
          </w:p>
        </w:tc>
        <w:tc>
          <w:tcPr>
            <w:tcW w:w="2283" w:type="dxa"/>
            <w:tcBorders>
              <w:top w:val="single" w:sz="18" w:space="0" w:color="auto"/>
              <w:left w:val="single" w:sz="18" w:space="0" w:color="auto"/>
              <w:bottom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8"/>
                <w:szCs w:val="18"/>
              </w:rPr>
              <w:t>No expected urgency to augment available allocations, therefore limited potential for allocation purchase. Moderate demands means allocation sale unlikely</w:t>
            </w:r>
          </w:p>
        </w:tc>
        <w:tc>
          <w:tcPr>
            <w:tcW w:w="3092" w:type="dxa"/>
            <w:gridSpan w:val="2"/>
            <w:tcBorders>
              <w:top w:val="single" w:sz="18" w:space="0" w:color="auto"/>
              <w:left w:val="single" w:sz="18" w:space="0" w:color="auto"/>
              <w:bottom w:val="single" w:sz="18" w:space="0" w:color="auto"/>
              <w:right w:val="single" w:sz="18" w:space="0" w:color="auto"/>
            </w:tcBorders>
            <w:shd w:val="clear" w:color="auto" w:fill="auto"/>
          </w:tcPr>
          <w:p w:rsidR="009535AA" w:rsidRPr="008D2B6B" w:rsidRDefault="009535AA" w:rsidP="00EA1768">
            <w:pPr>
              <w:spacing w:before="20"/>
              <w:rPr>
                <w:rFonts w:ascii="Century Gothic" w:hAnsi="Century Gothic"/>
                <w:color w:val="000000"/>
                <w:sz w:val="16"/>
                <w:szCs w:val="16"/>
              </w:rPr>
            </w:pPr>
            <w:r w:rsidRPr="008D2B6B">
              <w:rPr>
                <w:rFonts w:ascii="Century Gothic" w:hAnsi="Century Gothic"/>
                <w:color w:val="000000"/>
                <w:sz w:val="18"/>
                <w:szCs w:val="18"/>
              </w:rPr>
              <w:t>Potential to trade will be depend on environmental demands and resource availability</w:t>
            </w:r>
          </w:p>
        </w:tc>
      </w:tr>
    </w:tbl>
    <w:p w:rsidR="00060C7A" w:rsidRPr="008D2B6B" w:rsidRDefault="00060C7A" w:rsidP="00060C7A">
      <w:pPr>
        <w:rPr>
          <w:color w:val="FF0000"/>
        </w:rPr>
      </w:pPr>
    </w:p>
    <w:p w:rsidR="00060C7A" w:rsidRPr="008D2B6B" w:rsidRDefault="00060C7A" w:rsidP="00060C7A">
      <w:pPr>
        <w:rPr>
          <w:b/>
          <w:u w:val="single"/>
        </w:rPr>
      </w:pPr>
    </w:p>
    <w:p w:rsidR="00060C7A" w:rsidRPr="008D2B6B" w:rsidRDefault="00060C7A" w:rsidP="00060C7A">
      <w:pPr>
        <w:spacing w:after="120"/>
        <w:rPr>
          <w:rFonts w:ascii="Century Gothic" w:hAnsi="Century Gothic"/>
          <w:b/>
          <w:sz w:val="16"/>
          <w:szCs w:val="16"/>
        </w:rPr>
        <w:sectPr w:rsidR="00060C7A" w:rsidRPr="008D2B6B" w:rsidSect="003367F3">
          <w:pgSz w:w="23814" w:h="16839" w:orient="landscape" w:code="8"/>
          <w:pgMar w:top="567" w:right="709" w:bottom="707" w:left="709" w:header="708" w:footer="0" w:gutter="0"/>
          <w:cols w:space="708"/>
          <w:docGrid w:linePitch="360"/>
        </w:sectPr>
      </w:pPr>
    </w:p>
    <w:p w:rsidR="00060C7A" w:rsidRPr="001E2453" w:rsidRDefault="00060C7A" w:rsidP="00060C7A">
      <w:pPr>
        <w:pStyle w:val="Heading1"/>
        <w:numPr>
          <w:ilvl w:val="0"/>
          <w:numId w:val="0"/>
        </w:numPr>
        <w:jc w:val="left"/>
        <w:rPr>
          <w:rFonts w:ascii="Century Gothic" w:hAnsi="Century Gothic"/>
          <w:color w:val="5F497A" w:themeColor="accent4" w:themeShade="BF"/>
          <w:sz w:val="48"/>
          <w:szCs w:val="48"/>
        </w:rPr>
      </w:pPr>
      <w:bookmarkStart w:id="16" w:name="_Toc422406857"/>
      <w:r w:rsidRPr="001E2453">
        <w:rPr>
          <w:rFonts w:ascii="Century Gothic" w:hAnsi="Century Gothic"/>
          <w:color w:val="5F497A" w:themeColor="accent4" w:themeShade="BF"/>
          <w:sz w:val="48"/>
          <w:szCs w:val="48"/>
        </w:rPr>
        <w:lastRenderedPageBreak/>
        <w:t>Part II: Commonwealth environmental water portfolio management planning</w:t>
      </w:r>
      <w:bookmarkEnd w:id="16"/>
    </w:p>
    <w:p w:rsidR="00060C7A" w:rsidRPr="001E2453" w:rsidRDefault="00060C7A" w:rsidP="00060C7A">
      <w:pPr>
        <w:pStyle w:val="Heading1"/>
        <w:spacing w:before="0"/>
        <w:ind w:left="567" w:hanging="567"/>
        <w:jc w:val="left"/>
        <w:rPr>
          <w:rFonts w:ascii="Century Gothic" w:hAnsi="Century Gothic"/>
          <w:color w:val="5F497A" w:themeColor="accent4" w:themeShade="BF"/>
        </w:rPr>
      </w:pPr>
      <w:bookmarkStart w:id="17" w:name="_Toc422406858"/>
      <w:r w:rsidRPr="001E2453">
        <w:rPr>
          <w:rFonts w:ascii="Century Gothic" w:hAnsi="Century Gothic"/>
          <w:color w:val="5F497A" w:themeColor="accent4" w:themeShade="BF"/>
        </w:rPr>
        <w:t>Background</w:t>
      </w:r>
      <w:bookmarkEnd w:id="17"/>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18" w:name="_Toc422406859"/>
      <w:r w:rsidRPr="008D2B6B">
        <w:rPr>
          <w:rFonts w:ascii="Century Gothic" w:hAnsi="Century Gothic"/>
          <w:noProof/>
          <w:color w:val="5F497A" w:themeColor="accent4" w:themeShade="BF"/>
          <w:lang w:val="en-AU"/>
        </w:rPr>
        <w:t>Commonwealth environmental water</w:t>
      </w:r>
      <w:bookmarkEnd w:id="18"/>
    </w:p>
    <w:p w:rsidR="00060C7A" w:rsidRPr="002E048C" w:rsidRDefault="00060C7A" w:rsidP="00060C7A">
      <w:pPr>
        <w:spacing w:after="240"/>
        <w:rPr>
          <w:rFonts w:ascii="Century Gothic" w:hAnsi="Century Gothic" w:cs="Arial"/>
          <w:sz w:val="20"/>
          <w:szCs w:val="20"/>
        </w:rPr>
      </w:pPr>
      <w:r w:rsidRPr="002E048C">
        <w:rPr>
          <w:rFonts w:ascii="Century Gothic" w:hAnsi="Century Gothic" w:cs="Arial"/>
          <w:sz w:val="20"/>
          <w:szCs w:val="20"/>
        </w:rPr>
        <w:t xml:space="preserve">The Commonwealth Environmental Water Holder is an independent statutory position established by the </w:t>
      </w:r>
      <w:r w:rsidRPr="002E048C">
        <w:rPr>
          <w:rFonts w:ascii="Century Gothic" w:hAnsi="Century Gothic" w:cs="Arial"/>
          <w:i/>
          <w:iCs/>
          <w:sz w:val="20"/>
          <w:szCs w:val="20"/>
        </w:rPr>
        <w:t>Water Act 2007</w:t>
      </w:r>
      <w:r w:rsidRPr="002E048C">
        <w:rPr>
          <w:rFonts w:ascii="Century Gothic" w:hAnsi="Century Gothic" w:cs="Arial"/>
          <w:iCs/>
          <w:sz w:val="20"/>
          <w:szCs w:val="20"/>
        </w:rPr>
        <w:t xml:space="preserve"> (the Water Act) </w:t>
      </w:r>
      <w:r w:rsidRPr="002E048C">
        <w:rPr>
          <w:rFonts w:ascii="Century Gothic" w:hAnsi="Century Gothic" w:cs="Arial"/>
          <w:sz w:val="20"/>
          <w:szCs w:val="20"/>
        </w:rPr>
        <w:t>to manage the Commonwealth environmental water holdings. The Commonwealth Environmental Water Holder leads and is supported by the Commonwealth Environmental Water Office (the Office), a division of the Australian Government Department of the Environment.</w:t>
      </w:r>
    </w:p>
    <w:p w:rsidR="00060C7A" w:rsidRPr="002E048C" w:rsidRDefault="00060C7A" w:rsidP="00060C7A">
      <w:pPr>
        <w:tabs>
          <w:tab w:val="left" w:pos="1134"/>
        </w:tabs>
        <w:spacing w:after="240"/>
        <w:rPr>
          <w:rFonts w:ascii="Century Gothic" w:hAnsi="Century Gothic" w:cs="Arial"/>
          <w:sz w:val="20"/>
          <w:szCs w:val="20"/>
        </w:rPr>
      </w:pPr>
      <w:r w:rsidRPr="002E048C">
        <w:rPr>
          <w:rFonts w:ascii="Century Gothic" w:hAnsi="Century Gothic" w:cs="Arial"/>
          <w:sz w:val="20"/>
          <w:szCs w:val="20"/>
        </w:rPr>
        <w:t xml:space="preserve">Under the Water Act, Commonwealth environmental water must be managed to protect or restore environmental assets, so as to give effect to relevant international agreements. The Water Act 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 </w:t>
      </w:r>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19" w:name="_Toc422406860"/>
      <w:r w:rsidRPr="008D2B6B">
        <w:rPr>
          <w:rFonts w:ascii="Century Gothic" w:hAnsi="Century Gothic"/>
          <w:noProof/>
          <w:color w:val="5F497A" w:themeColor="accent4" w:themeShade="BF"/>
          <w:lang w:val="en-AU"/>
        </w:rPr>
        <w:t xml:space="preserve">The Lower </w:t>
      </w:r>
      <w:r>
        <w:rPr>
          <w:rFonts w:ascii="Century Gothic" w:hAnsi="Century Gothic"/>
          <w:noProof/>
          <w:color w:val="5F497A" w:themeColor="accent4" w:themeShade="BF"/>
          <w:lang w:val="en-AU"/>
        </w:rPr>
        <w:t>Murray–Darling</w:t>
      </w:r>
      <w:r w:rsidRPr="008D2B6B">
        <w:rPr>
          <w:rFonts w:ascii="Century Gothic" w:hAnsi="Century Gothic"/>
          <w:noProof/>
          <w:color w:val="5F497A" w:themeColor="accent4" w:themeShade="BF"/>
          <w:lang w:val="en-AU"/>
        </w:rPr>
        <w:t xml:space="preserve"> Region</w:t>
      </w:r>
      <w:bookmarkEnd w:id="19"/>
    </w:p>
    <w:p w:rsidR="00060C7A" w:rsidRPr="002E048C" w:rsidRDefault="00060C7A" w:rsidP="00060C7A">
      <w:pPr>
        <w:spacing w:after="240"/>
        <w:rPr>
          <w:rFonts w:ascii="Century Gothic" w:hAnsi="Century Gothic" w:cs="Arial"/>
          <w:sz w:val="20"/>
          <w:szCs w:val="20"/>
        </w:rPr>
      </w:pPr>
      <w:r w:rsidRPr="002E048C">
        <w:rPr>
          <w:rFonts w:ascii="Century Gothic" w:hAnsi="Century Gothic" w:cs="Arial"/>
          <w:sz w:val="20"/>
          <w:szCs w:val="20"/>
        </w:rPr>
        <w:t xml:space="preserve">The Lower </w:t>
      </w:r>
      <w:r>
        <w:rPr>
          <w:rFonts w:ascii="Century Gothic" w:hAnsi="Century Gothic" w:cs="Arial"/>
          <w:sz w:val="20"/>
          <w:szCs w:val="20"/>
        </w:rPr>
        <w:t>Murray–Darling</w:t>
      </w:r>
      <w:r w:rsidRPr="002E048C">
        <w:rPr>
          <w:rFonts w:ascii="Century Gothic" w:hAnsi="Century Gothic" w:cs="Arial"/>
          <w:sz w:val="20"/>
          <w:szCs w:val="20"/>
        </w:rPr>
        <w:t xml:space="preserve"> Region consists of the River Murray downstream of Lock 15 at Euston to the Murray Mouth, the Darling River below Menindee Lakes and the Great Darling Anabranch. The lower </w:t>
      </w:r>
      <w:r>
        <w:rPr>
          <w:rFonts w:ascii="Century Gothic" w:hAnsi="Century Gothic" w:cs="Arial"/>
          <w:sz w:val="20"/>
          <w:szCs w:val="20"/>
        </w:rPr>
        <w:t xml:space="preserve">River </w:t>
      </w:r>
      <w:r w:rsidRPr="002E048C">
        <w:rPr>
          <w:rFonts w:ascii="Century Gothic" w:hAnsi="Century Gothic" w:cs="Arial"/>
          <w:sz w:val="20"/>
          <w:szCs w:val="20"/>
        </w:rPr>
        <w:t xml:space="preserve">Murray contains several wetlands of ecological </w:t>
      </w:r>
      <w:proofErr w:type="gramStart"/>
      <w:r w:rsidRPr="002E048C">
        <w:rPr>
          <w:rFonts w:ascii="Century Gothic" w:hAnsi="Century Gothic" w:cs="Arial"/>
          <w:sz w:val="20"/>
          <w:szCs w:val="20"/>
        </w:rPr>
        <w:t>significance,</w:t>
      </w:r>
      <w:proofErr w:type="gramEnd"/>
      <w:r w:rsidRPr="002E048C">
        <w:rPr>
          <w:rFonts w:ascii="Century Gothic" w:hAnsi="Century Gothic" w:cs="Arial"/>
          <w:sz w:val="20"/>
          <w:szCs w:val="20"/>
        </w:rPr>
        <w:t xml:space="preserve"> including the </w:t>
      </w:r>
      <w:r>
        <w:rPr>
          <w:rFonts w:ascii="Century Gothic" w:hAnsi="Century Gothic" w:cs="Arial"/>
          <w:sz w:val="20"/>
          <w:szCs w:val="20"/>
        </w:rPr>
        <w:t xml:space="preserve">internationally important </w:t>
      </w:r>
      <w:proofErr w:type="spellStart"/>
      <w:r w:rsidRPr="002E048C">
        <w:rPr>
          <w:rFonts w:ascii="Century Gothic" w:hAnsi="Century Gothic" w:cs="Arial"/>
          <w:sz w:val="20"/>
          <w:szCs w:val="20"/>
        </w:rPr>
        <w:t>Ramsar</w:t>
      </w:r>
      <w:proofErr w:type="spellEnd"/>
      <w:r w:rsidRPr="002E048C">
        <w:rPr>
          <w:rFonts w:ascii="Century Gothic" w:hAnsi="Century Gothic" w:cs="Arial"/>
          <w:sz w:val="20"/>
          <w:szCs w:val="20"/>
        </w:rPr>
        <w:t xml:space="preserve"> listed Coorong and Lakes Alexandrina</w:t>
      </w:r>
      <w:r w:rsidRPr="002E048C">
        <w:rPr>
          <w:rFonts w:ascii="Century Gothic" w:hAnsi="Century Gothic" w:cs="Arial"/>
          <w:color w:val="000000" w:themeColor="text1"/>
          <w:sz w:val="20"/>
          <w:szCs w:val="20"/>
        </w:rPr>
        <w:t xml:space="preserve"> and Albert, the Riverland (including the Chowilla floodplain), </w:t>
      </w:r>
      <w:proofErr w:type="spellStart"/>
      <w:r w:rsidRPr="002E048C">
        <w:rPr>
          <w:rFonts w:ascii="Century Gothic" w:hAnsi="Century Gothic" w:cs="Arial"/>
          <w:color w:val="000000" w:themeColor="text1"/>
          <w:sz w:val="20"/>
          <w:szCs w:val="20"/>
        </w:rPr>
        <w:t>Banrock</w:t>
      </w:r>
      <w:proofErr w:type="spellEnd"/>
      <w:r w:rsidRPr="002E048C">
        <w:rPr>
          <w:rFonts w:ascii="Century Gothic" w:hAnsi="Century Gothic" w:cs="Arial"/>
          <w:color w:val="000000" w:themeColor="text1"/>
          <w:sz w:val="20"/>
          <w:szCs w:val="20"/>
        </w:rPr>
        <w:t xml:space="preserve"> Station and Hattah Lakes</w:t>
      </w:r>
      <w:r>
        <w:rPr>
          <w:rFonts w:ascii="Century Gothic" w:hAnsi="Century Gothic" w:cs="Arial"/>
          <w:color w:val="000000" w:themeColor="text1"/>
          <w:sz w:val="20"/>
          <w:szCs w:val="20"/>
        </w:rPr>
        <w:t>.</w:t>
      </w:r>
    </w:p>
    <w:p w:rsidR="00060C7A" w:rsidRPr="002E048C" w:rsidRDefault="00060C7A" w:rsidP="00060C7A">
      <w:pPr>
        <w:spacing w:after="240"/>
        <w:rPr>
          <w:rFonts w:ascii="Century Gothic" w:hAnsi="Century Gothic"/>
          <w:sz w:val="20"/>
          <w:szCs w:val="20"/>
        </w:rPr>
      </w:pPr>
      <w:r w:rsidRPr="002E048C">
        <w:rPr>
          <w:rFonts w:ascii="Century Gothic" w:hAnsi="Century Gothic"/>
          <w:sz w:val="20"/>
          <w:szCs w:val="20"/>
        </w:rPr>
        <w:t>Environmental water is sourced via managed releases from River Murray storages including Hume Reservoir, Menindee Lakes, Lake Victoria and River Murray tributaries</w:t>
      </w:r>
      <w:r w:rsidRPr="002E048C">
        <w:rPr>
          <w:rFonts w:ascii="Century Gothic" w:hAnsi="Century Gothic" w:cs="Arial"/>
          <w:color w:val="000000" w:themeColor="text1"/>
          <w:sz w:val="20"/>
          <w:szCs w:val="20"/>
        </w:rPr>
        <w:t xml:space="preserve">. </w:t>
      </w:r>
      <w:r>
        <w:rPr>
          <w:rFonts w:ascii="Century Gothic" w:hAnsi="Century Gothic"/>
          <w:sz w:val="20"/>
          <w:szCs w:val="20"/>
        </w:rPr>
        <w:t xml:space="preserve">Natural cues may be used to inform the use of environmental water in the lower River Murray, establishing a more natural flow regime and maximising the benefits of environmental water delivery. </w:t>
      </w:r>
      <w:r w:rsidRPr="002E048C">
        <w:rPr>
          <w:rFonts w:ascii="Century Gothic" w:hAnsi="Century Gothic"/>
          <w:sz w:val="20"/>
          <w:szCs w:val="20"/>
        </w:rPr>
        <w:t xml:space="preserve">Environmental water delivery to specific sites within the lower River Murray occurs in two main ways. At low river flows regulating structures or pumping can be used to manage the diversion of water into anabranches, creeks, wetlands and floodplains. At high river flows </w:t>
      </w:r>
      <w:r>
        <w:rPr>
          <w:rFonts w:ascii="Century Gothic" w:hAnsi="Century Gothic"/>
          <w:sz w:val="20"/>
          <w:szCs w:val="20"/>
        </w:rPr>
        <w:t>environmental water is used to augment natural flow to influence the magnitude and duration of floodplain and wetland inundation.</w:t>
      </w:r>
      <w:r w:rsidRPr="002E048C">
        <w:rPr>
          <w:rFonts w:ascii="Century Gothic" w:hAnsi="Century Gothic"/>
          <w:sz w:val="20"/>
          <w:szCs w:val="20"/>
        </w:rPr>
        <w:t xml:space="preserve"> </w:t>
      </w:r>
    </w:p>
    <w:p w:rsidR="00060C7A" w:rsidRDefault="00060C7A" w:rsidP="00060C7A">
      <w:pPr>
        <w:spacing w:after="240"/>
        <w:rPr>
          <w:rFonts w:ascii="Century Gothic" w:hAnsi="Century Gothic"/>
          <w:sz w:val="20"/>
          <w:szCs w:val="20"/>
        </w:rPr>
      </w:pPr>
      <w:r w:rsidRPr="002E048C">
        <w:rPr>
          <w:rFonts w:ascii="Century Gothic" w:hAnsi="Century Gothic"/>
          <w:sz w:val="20"/>
          <w:szCs w:val="20"/>
        </w:rPr>
        <w:t xml:space="preserve">Downstream of Lock </w:t>
      </w:r>
      <w:r>
        <w:rPr>
          <w:rFonts w:ascii="Century Gothic" w:hAnsi="Century Gothic"/>
          <w:sz w:val="20"/>
          <w:szCs w:val="20"/>
        </w:rPr>
        <w:t>6</w:t>
      </w:r>
      <w:r w:rsidRPr="002E048C">
        <w:rPr>
          <w:rFonts w:ascii="Century Gothic" w:hAnsi="Century Gothic"/>
          <w:sz w:val="20"/>
          <w:szCs w:val="20"/>
        </w:rPr>
        <w:t xml:space="preserve"> </w:t>
      </w:r>
      <w:r>
        <w:rPr>
          <w:rFonts w:ascii="Century Gothic" w:hAnsi="Century Gothic"/>
          <w:sz w:val="20"/>
          <w:szCs w:val="20"/>
        </w:rPr>
        <w:t>in the lower River Murray</w:t>
      </w:r>
      <w:r w:rsidRPr="002E048C">
        <w:rPr>
          <w:rFonts w:ascii="Century Gothic" w:hAnsi="Century Gothic"/>
          <w:sz w:val="20"/>
          <w:szCs w:val="20"/>
        </w:rPr>
        <w:t xml:space="preserve"> many wetlands, creeks and anabranches are permanently connected </w:t>
      </w:r>
      <w:r>
        <w:rPr>
          <w:rFonts w:ascii="Century Gothic" w:hAnsi="Century Gothic"/>
          <w:sz w:val="20"/>
          <w:szCs w:val="20"/>
        </w:rPr>
        <w:t xml:space="preserve">to the main river channel </w:t>
      </w:r>
      <w:r w:rsidRPr="002E048C">
        <w:rPr>
          <w:rFonts w:ascii="Century Gothic" w:hAnsi="Century Gothic"/>
          <w:sz w:val="20"/>
          <w:szCs w:val="20"/>
        </w:rPr>
        <w:t xml:space="preserve">at normal weir pool levels, however some sites are </w:t>
      </w:r>
      <w:r>
        <w:rPr>
          <w:rFonts w:ascii="Century Gothic" w:hAnsi="Century Gothic"/>
          <w:sz w:val="20"/>
          <w:szCs w:val="20"/>
        </w:rPr>
        <w:t xml:space="preserve">only connected through the operation of infrastructure or </w:t>
      </w:r>
      <w:proofErr w:type="gramStart"/>
      <w:r>
        <w:rPr>
          <w:rFonts w:ascii="Century Gothic" w:hAnsi="Century Gothic"/>
          <w:sz w:val="20"/>
          <w:szCs w:val="20"/>
        </w:rPr>
        <w:t>elevated river</w:t>
      </w:r>
      <w:proofErr w:type="gramEnd"/>
      <w:r>
        <w:rPr>
          <w:rFonts w:ascii="Century Gothic" w:hAnsi="Century Gothic"/>
          <w:sz w:val="20"/>
          <w:szCs w:val="20"/>
        </w:rPr>
        <w:t xml:space="preserve"> flows. The seasonally appropriate operation of river infrastructure, such as weirs, barrages and pumps, provides these sites more </w:t>
      </w:r>
      <w:r w:rsidRPr="002E048C">
        <w:rPr>
          <w:rFonts w:ascii="Century Gothic" w:hAnsi="Century Gothic"/>
          <w:sz w:val="20"/>
          <w:szCs w:val="20"/>
        </w:rPr>
        <w:t>natural patterns of inundation and drying sequences</w:t>
      </w:r>
      <w:r>
        <w:rPr>
          <w:rFonts w:ascii="Century Gothic" w:hAnsi="Century Gothic"/>
          <w:sz w:val="20"/>
          <w:szCs w:val="20"/>
        </w:rPr>
        <w:t>. Wetland inundation can be achieved through weir pool manipulation</w:t>
      </w:r>
      <w:r w:rsidRPr="002E048C">
        <w:rPr>
          <w:rFonts w:ascii="Century Gothic" w:hAnsi="Century Gothic"/>
          <w:sz w:val="20"/>
          <w:szCs w:val="20"/>
        </w:rPr>
        <w:t>, with a temporary raising of weir pools increasing the area of wetland inundation in low flow conditions whilst using much less water.</w:t>
      </w:r>
      <w:r>
        <w:rPr>
          <w:rFonts w:ascii="Century Gothic" w:hAnsi="Century Gothic"/>
          <w:sz w:val="20"/>
          <w:szCs w:val="20"/>
        </w:rPr>
        <w:t xml:space="preserve"> I</w:t>
      </w:r>
      <w:r w:rsidRPr="002E048C">
        <w:rPr>
          <w:rFonts w:ascii="Century Gothic" w:hAnsi="Century Gothic"/>
          <w:sz w:val="20"/>
          <w:szCs w:val="20"/>
        </w:rPr>
        <w:t>nflows into the Lower Lakes and the Coorong are managed through the operation of barrages at Lake Alexandrina.</w:t>
      </w:r>
    </w:p>
    <w:p w:rsidR="00060C7A" w:rsidRDefault="00060C7A" w:rsidP="00060C7A">
      <w:pPr>
        <w:rPr>
          <w:rFonts w:ascii="Century Gothic" w:hAnsi="Century Gothic"/>
          <w:sz w:val="20"/>
          <w:szCs w:val="20"/>
        </w:rPr>
      </w:pPr>
      <w:r w:rsidRPr="002E048C">
        <w:rPr>
          <w:rFonts w:ascii="Century Gothic" w:hAnsi="Century Gothic"/>
          <w:sz w:val="20"/>
          <w:szCs w:val="20"/>
        </w:rPr>
        <w:t xml:space="preserve">Environmental water delivery in the River Murray channel, including the operation of locks and storages is managed by the </w:t>
      </w:r>
      <w:r>
        <w:rPr>
          <w:rFonts w:ascii="Century Gothic" w:hAnsi="Century Gothic"/>
          <w:sz w:val="20"/>
          <w:szCs w:val="20"/>
        </w:rPr>
        <w:t>Murray–Darling</w:t>
      </w:r>
      <w:r w:rsidRPr="002E048C">
        <w:rPr>
          <w:rFonts w:ascii="Century Gothic" w:hAnsi="Century Gothic"/>
          <w:sz w:val="20"/>
          <w:szCs w:val="20"/>
        </w:rPr>
        <w:t xml:space="preserve"> Basin Authority (River Murray Operations). Delivery of Commonwealth environmental water is undertaken </w:t>
      </w:r>
      <w:r>
        <w:rPr>
          <w:rFonts w:ascii="Century Gothic" w:hAnsi="Century Gothic"/>
          <w:sz w:val="20"/>
          <w:szCs w:val="20"/>
        </w:rPr>
        <w:t>in collaboration with</w:t>
      </w:r>
      <w:r w:rsidRPr="002E048C">
        <w:rPr>
          <w:rFonts w:ascii="Century Gothic" w:hAnsi="Century Gothic"/>
          <w:sz w:val="20"/>
          <w:szCs w:val="20"/>
        </w:rPr>
        <w:t xml:space="preserve"> delivery partners, including the New South Wales Office of Environment and Heritage, Water New South Wales, the Victorian Environmental Water Holder</w:t>
      </w:r>
      <w:r>
        <w:rPr>
          <w:rFonts w:ascii="Century Gothic" w:hAnsi="Century Gothic"/>
          <w:sz w:val="20"/>
          <w:szCs w:val="20"/>
        </w:rPr>
        <w:t>,</w:t>
      </w:r>
      <w:r w:rsidRPr="002E048C">
        <w:rPr>
          <w:rFonts w:ascii="Century Gothic" w:hAnsi="Century Gothic"/>
          <w:sz w:val="20"/>
          <w:szCs w:val="20"/>
        </w:rPr>
        <w:t xml:space="preserve"> the Department of Environment, Water and Natural Resources South Australia</w:t>
      </w:r>
      <w:r>
        <w:rPr>
          <w:rFonts w:ascii="Century Gothic" w:hAnsi="Century Gothic"/>
          <w:sz w:val="20"/>
          <w:szCs w:val="20"/>
        </w:rPr>
        <w:t xml:space="preserve">, </w:t>
      </w:r>
      <w:proofErr w:type="spellStart"/>
      <w:r>
        <w:rPr>
          <w:rFonts w:ascii="Century Gothic" w:hAnsi="Century Gothic"/>
          <w:sz w:val="20"/>
          <w:szCs w:val="20"/>
        </w:rPr>
        <w:t>Mallee</w:t>
      </w:r>
      <w:proofErr w:type="spellEnd"/>
      <w:r>
        <w:rPr>
          <w:rFonts w:ascii="Century Gothic" w:hAnsi="Century Gothic"/>
          <w:sz w:val="20"/>
          <w:szCs w:val="20"/>
        </w:rPr>
        <w:t xml:space="preserve"> Catchment Management Authority and t</w:t>
      </w:r>
      <w:r w:rsidRPr="002E048C">
        <w:rPr>
          <w:rFonts w:ascii="Century Gothic" w:hAnsi="Century Gothic"/>
          <w:sz w:val="20"/>
          <w:szCs w:val="20"/>
        </w:rPr>
        <w:t>he Na</w:t>
      </w:r>
      <w:r>
        <w:rPr>
          <w:rFonts w:ascii="Century Gothic" w:hAnsi="Century Gothic"/>
          <w:sz w:val="20"/>
          <w:szCs w:val="20"/>
        </w:rPr>
        <w:t>ture Foundation South Australia</w:t>
      </w:r>
      <w:r w:rsidRPr="002E048C">
        <w:rPr>
          <w:rFonts w:ascii="Century Gothic" w:hAnsi="Century Gothic"/>
          <w:sz w:val="20"/>
          <w:szCs w:val="20"/>
        </w:rPr>
        <w:t xml:space="preserve">. </w:t>
      </w:r>
    </w:p>
    <w:p w:rsidR="00060C7A" w:rsidRDefault="00060C7A" w:rsidP="00060C7A">
      <w:pPr>
        <w:rPr>
          <w:rFonts w:ascii="Century Gothic" w:hAnsi="Century Gothic"/>
          <w:sz w:val="20"/>
          <w:szCs w:val="20"/>
        </w:rPr>
      </w:pPr>
    </w:p>
    <w:p w:rsidR="00060C7A" w:rsidRPr="002E048C" w:rsidRDefault="00060C7A" w:rsidP="00060C7A">
      <w:pPr>
        <w:rPr>
          <w:rFonts w:ascii="Century Gothic" w:hAnsi="Century Gothic"/>
          <w:sz w:val="20"/>
          <w:szCs w:val="20"/>
        </w:rPr>
        <w:sectPr w:rsidR="00060C7A" w:rsidRPr="002E048C" w:rsidSect="008F13EC">
          <w:headerReference w:type="even" r:id="rId21"/>
          <w:footerReference w:type="default" r:id="rId22"/>
          <w:pgSz w:w="11907" w:h="16839" w:code="9"/>
          <w:pgMar w:top="821" w:right="1275" w:bottom="709" w:left="1276" w:header="425" w:footer="267" w:gutter="0"/>
          <w:cols w:space="708"/>
          <w:titlePg/>
          <w:docGrid w:linePitch="360"/>
        </w:sectPr>
      </w:pPr>
    </w:p>
    <w:p w:rsidR="00060C7A" w:rsidRPr="008D2B6B" w:rsidRDefault="00060C7A" w:rsidP="00060C7A">
      <w:pPr>
        <w:spacing w:after="240"/>
        <w:rPr>
          <w:rFonts w:ascii="Century Gothic" w:hAnsi="Century Gothic"/>
          <w:color w:val="000000" w:themeColor="text1"/>
        </w:rPr>
      </w:pPr>
    </w:p>
    <w:p w:rsidR="00060C7A" w:rsidRPr="008D2B6B" w:rsidRDefault="00B64803" w:rsidP="00060C7A">
      <w:pPr>
        <w:spacing w:after="240"/>
        <w:rPr>
          <w:rFonts w:ascii="Century Gothic" w:hAnsi="Century Gothic"/>
        </w:rPr>
      </w:pPr>
      <w:r>
        <w:rPr>
          <w:rFonts w:ascii="Century Gothic" w:hAnsi="Century Gothic"/>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alt="A map of the Lower Murray–Darling Region highlighting major towns, water storages, rivers and environmental assets." style="position:absolute;margin-left:0;margin-top:-64.65pt;width:653.2pt;height:462pt;z-index:251721728;mso-position-horizontal:left">
            <v:imagedata r:id="rId23" o:title=""/>
            <w10:wrap type="square"/>
          </v:shape>
          <o:OLEObject Type="Embed" ProgID="AcroExch.Document.7" ShapeID="_x0000_s1111" DrawAspect="Content" ObjectID="_1497277299" r:id="rId24"/>
        </w:pict>
      </w:r>
    </w:p>
    <w:p w:rsidR="00060C7A" w:rsidRPr="008D2B6B" w:rsidRDefault="00060C7A" w:rsidP="00060C7A">
      <w:pPr>
        <w:spacing w:after="240"/>
        <w:rPr>
          <w:rFonts w:ascii="Century Gothic" w:hAnsi="Century Gothic" w:cs="Arial"/>
          <w:color w:val="000000" w:themeColor="text1"/>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spacing w:after="240"/>
        <w:rPr>
          <w:rFonts w:ascii="Century Gothic" w:hAnsi="Century Gothic" w:cs="Arial"/>
        </w:rPr>
      </w:pPr>
    </w:p>
    <w:p w:rsidR="00060C7A" w:rsidRPr="008D2B6B" w:rsidRDefault="00060C7A" w:rsidP="00060C7A">
      <w:pPr>
        <w:pStyle w:val="Caption"/>
        <w:spacing w:after="240"/>
        <w:jc w:val="left"/>
        <w:rPr>
          <w:rFonts w:ascii="Century Gothic" w:hAnsi="Century Gothic"/>
        </w:rPr>
      </w:pPr>
    </w:p>
    <w:p w:rsidR="00060C7A" w:rsidRPr="008D2B6B" w:rsidRDefault="00060C7A" w:rsidP="00060C7A">
      <w:pPr>
        <w:pStyle w:val="Caption"/>
        <w:spacing w:after="240"/>
        <w:jc w:val="left"/>
        <w:rPr>
          <w:rFonts w:ascii="Century Gothic" w:hAnsi="Century Gothic"/>
          <w:color w:val="5F497A" w:themeColor="accent4" w:themeShade="BF"/>
        </w:rPr>
        <w:sectPr w:rsidR="00060C7A" w:rsidRPr="008D2B6B" w:rsidSect="00120DFD">
          <w:pgSz w:w="16839" w:h="11907" w:orient="landscape" w:code="9"/>
          <w:pgMar w:top="1276" w:right="821" w:bottom="1440" w:left="851" w:header="425" w:footer="267" w:gutter="0"/>
          <w:cols w:space="708"/>
          <w:titlePg/>
          <w:docGrid w:linePitch="360"/>
        </w:sectPr>
      </w:pPr>
      <w:r w:rsidRPr="008D2B6B">
        <w:rPr>
          <w:rFonts w:ascii="Century Gothic" w:hAnsi="Century Gothic"/>
        </w:rPr>
        <w:t xml:space="preserve">Figure </w:t>
      </w:r>
      <w:r w:rsidR="00B64803" w:rsidRPr="008D2B6B">
        <w:rPr>
          <w:rFonts w:ascii="Century Gothic" w:hAnsi="Century Gothic"/>
        </w:rPr>
        <w:fldChar w:fldCharType="begin"/>
      </w:r>
      <w:r w:rsidRPr="008D2B6B">
        <w:rPr>
          <w:rFonts w:ascii="Century Gothic" w:hAnsi="Century Gothic"/>
        </w:rPr>
        <w:instrText xml:space="preserve"> SEQ Figure \* ARABIC </w:instrText>
      </w:r>
      <w:r w:rsidR="00B64803" w:rsidRPr="008D2B6B">
        <w:rPr>
          <w:rFonts w:ascii="Century Gothic" w:hAnsi="Century Gothic"/>
        </w:rPr>
        <w:fldChar w:fldCharType="separate"/>
      </w:r>
      <w:r w:rsidR="00E66785">
        <w:rPr>
          <w:rFonts w:ascii="Century Gothic" w:hAnsi="Century Gothic"/>
          <w:noProof/>
        </w:rPr>
        <w:t>2</w:t>
      </w:r>
      <w:r w:rsidR="00B64803" w:rsidRPr="008D2B6B">
        <w:rPr>
          <w:rFonts w:ascii="Century Gothic" w:hAnsi="Century Gothic"/>
        </w:rPr>
        <w:fldChar w:fldCharType="end"/>
      </w:r>
      <w:r w:rsidRPr="008D2B6B">
        <w:rPr>
          <w:rFonts w:ascii="Century Gothic" w:hAnsi="Century Gothic"/>
        </w:rPr>
        <w:t xml:space="preserve">: </w:t>
      </w:r>
      <w:r w:rsidRPr="008D2B6B">
        <w:rPr>
          <w:rFonts w:ascii="Century Gothic" w:hAnsi="Century Gothic"/>
          <w:b w:val="0"/>
          <w:bCs w:val="0"/>
        </w:rPr>
        <w:t xml:space="preserve">Map of the </w:t>
      </w:r>
      <w:r w:rsidRPr="008D2B6B">
        <w:rPr>
          <w:rFonts w:ascii="Century Gothic" w:hAnsi="Century Gothic"/>
          <w:b w:val="0"/>
          <w:bCs w:val="0"/>
          <w:color w:val="000000" w:themeColor="text1"/>
        </w:rPr>
        <w:t xml:space="preserve">Lower </w:t>
      </w:r>
      <w:r>
        <w:rPr>
          <w:rFonts w:ascii="Century Gothic" w:hAnsi="Century Gothic"/>
          <w:b w:val="0"/>
          <w:bCs w:val="0"/>
          <w:color w:val="000000" w:themeColor="text1"/>
        </w:rPr>
        <w:t>Murray–Darling</w:t>
      </w:r>
      <w:r w:rsidRPr="008D2B6B">
        <w:rPr>
          <w:rFonts w:ascii="Century Gothic" w:hAnsi="Century Gothic"/>
          <w:b w:val="0"/>
          <w:bCs w:val="0"/>
          <w:color w:val="000000" w:themeColor="text1"/>
        </w:rPr>
        <w:t xml:space="preserve"> Region</w:t>
      </w:r>
      <w:r w:rsidRPr="008D2B6B">
        <w:rPr>
          <w:rFonts w:ascii="Century Gothic" w:hAnsi="Century Gothic"/>
          <w:b w:val="0"/>
          <w:bCs w:val="0"/>
          <w:color w:val="FF0000"/>
        </w:rPr>
        <w:t xml:space="preserve"> </w:t>
      </w:r>
    </w:p>
    <w:p w:rsidR="00060C7A" w:rsidRPr="008D2B6B" w:rsidRDefault="00060C7A" w:rsidP="00060C7A">
      <w:pPr>
        <w:pStyle w:val="Heading1"/>
        <w:spacing w:before="0"/>
        <w:ind w:left="567" w:hanging="567"/>
        <w:jc w:val="left"/>
        <w:rPr>
          <w:rFonts w:ascii="Century Gothic" w:hAnsi="Century Gothic"/>
          <w:color w:val="5F497A" w:themeColor="accent4" w:themeShade="BF"/>
          <w:lang w:val="en-AU"/>
        </w:rPr>
      </w:pPr>
      <w:bookmarkStart w:id="20" w:name="_Toc422406861"/>
      <w:r w:rsidRPr="008D2B6B">
        <w:rPr>
          <w:rFonts w:ascii="Century Gothic" w:hAnsi="Century Gothic"/>
          <w:color w:val="5F497A" w:themeColor="accent4" w:themeShade="BF"/>
          <w:lang w:val="en-AU"/>
        </w:rPr>
        <w:lastRenderedPageBreak/>
        <w:t xml:space="preserve">Long-term environmental water demands in the </w:t>
      </w:r>
      <w:r>
        <w:rPr>
          <w:rFonts w:ascii="Century Gothic" w:hAnsi="Century Gothic"/>
          <w:color w:val="5F497A" w:themeColor="accent4" w:themeShade="BF"/>
          <w:lang w:val="en-AU"/>
        </w:rPr>
        <w:t>Lower Murray–</w:t>
      </w:r>
      <w:r w:rsidRPr="008D2B6B">
        <w:rPr>
          <w:rFonts w:ascii="Century Gothic" w:hAnsi="Century Gothic"/>
          <w:color w:val="5F497A" w:themeColor="accent4" w:themeShade="BF"/>
          <w:lang w:val="en-AU"/>
        </w:rPr>
        <w:t>Darling Region</w:t>
      </w:r>
      <w:bookmarkEnd w:id="20"/>
      <w:r w:rsidRPr="008D2B6B">
        <w:rPr>
          <w:rFonts w:ascii="Century Gothic" w:hAnsi="Century Gothic"/>
          <w:color w:val="5F497A" w:themeColor="accent4" w:themeShade="BF"/>
          <w:lang w:val="en-AU"/>
        </w:rPr>
        <w:t xml:space="preserve"> </w:t>
      </w:r>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21" w:name="_Toc422406862"/>
      <w:r w:rsidRPr="008D2B6B">
        <w:rPr>
          <w:rFonts w:ascii="Century Gothic" w:hAnsi="Century Gothic"/>
          <w:noProof/>
          <w:color w:val="5F497A" w:themeColor="accent4" w:themeShade="BF"/>
          <w:lang w:val="en-AU"/>
        </w:rPr>
        <w:t>Basin-wide environmental watering strategy</w:t>
      </w:r>
      <w:bookmarkEnd w:id="21"/>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noProof/>
          <w:lang w:val="en-AU"/>
        </w:rPr>
        <w:t xml:space="preserve">The Murray-Darling Basin Authority has published the first Basin-wide environmental watering strategy (the Strategy, MDBA 2014). Building on Basin Plan’s environmental objectives, the Strategy sets out the Authority’s best assessment of the expected environmental outcomes over the next decade as a result of implementing the Basin Plan and associated water reforms. The Strategy focusses on four components: river flows and connectivity; vegetation; waterbirds; and native fish. The expected outcomes for each component are summarised below, with more specific quantified outcomes provided in </w:t>
      </w:r>
      <w:r w:rsidRPr="008D2B6B">
        <w:rPr>
          <w:rFonts w:ascii="Century Gothic" w:hAnsi="Century Gothic" w:cs="Arial"/>
          <w:noProof/>
          <w:u w:val="single"/>
          <w:lang w:val="en-AU"/>
        </w:rPr>
        <w:t>Attachment A</w:t>
      </w:r>
      <w:r w:rsidRPr="008D2B6B">
        <w:rPr>
          <w:rFonts w:ascii="Century Gothic" w:hAnsi="Century Gothic" w:cs="Arial"/>
          <w:noProof/>
          <w:lang w:val="en-AU"/>
        </w:rPr>
        <w:t>.</w:t>
      </w:r>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b/>
          <w:noProof/>
          <w:lang w:val="en-AU"/>
        </w:rPr>
        <w:t>River flows and connectivity:</w:t>
      </w:r>
      <w:r w:rsidRPr="008D2B6B">
        <w:rPr>
          <w:rFonts w:ascii="Century Gothic" w:hAnsi="Century Gothic" w:cs="Arial"/>
          <w:noProof/>
          <w:lang w:val="en-AU"/>
        </w:rPr>
        <w:t xml:space="preserve"> Improve connections along rivers and between rivers and their floodplains</w:t>
      </w:r>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b/>
          <w:noProof/>
          <w:lang w:val="en-AU"/>
        </w:rPr>
        <w:t>Vegetation:</w:t>
      </w:r>
      <w:r w:rsidRPr="008D2B6B">
        <w:rPr>
          <w:rFonts w:ascii="Century Gothic" w:hAnsi="Century Gothic" w:cs="Arial"/>
          <w:noProof/>
          <w:lang w:val="en-AU"/>
        </w:rPr>
        <w:t xml:space="preserve"> Maintain extent and improve the condition</w:t>
      </w:r>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b/>
          <w:noProof/>
          <w:lang w:val="en-AU"/>
        </w:rPr>
        <w:t>Waterbirds:</w:t>
      </w:r>
      <w:r w:rsidRPr="008D2B6B">
        <w:rPr>
          <w:rFonts w:ascii="Century Gothic" w:hAnsi="Century Gothic" w:cs="Arial"/>
          <w:noProof/>
          <w:lang w:val="en-AU"/>
        </w:rPr>
        <w:t xml:space="preserve"> Maintain current species diversity, improve breeding success and numbers</w:t>
      </w:r>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b/>
          <w:noProof/>
          <w:lang w:val="en-AU"/>
        </w:rPr>
        <w:t>Native Fish:</w:t>
      </w:r>
      <w:r w:rsidRPr="008D2B6B">
        <w:rPr>
          <w:rFonts w:ascii="Century Gothic" w:hAnsi="Century Gothic" w:cs="Arial"/>
          <w:noProof/>
          <w:lang w:val="en-AU"/>
        </w:rPr>
        <w:t xml:space="preserve"> Maintain current species diversity, extend distributions, improve breeding success and numbers</w:t>
      </w:r>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22" w:name="_Toc422406863"/>
      <w:r w:rsidRPr="008D2B6B">
        <w:rPr>
          <w:rFonts w:ascii="Century Gothic" w:hAnsi="Century Gothic"/>
          <w:noProof/>
          <w:color w:val="5F497A" w:themeColor="accent4" w:themeShade="BF"/>
          <w:lang w:val="en-AU"/>
        </w:rPr>
        <w:t>Long-term watering plans</w:t>
      </w:r>
      <w:bookmarkEnd w:id="22"/>
    </w:p>
    <w:p w:rsidR="00060C7A" w:rsidRPr="008D2B6B" w:rsidRDefault="00060C7A" w:rsidP="00060C7A">
      <w:pPr>
        <w:pStyle w:val="NormalWeb"/>
        <w:spacing w:before="0" w:beforeAutospacing="0" w:after="240" w:afterAutospacing="0"/>
        <w:jc w:val="left"/>
        <w:rPr>
          <w:rFonts w:ascii="Century Gothic" w:hAnsi="Century Gothic" w:cs="Arial"/>
          <w:noProof/>
          <w:lang w:val="en-AU"/>
        </w:rPr>
      </w:pPr>
      <w:r w:rsidRPr="008D2B6B">
        <w:rPr>
          <w:rFonts w:ascii="Century Gothic" w:hAnsi="Century Gothic" w:cs="Arial"/>
          <w:noProof/>
          <w:lang w:val="en-AU"/>
        </w:rPr>
        <w:t>State governments are developing long-term watering plans for each catchment in the Basin. These plans will identify:</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 xml:space="preserve">the priority environmental assets and ecosystem functions in the catchment </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 xml:space="preserve">the objectives and targets for these assets and functions </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 xml:space="preserve">their watering requirements </w:t>
      </w:r>
    </w:p>
    <w:p w:rsidR="00060C7A" w:rsidRPr="002E048C" w:rsidRDefault="00060C7A" w:rsidP="00060C7A">
      <w:pPr>
        <w:spacing w:after="240"/>
        <w:rPr>
          <w:rFonts w:ascii="Century Gothic" w:hAnsi="Century Gothic"/>
          <w:sz w:val="20"/>
          <w:szCs w:val="20"/>
        </w:rPr>
      </w:pPr>
      <w:r w:rsidRPr="002E048C">
        <w:rPr>
          <w:rFonts w:ascii="Century Gothic" w:hAnsi="Century Gothic"/>
          <w:sz w:val="20"/>
          <w:szCs w:val="20"/>
        </w:rPr>
        <w:t>In developing these plans, state governments will be consulting with environmental water holders and local communities.</w:t>
      </w:r>
    </w:p>
    <w:p w:rsidR="00060C7A" w:rsidRPr="002E048C" w:rsidRDefault="00060C7A" w:rsidP="00060C7A">
      <w:pPr>
        <w:spacing w:after="240"/>
        <w:rPr>
          <w:rFonts w:ascii="Century Gothic" w:hAnsi="Century Gothic"/>
          <w:sz w:val="20"/>
          <w:szCs w:val="20"/>
        </w:rPr>
      </w:pPr>
      <w:r w:rsidRPr="002E048C">
        <w:rPr>
          <w:rFonts w:ascii="Century Gothic" w:hAnsi="Century Gothic"/>
          <w:sz w:val="20"/>
          <w:szCs w:val="20"/>
        </w:rPr>
        <w:t xml:space="preserve">Once developed, these plans will provide the key information on the long-term environmental water demands in the catchment and the Office’s planning for the </w:t>
      </w:r>
      <w:r w:rsidRPr="002E048C">
        <w:rPr>
          <w:rFonts w:ascii="Century Gothic" w:hAnsi="Century Gothic"/>
          <w:color w:val="000000" w:themeColor="text1"/>
          <w:sz w:val="20"/>
          <w:szCs w:val="20"/>
        </w:rPr>
        <w:t>Lower Murray</w:t>
      </w:r>
      <w:r>
        <w:rPr>
          <w:rFonts w:ascii="Century Gothic" w:hAnsi="Century Gothic"/>
          <w:color w:val="000000" w:themeColor="text1"/>
          <w:sz w:val="20"/>
          <w:szCs w:val="20"/>
        </w:rPr>
        <w:t>-</w:t>
      </w:r>
      <w:r w:rsidRPr="002E048C">
        <w:rPr>
          <w:rFonts w:ascii="Century Gothic" w:hAnsi="Century Gothic"/>
          <w:color w:val="000000" w:themeColor="text1"/>
          <w:sz w:val="20"/>
          <w:szCs w:val="20"/>
        </w:rPr>
        <w:t>Darling Region</w:t>
      </w:r>
      <w:r w:rsidRPr="002E048C">
        <w:rPr>
          <w:rFonts w:ascii="Century Gothic" w:hAnsi="Century Gothic"/>
          <w:sz w:val="20"/>
          <w:szCs w:val="20"/>
        </w:rPr>
        <w:t xml:space="preserve"> will be reviewed so that this information can be incorporated.</w:t>
      </w:r>
    </w:p>
    <w:p w:rsidR="00060C7A" w:rsidRPr="002E048C" w:rsidRDefault="00060C7A" w:rsidP="00060C7A">
      <w:pPr>
        <w:pStyle w:val="NormalWeb"/>
        <w:spacing w:before="0" w:beforeAutospacing="0" w:after="240" w:afterAutospacing="0"/>
        <w:jc w:val="left"/>
        <w:rPr>
          <w:rFonts w:ascii="Century Gothic" w:hAnsi="Century Gothic" w:cs="Arial"/>
          <w:noProof/>
          <w:lang w:val="en-AU"/>
        </w:rPr>
      </w:pPr>
      <w:r w:rsidRPr="002E048C">
        <w:rPr>
          <w:rFonts w:ascii="Century Gothic" w:hAnsi="Century Gothic" w:cs="Arial"/>
          <w:noProof/>
          <w:lang w:val="en-AU"/>
        </w:rPr>
        <w:t>Prior to the development of long-term watering plans, the Office will continue to draw on existing documentation on environmental water demands developed by state governments, local natural resource management agencies and the Murray-Darling Basin Authority.</w:t>
      </w:r>
    </w:p>
    <w:p w:rsidR="00060C7A" w:rsidRPr="002E048C" w:rsidRDefault="00060C7A" w:rsidP="00060C7A">
      <w:pPr>
        <w:pStyle w:val="NormalWeb"/>
        <w:spacing w:before="0" w:beforeAutospacing="0" w:after="240" w:afterAutospacing="0"/>
        <w:jc w:val="left"/>
        <w:rPr>
          <w:rFonts w:ascii="Century Gothic" w:hAnsi="Century Gothic" w:cs="Arial"/>
          <w:noProof/>
          <w:lang w:val="en-AU"/>
        </w:rPr>
      </w:pPr>
      <w:r w:rsidRPr="002E048C">
        <w:rPr>
          <w:rFonts w:ascii="Century Gothic" w:hAnsi="Century Gothic" w:cs="Arial"/>
          <w:noProof/>
          <w:lang w:val="en-AU"/>
        </w:rPr>
        <w:t xml:space="preserve">Key documentation includes: </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Seasonal Watering Plan 2015</w:t>
      </w:r>
      <w:r>
        <w:rPr>
          <w:rFonts w:ascii="Century Gothic" w:hAnsi="Century Gothic"/>
          <w:sz w:val="20"/>
          <w:szCs w:val="20"/>
        </w:rPr>
        <w:t>–</w:t>
      </w:r>
      <w:r w:rsidRPr="002E048C">
        <w:rPr>
          <w:rFonts w:ascii="Century Gothic" w:hAnsi="Century Gothic"/>
          <w:sz w:val="20"/>
          <w:szCs w:val="20"/>
        </w:rPr>
        <w:t xml:space="preserve">16, published by the Victorian Environmental Water Holder, (2015). </w:t>
      </w:r>
    </w:p>
    <w:p w:rsidR="00060C7A" w:rsidRPr="00C80C26" w:rsidRDefault="00060C7A" w:rsidP="00060C7A">
      <w:pPr>
        <w:numPr>
          <w:ilvl w:val="0"/>
          <w:numId w:val="23"/>
        </w:numPr>
        <w:spacing w:after="240"/>
        <w:rPr>
          <w:rFonts w:ascii="Century Gothic" w:hAnsi="Century Gothic"/>
          <w:sz w:val="20"/>
          <w:szCs w:val="20"/>
        </w:rPr>
      </w:pPr>
      <w:r w:rsidRPr="00C80C26">
        <w:rPr>
          <w:rFonts w:ascii="Century Gothic" w:hAnsi="Century Gothic"/>
          <w:sz w:val="20"/>
          <w:szCs w:val="20"/>
        </w:rPr>
        <w:t>Murray and Lower Darling Valleys: Annual E</w:t>
      </w:r>
      <w:r>
        <w:rPr>
          <w:rFonts w:ascii="Century Gothic" w:hAnsi="Century Gothic"/>
          <w:sz w:val="20"/>
          <w:szCs w:val="20"/>
        </w:rPr>
        <w:t>nvironmental Watering Plan 2015–</w:t>
      </w:r>
      <w:r w:rsidRPr="00C80C26">
        <w:rPr>
          <w:rFonts w:ascii="Century Gothic" w:hAnsi="Century Gothic"/>
          <w:sz w:val="20"/>
          <w:szCs w:val="20"/>
        </w:rPr>
        <w:t>201</w:t>
      </w:r>
      <w:r>
        <w:rPr>
          <w:rFonts w:ascii="Century Gothic" w:hAnsi="Century Gothic"/>
          <w:sz w:val="20"/>
          <w:szCs w:val="20"/>
        </w:rPr>
        <w:t>6</w:t>
      </w:r>
      <w:r w:rsidRPr="00C80C26">
        <w:rPr>
          <w:rFonts w:ascii="Century Gothic" w:hAnsi="Century Gothic"/>
          <w:sz w:val="20"/>
          <w:szCs w:val="20"/>
        </w:rPr>
        <w:t>, published by the New South Wales Office of Environment and Heritage</w:t>
      </w:r>
      <w:r>
        <w:rPr>
          <w:rFonts w:ascii="Century Gothic" w:hAnsi="Century Gothic"/>
          <w:color w:val="FF0000"/>
          <w:sz w:val="20"/>
          <w:szCs w:val="20"/>
        </w:rPr>
        <w:t xml:space="preserve"> </w:t>
      </w:r>
    </w:p>
    <w:p w:rsidR="00060C7A" w:rsidRDefault="00060C7A" w:rsidP="00060C7A">
      <w:pPr>
        <w:numPr>
          <w:ilvl w:val="0"/>
          <w:numId w:val="23"/>
        </w:numPr>
        <w:spacing w:after="240"/>
        <w:rPr>
          <w:rFonts w:ascii="Century Gothic" w:hAnsi="Century Gothic"/>
          <w:sz w:val="20"/>
          <w:szCs w:val="20"/>
        </w:rPr>
      </w:pPr>
      <w:r>
        <w:rPr>
          <w:rFonts w:ascii="Century Gothic" w:hAnsi="Century Gothic"/>
          <w:sz w:val="20"/>
          <w:szCs w:val="20"/>
        </w:rPr>
        <w:t xml:space="preserve">2014–15 Annual Environmental Watering Plan for the South Australian River Murray, published by the South Australian Department of the Environment, Water and Natural Resources </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Monitoring and Evaluation Plan for the Lower Murray Selected Area, developed under the Office’s Long-Term Intervention Monitoring Project (Department of the Environment 2014)</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lastRenderedPageBreak/>
        <w:t>The Office’s environmental water delivery documents for the River Murray: Coorong, Lower Lakes and main channel below Lock 1 (Department of the Environment 2011) and River Murray: South Australian border to Lock 1 (unpublished)</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The assessment of environmental water requirements for the proposed Basin Plan (MDBA 2012 a-e)</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 xml:space="preserve">Reports on environmental watering requirements (Wallace </w:t>
      </w:r>
      <w:r w:rsidRPr="002E048C">
        <w:rPr>
          <w:rFonts w:ascii="Century Gothic" w:hAnsi="Century Gothic"/>
          <w:i/>
          <w:sz w:val="20"/>
          <w:szCs w:val="20"/>
        </w:rPr>
        <w:t xml:space="preserve">et al. </w:t>
      </w:r>
      <w:r w:rsidRPr="002E048C">
        <w:rPr>
          <w:rFonts w:ascii="Century Gothic" w:hAnsi="Century Gothic"/>
          <w:sz w:val="20"/>
          <w:szCs w:val="20"/>
        </w:rPr>
        <w:t>2014, Ecological Associates 2015, Ecological Associates 2010)</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Plans for The Living Murray Icon Sites (MDBA 2012 f-</w:t>
      </w:r>
      <w:proofErr w:type="spellStart"/>
      <w:r w:rsidRPr="002E048C">
        <w:rPr>
          <w:rFonts w:ascii="Century Gothic" w:hAnsi="Century Gothic"/>
          <w:sz w:val="20"/>
          <w:szCs w:val="20"/>
        </w:rPr>
        <w:t>i</w:t>
      </w:r>
      <w:proofErr w:type="spellEnd"/>
      <w:r w:rsidRPr="002E048C">
        <w:rPr>
          <w:rFonts w:ascii="Century Gothic" w:hAnsi="Century Gothic"/>
          <w:sz w:val="20"/>
          <w:szCs w:val="20"/>
        </w:rPr>
        <w:t>)</w:t>
      </w:r>
    </w:p>
    <w:p w:rsidR="00060C7A" w:rsidRPr="002E048C" w:rsidRDefault="00060C7A" w:rsidP="00060C7A">
      <w:pPr>
        <w:numPr>
          <w:ilvl w:val="0"/>
          <w:numId w:val="23"/>
        </w:numPr>
        <w:spacing w:after="240"/>
        <w:rPr>
          <w:rFonts w:ascii="Century Gothic" w:hAnsi="Century Gothic"/>
          <w:sz w:val="20"/>
          <w:szCs w:val="20"/>
        </w:rPr>
      </w:pPr>
      <w:r w:rsidRPr="002E048C">
        <w:rPr>
          <w:rFonts w:ascii="Century Gothic" w:hAnsi="Century Gothic"/>
          <w:sz w:val="20"/>
          <w:szCs w:val="20"/>
        </w:rPr>
        <w:t>A range of scientific literature, monitoring outcomes and on-ground knowledge (e.g. Roberts and Marston 2011).</w:t>
      </w:r>
    </w:p>
    <w:p w:rsidR="00060C7A" w:rsidRPr="002E048C" w:rsidRDefault="00060C7A" w:rsidP="00060C7A">
      <w:pPr>
        <w:pStyle w:val="NormalWeb"/>
        <w:spacing w:before="0" w:beforeAutospacing="0" w:after="240" w:afterAutospacing="0"/>
        <w:jc w:val="left"/>
        <w:rPr>
          <w:rFonts w:ascii="Century Gothic" w:hAnsi="Century Gothic" w:cs="Arial"/>
          <w:noProof/>
          <w:lang w:val="en-AU"/>
        </w:rPr>
      </w:pPr>
      <w:r w:rsidRPr="002E048C">
        <w:rPr>
          <w:rFonts w:ascii="Century Gothic" w:hAnsi="Century Gothic" w:cs="Arial"/>
          <w:noProof/>
          <w:lang w:val="en-AU"/>
        </w:rPr>
        <w:t>The below section represents the Office’s summary of the long-term environmental water demands, based on these documents. The objectives and expected outcomes for water-dependent ecosystems will continue to be revised and refined in response to best available knowledge, including drawing on the results of environmental watering monitoring programmes.</w:t>
      </w:r>
    </w:p>
    <w:p w:rsidR="00060C7A" w:rsidRPr="008D2B6B" w:rsidRDefault="00060C7A" w:rsidP="00060C7A">
      <w:pPr>
        <w:pStyle w:val="Para0"/>
        <w:spacing w:after="240"/>
        <w:rPr>
          <w:lang w:val="en-AU"/>
        </w:rPr>
      </w:pPr>
    </w:p>
    <w:p w:rsidR="00060C7A" w:rsidRPr="0027713D" w:rsidRDefault="00060C7A" w:rsidP="00060C7A">
      <w:pPr>
        <w:pStyle w:val="Heading2"/>
        <w:spacing w:before="0"/>
        <w:ind w:left="851" w:hanging="851"/>
        <w:rPr>
          <w:rFonts w:ascii="Century Gothic" w:hAnsi="Century Gothic"/>
          <w:noProof/>
          <w:color w:val="5F497A" w:themeColor="accent4" w:themeShade="BF"/>
          <w:lang w:val="en-AU"/>
        </w:rPr>
      </w:pPr>
      <w:bookmarkStart w:id="23" w:name="_Toc422406864"/>
      <w:r w:rsidRPr="0027713D">
        <w:rPr>
          <w:rFonts w:ascii="Century Gothic" w:hAnsi="Century Gothic"/>
          <w:noProof/>
          <w:color w:val="5F497A" w:themeColor="accent4" w:themeShade="BF"/>
          <w:lang w:val="en-AU"/>
        </w:rPr>
        <w:t>Expected outcomes in the Lower Murray</w:t>
      </w:r>
      <w:r>
        <w:rPr>
          <w:rFonts w:ascii="Century Gothic" w:hAnsi="Century Gothic"/>
          <w:noProof/>
          <w:color w:val="5F497A" w:themeColor="accent4" w:themeShade="BF"/>
          <w:lang w:val="en-AU"/>
        </w:rPr>
        <w:t>-</w:t>
      </w:r>
      <w:r w:rsidRPr="0027713D">
        <w:rPr>
          <w:rFonts w:ascii="Century Gothic" w:hAnsi="Century Gothic"/>
          <w:noProof/>
          <w:color w:val="5F497A" w:themeColor="accent4" w:themeShade="BF"/>
          <w:lang w:val="en-AU"/>
        </w:rPr>
        <w:t>Darling Region</w:t>
      </w:r>
      <w:bookmarkEnd w:id="23"/>
    </w:p>
    <w:p w:rsidR="00060C7A" w:rsidRPr="0027713D" w:rsidRDefault="00060C7A" w:rsidP="00060C7A">
      <w:pPr>
        <w:pStyle w:val="NormalWeb"/>
        <w:spacing w:before="0" w:beforeAutospacing="0" w:after="240" w:afterAutospacing="0"/>
        <w:jc w:val="left"/>
        <w:rPr>
          <w:lang w:val="en-AU"/>
        </w:rPr>
      </w:pPr>
      <w:r w:rsidRPr="0027713D">
        <w:rPr>
          <w:rFonts w:ascii="Century Gothic" w:hAnsi="Century Gothic"/>
          <w:lang w:val="en-AU"/>
        </w:rPr>
        <w:t xml:space="preserve">The expected outcomes from environmental watering in the </w:t>
      </w:r>
      <w:r w:rsidRPr="0027713D">
        <w:rPr>
          <w:rFonts w:ascii="Century Gothic" w:hAnsi="Century Gothic"/>
          <w:color w:val="000000" w:themeColor="text1"/>
          <w:lang w:val="en-AU"/>
        </w:rPr>
        <w:t>Lower Murray</w:t>
      </w:r>
      <w:r>
        <w:rPr>
          <w:rFonts w:ascii="Century Gothic" w:hAnsi="Century Gothic"/>
          <w:color w:val="000000" w:themeColor="text1"/>
          <w:lang w:val="en-AU"/>
        </w:rPr>
        <w:t>-</w:t>
      </w:r>
      <w:r w:rsidRPr="0027713D">
        <w:rPr>
          <w:rFonts w:ascii="Century Gothic" w:hAnsi="Century Gothic"/>
          <w:color w:val="000000" w:themeColor="text1"/>
          <w:lang w:val="en-AU"/>
        </w:rPr>
        <w:t xml:space="preserve">Darling </w:t>
      </w:r>
      <w:r w:rsidRPr="0027713D">
        <w:rPr>
          <w:rFonts w:ascii="Century Gothic" w:hAnsi="Century Gothic"/>
          <w:lang w:val="en-AU"/>
        </w:rPr>
        <w:t>are described below in Table 3 and how these contribute to Basin-wide outcomes. These outcomes will be refined and/or revised once the long-term watering plan for the catchment has been developed.</w:t>
      </w:r>
    </w:p>
    <w:p w:rsidR="00B66C87" w:rsidRDefault="00B66C87" w:rsidP="00060C7A">
      <w:pPr>
        <w:pStyle w:val="Caption"/>
        <w:spacing w:after="240"/>
        <w:jc w:val="left"/>
        <w:rPr>
          <w:rFonts w:ascii="Century Gothic" w:hAnsi="Century Gothic"/>
        </w:rPr>
        <w:sectPr w:rsidR="00B66C87" w:rsidSect="00120DFD">
          <w:pgSz w:w="11907" w:h="16839" w:code="9"/>
          <w:pgMar w:top="821" w:right="1440" w:bottom="851" w:left="1276" w:header="425" w:footer="267" w:gutter="0"/>
          <w:cols w:space="708"/>
          <w:titlePg/>
          <w:docGrid w:linePitch="360"/>
        </w:sectPr>
      </w:pPr>
    </w:p>
    <w:p w:rsidR="00B66C87" w:rsidRPr="008D2B6B" w:rsidRDefault="00B66C87" w:rsidP="00B66C87">
      <w:pPr>
        <w:pStyle w:val="Caption"/>
        <w:spacing w:after="240"/>
        <w:jc w:val="left"/>
        <w:rPr>
          <w:rFonts w:ascii="Century Gothic" w:hAnsi="Century Gothic"/>
        </w:rPr>
      </w:pPr>
      <w:r w:rsidRPr="008D2B6B">
        <w:rPr>
          <w:rFonts w:ascii="Century Gothic" w:hAnsi="Century Gothic"/>
        </w:rPr>
        <w:lastRenderedPageBreak/>
        <w:t xml:space="preserve">Table </w:t>
      </w:r>
      <w:r w:rsidR="00B64803" w:rsidRPr="008D2B6B">
        <w:rPr>
          <w:rFonts w:ascii="Century Gothic" w:hAnsi="Century Gothic"/>
        </w:rPr>
        <w:fldChar w:fldCharType="begin"/>
      </w:r>
      <w:r w:rsidRPr="008D2B6B">
        <w:rPr>
          <w:rFonts w:ascii="Century Gothic" w:hAnsi="Century Gothic"/>
        </w:rPr>
        <w:instrText xml:space="preserve"> SEQ Table \* ARABIC </w:instrText>
      </w:r>
      <w:r w:rsidR="00B64803" w:rsidRPr="008D2B6B">
        <w:rPr>
          <w:rFonts w:ascii="Century Gothic" w:hAnsi="Century Gothic"/>
        </w:rPr>
        <w:fldChar w:fldCharType="separate"/>
      </w:r>
      <w:r w:rsidR="00E66785">
        <w:rPr>
          <w:rFonts w:ascii="Century Gothic" w:hAnsi="Century Gothic"/>
          <w:noProof/>
        </w:rPr>
        <w:t>3</w:t>
      </w:r>
      <w:r w:rsidR="00B64803" w:rsidRPr="008D2B6B">
        <w:rPr>
          <w:rFonts w:ascii="Century Gothic" w:hAnsi="Century Gothic"/>
        </w:rPr>
        <w:fldChar w:fldCharType="end"/>
      </w:r>
      <w:r w:rsidRPr="008D2B6B">
        <w:rPr>
          <w:rFonts w:ascii="Century Gothic" w:hAnsi="Century Gothic"/>
        </w:rPr>
        <w:t xml:space="preserve">: </w:t>
      </w:r>
      <w:r w:rsidRPr="008D2B6B">
        <w:rPr>
          <w:rFonts w:ascii="Century Gothic" w:hAnsi="Century Gothic"/>
          <w:b w:val="0"/>
        </w:rPr>
        <w:t xml:space="preserve">Summary of </w:t>
      </w:r>
      <w:r>
        <w:rPr>
          <w:rFonts w:ascii="Century Gothic" w:hAnsi="Century Gothic"/>
          <w:b w:val="0"/>
        </w:rPr>
        <w:t xml:space="preserve">long-term </w:t>
      </w:r>
      <w:r w:rsidRPr="008D2B6B">
        <w:rPr>
          <w:rFonts w:ascii="Century Gothic" w:hAnsi="Century Gothic"/>
          <w:b w:val="0"/>
        </w:rPr>
        <w:t xml:space="preserve">expected outcomes from environmental watering in the </w:t>
      </w:r>
      <w:r w:rsidRPr="008D2B6B">
        <w:rPr>
          <w:rFonts w:ascii="Century Gothic" w:hAnsi="Century Gothic"/>
          <w:b w:val="0"/>
          <w:color w:val="000000" w:themeColor="text1"/>
        </w:rPr>
        <w:t xml:space="preserve">Lower </w:t>
      </w:r>
      <w:r>
        <w:rPr>
          <w:rFonts w:ascii="Century Gothic" w:hAnsi="Century Gothic"/>
          <w:b w:val="0"/>
          <w:color w:val="000000" w:themeColor="text1"/>
        </w:rPr>
        <w:t>Murray–Darling</w:t>
      </w:r>
      <w:r w:rsidRPr="008D2B6B">
        <w:rPr>
          <w:rFonts w:ascii="Century Gothic" w:hAnsi="Century Gothic"/>
          <w:b w:val="0"/>
          <w:color w:val="000000" w:themeColor="text1"/>
        </w:rPr>
        <w:t xml:space="preserve"> Region</w:t>
      </w:r>
      <w:r w:rsidRPr="008D2B6B">
        <w:rPr>
          <w:rFonts w:ascii="Century Gothic" w:hAnsi="Century Gothic"/>
        </w:rPr>
        <w:t xml:space="preserve"> </w:t>
      </w:r>
    </w:p>
    <w:tbl>
      <w:tblPr>
        <w:tblStyle w:val="TableGrid"/>
        <w:tblW w:w="15558" w:type="dxa"/>
        <w:tblInd w:w="-34" w:type="dxa"/>
        <w:tblLook w:val="04A0"/>
      </w:tblPr>
      <w:tblGrid>
        <w:gridCol w:w="1901"/>
        <w:gridCol w:w="1423"/>
        <w:gridCol w:w="1277"/>
        <w:gridCol w:w="1516"/>
        <w:gridCol w:w="3934"/>
        <w:gridCol w:w="1458"/>
        <w:gridCol w:w="2073"/>
        <w:gridCol w:w="1976"/>
      </w:tblGrid>
      <w:tr w:rsidR="00B66C87" w:rsidRPr="008D2B6B" w:rsidTr="00E66785">
        <w:tc>
          <w:tcPr>
            <w:tcW w:w="1901" w:type="dxa"/>
            <w:vMerge w:val="restart"/>
            <w:shd w:val="clear" w:color="auto" w:fill="B2A1C7" w:themeFill="accent4" w:themeFillTint="99"/>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t>BASIN-WIDE OUTCOMES</w:t>
            </w:r>
          </w:p>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color w:val="C00000"/>
              </w:rPr>
              <w:t>(Outcomes in red link to the Basin-wide environmental watering strategy, MDBA 2014)</w:t>
            </w:r>
          </w:p>
        </w:tc>
        <w:tc>
          <w:tcPr>
            <w:tcW w:w="13657" w:type="dxa"/>
            <w:gridSpan w:val="7"/>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EXPECTED OUTCOMES FOR LOWER MURRAY–DARLING ASSETS</w:t>
            </w:r>
          </w:p>
        </w:tc>
      </w:tr>
      <w:tr w:rsidR="00B66C87" w:rsidRPr="008D2B6B" w:rsidTr="00E66785">
        <w:tc>
          <w:tcPr>
            <w:tcW w:w="1901" w:type="dxa"/>
            <w:vMerge/>
            <w:shd w:val="clear" w:color="auto" w:fill="B2A1C7" w:themeFill="accent4" w:themeFillTint="99"/>
          </w:tcPr>
          <w:p w:rsidR="00B66C87" w:rsidRPr="008D2B6B" w:rsidRDefault="00B66C87" w:rsidP="00E66785">
            <w:pPr>
              <w:pStyle w:val="ListBullet"/>
              <w:numPr>
                <w:ilvl w:val="0"/>
                <w:numId w:val="0"/>
              </w:numPr>
              <w:spacing w:before="40" w:after="40"/>
              <w:ind w:left="-369"/>
              <w:jc w:val="center"/>
              <w:rPr>
                <w:rFonts w:ascii="Century Gothic" w:hAnsi="Century Gothic"/>
                <w:b/>
              </w:rPr>
            </w:pPr>
          </w:p>
        </w:tc>
        <w:tc>
          <w:tcPr>
            <w:tcW w:w="4216" w:type="dxa"/>
            <w:gridSpan w:val="3"/>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IN-CHANNEL ASSETS</w:t>
            </w:r>
          </w:p>
        </w:tc>
        <w:tc>
          <w:tcPr>
            <w:tcW w:w="3934"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END OF SYSTEM</w:t>
            </w:r>
          </w:p>
        </w:tc>
        <w:tc>
          <w:tcPr>
            <w:tcW w:w="5507" w:type="dxa"/>
            <w:gridSpan w:val="3"/>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OFF-CHANNEL ASSETS</w:t>
            </w:r>
          </w:p>
        </w:tc>
      </w:tr>
      <w:tr w:rsidR="00B66C87" w:rsidRPr="008D2B6B" w:rsidTr="00E66785">
        <w:tc>
          <w:tcPr>
            <w:tcW w:w="1901" w:type="dxa"/>
            <w:vMerge/>
            <w:shd w:val="clear" w:color="auto" w:fill="B2A1C7" w:themeFill="accent4" w:themeFillTint="99"/>
          </w:tcPr>
          <w:p w:rsidR="00B66C87" w:rsidRPr="008D2B6B" w:rsidRDefault="00B66C87" w:rsidP="00E66785">
            <w:pPr>
              <w:pStyle w:val="ListBullet"/>
              <w:numPr>
                <w:ilvl w:val="0"/>
                <w:numId w:val="0"/>
              </w:numPr>
              <w:spacing w:before="40" w:after="40"/>
              <w:jc w:val="center"/>
              <w:rPr>
                <w:rFonts w:ascii="Century Gothic" w:hAnsi="Century Gothic"/>
              </w:rPr>
            </w:pPr>
          </w:p>
        </w:tc>
        <w:tc>
          <w:tcPr>
            <w:tcW w:w="1423"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River Murray from Euston to Lower Lakes</w:t>
            </w:r>
          </w:p>
        </w:tc>
        <w:tc>
          <w:tcPr>
            <w:tcW w:w="1277"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Lower Darling River</w:t>
            </w:r>
          </w:p>
        </w:tc>
        <w:tc>
          <w:tcPr>
            <w:tcW w:w="1516" w:type="dxa"/>
            <w:shd w:val="clear" w:color="auto" w:fill="B2A1C7" w:themeFill="accent4" w:themeFillTint="99"/>
          </w:tcPr>
          <w:p w:rsidR="00B66C87" w:rsidRPr="00FB4BEB" w:rsidRDefault="00B66C87" w:rsidP="00E66785">
            <w:pPr>
              <w:spacing w:before="40" w:after="40"/>
              <w:jc w:val="center"/>
              <w:rPr>
                <w:rFonts w:ascii="Century Gothic" w:hAnsi="Century Gothic"/>
                <w:sz w:val="20"/>
                <w:szCs w:val="20"/>
              </w:rPr>
            </w:pPr>
            <w:r w:rsidRPr="00FB4BEB">
              <w:rPr>
                <w:rFonts w:ascii="Century Gothic" w:hAnsi="Century Gothic"/>
                <w:b/>
                <w:sz w:val="20"/>
                <w:szCs w:val="20"/>
              </w:rPr>
              <w:t>Great Darling Anabranch</w:t>
            </w:r>
          </w:p>
        </w:tc>
        <w:tc>
          <w:tcPr>
            <w:tcW w:w="3934"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Coorong, Lower Lakes and Murray Mouth</w:t>
            </w:r>
          </w:p>
        </w:tc>
        <w:tc>
          <w:tcPr>
            <w:tcW w:w="1458" w:type="dxa"/>
            <w:shd w:val="clear" w:color="auto" w:fill="B2A1C7" w:themeFill="accent4" w:themeFillTint="99"/>
          </w:tcPr>
          <w:p w:rsidR="00B66C87" w:rsidRPr="00FB4BEB" w:rsidRDefault="00B66C87" w:rsidP="00E66785">
            <w:pPr>
              <w:spacing w:before="40" w:after="40"/>
              <w:jc w:val="center"/>
              <w:rPr>
                <w:rFonts w:ascii="Century Gothic" w:hAnsi="Century Gothic"/>
                <w:sz w:val="20"/>
                <w:szCs w:val="20"/>
              </w:rPr>
            </w:pPr>
            <w:r w:rsidRPr="00FB4BEB">
              <w:rPr>
                <w:rFonts w:ascii="Century Gothic" w:hAnsi="Century Gothic"/>
                <w:b/>
                <w:sz w:val="20"/>
                <w:szCs w:val="20"/>
              </w:rPr>
              <w:t>Hattah Lakes</w:t>
            </w:r>
          </w:p>
        </w:tc>
        <w:tc>
          <w:tcPr>
            <w:tcW w:w="2073"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Floodplain and wetlands from Euston to South Australian border</w:t>
            </w:r>
          </w:p>
        </w:tc>
        <w:tc>
          <w:tcPr>
            <w:tcW w:w="1976" w:type="dxa"/>
            <w:shd w:val="clear" w:color="auto" w:fill="B2A1C7" w:themeFill="accent4" w:themeFillTint="99"/>
          </w:tcPr>
          <w:p w:rsidR="00B66C87" w:rsidRPr="00FB4BEB" w:rsidRDefault="00B66C87" w:rsidP="00E66785">
            <w:pPr>
              <w:spacing w:before="40" w:after="40"/>
              <w:jc w:val="center"/>
              <w:rPr>
                <w:rFonts w:ascii="Century Gothic" w:hAnsi="Century Gothic"/>
                <w:b/>
                <w:sz w:val="20"/>
                <w:szCs w:val="20"/>
              </w:rPr>
            </w:pPr>
            <w:r w:rsidRPr="00FB4BEB">
              <w:rPr>
                <w:rFonts w:ascii="Century Gothic" w:hAnsi="Century Gothic"/>
                <w:b/>
                <w:sz w:val="20"/>
                <w:szCs w:val="20"/>
              </w:rPr>
              <w:t>Floodplain and wetlands from South Australian border to Lower Lakes</w:t>
            </w: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color w:val="C00000"/>
              </w:rPr>
            </w:pPr>
            <w:r w:rsidRPr="008D2B6B">
              <w:rPr>
                <w:rFonts w:ascii="Century Gothic" w:hAnsi="Century Gothic"/>
                <w:b/>
                <w:color w:val="C00000"/>
              </w:rPr>
              <w:t>VEGETATION</w:t>
            </w:r>
          </w:p>
        </w:tc>
        <w:tc>
          <w:tcPr>
            <w:tcW w:w="4216" w:type="dxa"/>
            <w:gridSpan w:val="3"/>
          </w:tcPr>
          <w:p w:rsidR="00B66C87" w:rsidRPr="009A6C49"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Maintain riparian and in-channel vegetation condition.</w:t>
            </w:r>
          </w:p>
          <w:p w:rsidR="00B66C87" w:rsidRPr="008D2B6B" w:rsidRDefault="00B66C87" w:rsidP="00E66785">
            <w:pPr>
              <w:pStyle w:val="Para0"/>
              <w:spacing w:before="40" w:after="40" w:line="240" w:lineRule="auto"/>
              <w:jc w:val="center"/>
              <w:rPr>
                <w:rFonts w:ascii="Century Gothic" w:hAnsi="Century Gothic"/>
                <w:lang w:val="en-AU"/>
              </w:rPr>
            </w:pPr>
            <w:r w:rsidRPr="008D2B6B">
              <w:rPr>
                <w:rFonts w:ascii="Century Gothic" w:eastAsia="Calibri" w:hAnsi="Century Gothic"/>
                <w:color w:val="auto"/>
                <w:lang w:val="en-AU"/>
              </w:rPr>
              <w:t>Increase periods of growth for non-woody vegetation communities that closely fringe or occur within river channels.</w:t>
            </w:r>
          </w:p>
        </w:tc>
        <w:tc>
          <w:tcPr>
            <w:tcW w:w="3934" w:type="dxa"/>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Promote growth and recruitment of </w:t>
            </w:r>
            <w:proofErr w:type="spellStart"/>
            <w:r w:rsidRPr="008D2B6B">
              <w:rPr>
                <w:rFonts w:ascii="Century Gothic" w:eastAsia="Calibri" w:hAnsi="Century Gothic"/>
                <w:i/>
                <w:color w:val="auto"/>
                <w:lang w:val="en-AU"/>
              </w:rPr>
              <w:t>Ruppia</w:t>
            </w:r>
            <w:proofErr w:type="spellEnd"/>
            <w:r w:rsidRPr="008D2B6B">
              <w:rPr>
                <w:rFonts w:ascii="Century Gothic" w:eastAsia="Calibri" w:hAnsi="Century Gothic"/>
                <w:i/>
                <w:color w:val="auto"/>
                <w:lang w:val="en-AU"/>
              </w:rPr>
              <w:t xml:space="preserve"> </w:t>
            </w:r>
            <w:proofErr w:type="spellStart"/>
            <w:r w:rsidRPr="008D2B6B">
              <w:rPr>
                <w:rFonts w:ascii="Century Gothic" w:eastAsia="Calibri" w:hAnsi="Century Gothic"/>
                <w:i/>
                <w:color w:val="auto"/>
                <w:lang w:val="en-AU"/>
              </w:rPr>
              <w:t>tuberosa</w:t>
            </w:r>
            <w:proofErr w:type="spellEnd"/>
            <w:r w:rsidRPr="008D2B6B">
              <w:rPr>
                <w:rFonts w:ascii="Century Gothic" w:eastAsia="Calibri" w:hAnsi="Century Gothic"/>
                <w:color w:val="auto"/>
                <w:lang w:val="en-AU"/>
              </w:rPr>
              <w:t xml:space="preserve"> in the south lagoon of the Coorong.</w:t>
            </w:r>
          </w:p>
          <w:p w:rsidR="00B66C87" w:rsidRPr="008D2B6B" w:rsidRDefault="00B66C87" w:rsidP="00E66785">
            <w:pPr>
              <w:pStyle w:val="Para0"/>
              <w:spacing w:before="40" w:after="40" w:line="240" w:lineRule="auto"/>
              <w:jc w:val="center"/>
              <w:rPr>
                <w:rFonts w:ascii="Century Gothic" w:hAnsi="Century Gothic"/>
                <w:lang w:val="en-AU"/>
              </w:rPr>
            </w:pPr>
            <w:r w:rsidRPr="008D2B6B">
              <w:rPr>
                <w:rFonts w:ascii="Century Gothic" w:eastAsia="Calibri" w:hAnsi="Century Gothic"/>
                <w:color w:val="auto"/>
                <w:lang w:val="en-AU"/>
              </w:rPr>
              <w:t xml:space="preserve">Maintain or improve the diversity, condition and extent of aquatic and littoral vegetation </w:t>
            </w:r>
            <w:r>
              <w:rPr>
                <w:rFonts w:ascii="Century Gothic" w:eastAsia="Calibri" w:hAnsi="Century Gothic"/>
                <w:color w:val="auto"/>
                <w:lang w:val="en-AU"/>
              </w:rPr>
              <w:t>at</w:t>
            </w:r>
            <w:r w:rsidRPr="008D2B6B">
              <w:rPr>
                <w:rFonts w:ascii="Century Gothic" w:eastAsia="Calibri" w:hAnsi="Century Gothic"/>
                <w:color w:val="auto"/>
                <w:lang w:val="en-AU"/>
              </w:rPr>
              <w:t xml:space="preserve"> the Lower Lakes.</w:t>
            </w:r>
          </w:p>
        </w:tc>
        <w:tc>
          <w:tcPr>
            <w:tcW w:w="5507" w:type="dxa"/>
            <w:gridSpan w:val="3"/>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Maintain the current extent of water-dependent vegetation near river channels and on low-lying areas of the floodplain.</w:t>
            </w:r>
          </w:p>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Improve condition of black box, river red gum and lignum </w:t>
            </w:r>
            <w:proofErr w:type="spellStart"/>
            <w:r w:rsidRPr="008D2B6B">
              <w:rPr>
                <w:rFonts w:ascii="Century Gothic" w:eastAsia="Calibri" w:hAnsi="Century Gothic"/>
                <w:color w:val="auto"/>
                <w:lang w:val="en-AU"/>
              </w:rPr>
              <w:t>shrublands</w:t>
            </w:r>
            <w:proofErr w:type="spellEnd"/>
            <w:r w:rsidRPr="008D2B6B">
              <w:rPr>
                <w:rFonts w:ascii="Century Gothic" w:eastAsia="Calibri" w:hAnsi="Century Gothic"/>
                <w:color w:val="auto"/>
                <w:lang w:val="en-AU"/>
              </w:rPr>
              <w:t>.</w:t>
            </w:r>
          </w:p>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Improve recruitment of trees within black box and river red gum communities.</w:t>
            </w:r>
          </w:p>
        </w:tc>
      </w:tr>
      <w:tr w:rsidR="00B66C87" w:rsidRPr="008D2B6B" w:rsidTr="00E66785">
        <w:tc>
          <w:tcPr>
            <w:tcW w:w="1901" w:type="dxa"/>
            <w:vMerge w:val="restart"/>
            <w:vAlign w:val="center"/>
          </w:tcPr>
          <w:p w:rsidR="00B66C87" w:rsidRPr="008D2B6B" w:rsidRDefault="00B66C87" w:rsidP="00E66785">
            <w:pPr>
              <w:pStyle w:val="ListBullet"/>
              <w:numPr>
                <w:ilvl w:val="0"/>
                <w:numId w:val="0"/>
              </w:numPr>
              <w:spacing w:before="40" w:after="40"/>
              <w:jc w:val="center"/>
              <w:rPr>
                <w:rFonts w:ascii="Century Gothic" w:hAnsi="Century Gothic"/>
                <w:b/>
                <w:color w:val="C00000"/>
              </w:rPr>
            </w:pPr>
            <w:r w:rsidRPr="008D2B6B">
              <w:rPr>
                <w:rFonts w:ascii="Century Gothic" w:hAnsi="Century Gothic"/>
                <w:b/>
                <w:color w:val="C00000"/>
              </w:rPr>
              <w:t>WATERBIRDS</w:t>
            </w:r>
          </w:p>
        </w:tc>
        <w:tc>
          <w:tcPr>
            <w:tcW w:w="13657" w:type="dxa"/>
            <w:gridSpan w:val="7"/>
            <w:shd w:val="clear" w:color="auto" w:fill="FFFFFF" w:themeFill="background1"/>
          </w:tcPr>
          <w:p w:rsidR="00B66C87" w:rsidRPr="009A6C49"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Provide habitat and food sources to support waterbird survival and recruitment, and maintain condition and current species diversity.</w:t>
            </w:r>
          </w:p>
        </w:tc>
      </w:tr>
      <w:tr w:rsidR="00B66C87" w:rsidRPr="008D2B6B" w:rsidTr="00E66785">
        <w:tc>
          <w:tcPr>
            <w:tcW w:w="1901" w:type="dxa"/>
            <w:vMerge/>
            <w:vAlign w:val="center"/>
          </w:tcPr>
          <w:p w:rsidR="00B66C87" w:rsidRPr="008D2B6B" w:rsidRDefault="00B66C87" w:rsidP="00E66785">
            <w:pPr>
              <w:pStyle w:val="ListBullet"/>
              <w:numPr>
                <w:ilvl w:val="0"/>
                <w:numId w:val="0"/>
              </w:numPr>
              <w:spacing w:before="40" w:after="40"/>
              <w:jc w:val="center"/>
              <w:rPr>
                <w:rFonts w:ascii="Century Gothic" w:hAnsi="Century Gothic"/>
                <w:color w:val="C00000"/>
              </w:rPr>
            </w:pPr>
          </w:p>
        </w:tc>
        <w:tc>
          <w:tcPr>
            <w:tcW w:w="4216" w:type="dxa"/>
            <w:gridSpan w:val="3"/>
            <w:shd w:val="clear" w:color="auto" w:fill="D9D9D9" w:themeFill="background1" w:themeFillShade="D9"/>
          </w:tcPr>
          <w:p w:rsidR="00B66C87" w:rsidRPr="008D2B6B" w:rsidRDefault="00B66C87" w:rsidP="00E66785">
            <w:pPr>
              <w:spacing w:before="40" w:after="40"/>
              <w:jc w:val="center"/>
              <w:rPr>
                <w:rFonts w:ascii="Century Gothic" w:hAnsi="Century Gothic"/>
              </w:rPr>
            </w:pPr>
          </w:p>
        </w:tc>
        <w:tc>
          <w:tcPr>
            <w:tcW w:w="3934" w:type="dxa"/>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Pr>
                <w:rFonts w:ascii="Century Gothic" w:eastAsia="Calibri" w:hAnsi="Century Gothic"/>
                <w:color w:val="auto"/>
                <w:lang w:val="en-AU"/>
              </w:rPr>
              <w:t>Maintain</w:t>
            </w:r>
            <w:r w:rsidRPr="008D2B6B">
              <w:rPr>
                <w:rFonts w:ascii="Century Gothic" w:eastAsia="Calibri" w:hAnsi="Century Gothic"/>
                <w:color w:val="auto"/>
                <w:lang w:val="en-AU"/>
              </w:rPr>
              <w:t xml:space="preserve"> habitat and food sources to support improvement in waterbird condition and populations within the Lower Lakes and Coorong lagoons (including curlew sandpiper, greenshank, red-necked stint and sharp-tailed sandpiper).</w:t>
            </w:r>
          </w:p>
        </w:tc>
        <w:tc>
          <w:tcPr>
            <w:tcW w:w="5507" w:type="dxa"/>
            <w:gridSpan w:val="3"/>
          </w:tcPr>
          <w:p w:rsidR="00B66C87" w:rsidRPr="009A6C49"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Support naturally triggered colonial bird breeding events that are in danger of failing due to drying.</w:t>
            </w: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color w:val="C00000"/>
              </w:rPr>
            </w:pPr>
            <w:r w:rsidRPr="008D2B6B">
              <w:rPr>
                <w:rFonts w:ascii="Century Gothic" w:hAnsi="Century Gothic"/>
                <w:b/>
                <w:color w:val="C00000"/>
              </w:rPr>
              <w:t>FISH</w:t>
            </w:r>
          </w:p>
        </w:tc>
        <w:tc>
          <w:tcPr>
            <w:tcW w:w="4216" w:type="dxa"/>
            <w:gridSpan w:val="3"/>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Provide flows to support </w:t>
            </w:r>
            <w:r w:rsidRPr="008D2B6B">
              <w:rPr>
                <w:rFonts w:ascii="Century Gothic" w:hAnsi="Century Gothic"/>
                <w:lang w:val="en-AU"/>
              </w:rPr>
              <w:t>habitat and food sources and promote increased movement, recruitment and survival</w:t>
            </w:r>
            <w:r>
              <w:rPr>
                <w:rFonts w:ascii="Century Gothic" w:hAnsi="Century Gothic"/>
                <w:lang w:val="en-AU"/>
              </w:rPr>
              <w:t>/condition</w:t>
            </w:r>
            <w:r w:rsidRPr="008D2B6B">
              <w:rPr>
                <w:rFonts w:ascii="Century Gothic" w:hAnsi="Century Gothic"/>
                <w:lang w:val="en-AU"/>
              </w:rPr>
              <w:t xml:space="preserve"> of native fish.</w:t>
            </w:r>
          </w:p>
          <w:p w:rsidR="00B66C87" w:rsidRPr="008D2B6B" w:rsidRDefault="00B66C87" w:rsidP="00E66785">
            <w:pPr>
              <w:pStyle w:val="Para0"/>
              <w:spacing w:before="40" w:after="40" w:line="240" w:lineRule="auto"/>
              <w:jc w:val="center"/>
              <w:rPr>
                <w:rFonts w:ascii="Century Gothic" w:eastAsia="Calibri" w:hAnsi="Century Gothic"/>
                <w:color w:val="auto"/>
                <w:lang w:val="en-AU"/>
              </w:rPr>
            </w:pPr>
          </w:p>
        </w:tc>
        <w:tc>
          <w:tcPr>
            <w:tcW w:w="3934" w:type="dxa"/>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Maintain or improve diversity, condition and population for fish populations (all estuarine-dependent fish families, including sandy sprat, small-mouthed </w:t>
            </w:r>
            <w:proofErr w:type="spellStart"/>
            <w:r w:rsidRPr="008D2B6B">
              <w:rPr>
                <w:rFonts w:ascii="Century Gothic" w:eastAsia="Calibri" w:hAnsi="Century Gothic"/>
                <w:color w:val="auto"/>
                <w:lang w:val="en-AU"/>
              </w:rPr>
              <w:t>hardyhead</w:t>
            </w:r>
            <w:proofErr w:type="spellEnd"/>
            <w:r w:rsidRPr="008D2B6B">
              <w:rPr>
                <w:rFonts w:ascii="Century Gothic" w:eastAsia="Calibri" w:hAnsi="Century Gothic"/>
                <w:color w:val="auto"/>
                <w:lang w:val="en-AU"/>
              </w:rPr>
              <w:t xml:space="preserve">, black bream, greenback and flounder) through providing </w:t>
            </w:r>
            <w:r>
              <w:rPr>
                <w:rFonts w:ascii="Century Gothic" w:eastAsia="Calibri" w:hAnsi="Century Gothic"/>
                <w:color w:val="auto"/>
                <w:lang w:val="en-AU"/>
              </w:rPr>
              <w:t xml:space="preserve">suitable </w:t>
            </w:r>
            <w:r w:rsidRPr="008D2B6B">
              <w:rPr>
                <w:rFonts w:ascii="Century Gothic" w:eastAsia="Calibri" w:hAnsi="Century Gothic"/>
                <w:color w:val="auto"/>
                <w:lang w:val="en-AU"/>
              </w:rPr>
              <w:t xml:space="preserve">habitat conditions </w:t>
            </w:r>
            <w:r>
              <w:rPr>
                <w:rFonts w:ascii="Century Gothic" w:eastAsia="Calibri" w:hAnsi="Century Gothic"/>
                <w:color w:val="auto"/>
                <w:lang w:val="en-AU"/>
              </w:rPr>
              <w:t xml:space="preserve">within the Coorong lagoons </w:t>
            </w:r>
            <w:r w:rsidRPr="008D2B6B">
              <w:rPr>
                <w:rFonts w:ascii="Century Gothic" w:eastAsia="Calibri" w:hAnsi="Century Gothic"/>
                <w:color w:val="auto"/>
                <w:lang w:val="en-AU"/>
              </w:rPr>
              <w:t>and maintaining migration pathways th</w:t>
            </w:r>
            <w:r>
              <w:rPr>
                <w:rFonts w:ascii="Century Gothic" w:eastAsia="Calibri" w:hAnsi="Century Gothic"/>
                <w:color w:val="auto"/>
                <w:lang w:val="en-AU"/>
              </w:rPr>
              <w:t xml:space="preserve">at supports species recruitment </w:t>
            </w:r>
            <w:r w:rsidRPr="008D2B6B">
              <w:rPr>
                <w:rFonts w:ascii="Century Gothic" w:eastAsia="Calibri" w:hAnsi="Century Gothic"/>
                <w:color w:val="auto"/>
                <w:lang w:val="en-AU"/>
              </w:rPr>
              <w:t>and survival</w:t>
            </w:r>
            <w:r>
              <w:rPr>
                <w:rFonts w:ascii="Century Gothic" w:eastAsia="Calibri" w:hAnsi="Century Gothic"/>
                <w:color w:val="auto"/>
                <w:lang w:val="en-AU"/>
              </w:rPr>
              <w:t>/condition</w:t>
            </w:r>
            <w:r w:rsidRPr="008D2B6B">
              <w:rPr>
                <w:rFonts w:ascii="Century Gothic" w:eastAsia="Calibri" w:hAnsi="Century Gothic"/>
                <w:color w:val="auto"/>
                <w:lang w:val="en-AU"/>
              </w:rPr>
              <w:t>.</w:t>
            </w:r>
          </w:p>
        </w:tc>
        <w:tc>
          <w:tcPr>
            <w:tcW w:w="5507" w:type="dxa"/>
            <w:gridSpan w:val="3"/>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Provide flow cues to </w:t>
            </w:r>
            <w:r w:rsidRPr="008D2B6B">
              <w:rPr>
                <w:rFonts w:ascii="Century Gothic" w:hAnsi="Century Gothic"/>
                <w:lang w:val="en-AU"/>
              </w:rPr>
              <w:t>promote increased movement, recruitment and survival</w:t>
            </w:r>
            <w:r>
              <w:rPr>
                <w:rFonts w:ascii="Century Gothic" w:hAnsi="Century Gothic"/>
                <w:lang w:val="en-AU"/>
              </w:rPr>
              <w:t>/condition</w:t>
            </w:r>
            <w:r w:rsidRPr="008D2B6B">
              <w:rPr>
                <w:rFonts w:ascii="Century Gothic" w:hAnsi="Century Gothic"/>
                <w:lang w:val="en-AU"/>
              </w:rPr>
              <w:t xml:space="preserve"> of native fish (particularly for floodplain specialists).</w:t>
            </w:r>
          </w:p>
          <w:p w:rsidR="00B66C87" w:rsidRPr="008D2B6B" w:rsidRDefault="00B66C87" w:rsidP="00E66785">
            <w:pPr>
              <w:spacing w:before="40" w:after="40"/>
              <w:jc w:val="center"/>
              <w:rPr>
                <w:rFonts w:ascii="Century Gothic" w:hAnsi="Century Gothic"/>
              </w:rPr>
            </w:pP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lastRenderedPageBreak/>
              <w:t>INVERTEBRATES</w:t>
            </w:r>
          </w:p>
        </w:tc>
        <w:tc>
          <w:tcPr>
            <w:tcW w:w="13657" w:type="dxa"/>
            <w:gridSpan w:val="7"/>
          </w:tcPr>
          <w:p w:rsidR="00B66C87"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 xml:space="preserve">Provide habitat to support increased </w:t>
            </w:r>
            <w:proofErr w:type="spellStart"/>
            <w:r w:rsidRPr="009A6C49">
              <w:rPr>
                <w:rFonts w:ascii="Century Gothic" w:hAnsi="Century Gothic"/>
                <w:sz w:val="20"/>
                <w:szCs w:val="20"/>
              </w:rPr>
              <w:t>microinvertebrate</w:t>
            </w:r>
            <w:proofErr w:type="spellEnd"/>
            <w:r w:rsidRPr="009A6C49">
              <w:rPr>
                <w:rFonts w:ascii="Century Gothic" w:hAnsi="Century Gothic"/>
                <w:sz w:val="20"/>
                <w:szCs w:val="20"/>
              </w:rPr>
              <w:t xml:space="preserve"> and </w:t>
            </w:r>
            <w:proofErr w:type="spellStart"/>
            <w:r w:rsidRPr="009A6C49">
              <w:rPr>
                <w:rFonts w:ascii="Century Gothic" w:hAnsi="Century Gothic"/>
                <w:sz w:val="20"/>
                <w:szCs w:val="20"/>
              </w:rPr>
              <w:t>macroinvertebrate</w:t>
            </w:r>
            <w:proofErr w:type="spellEnd"/>
            <w:r w:rsidRPr="009A6C49">
              <w:rPr>
                <w:rFonts w:ascii="Century Gothic" w:hAnsi="Century Gothic"/>
                <w:sz w:val="20"/>
                <w:szCs w:val="20"/>
              </w:rPr>
              <w:t xml:space="preserve"> survival, diversity, abundance and condition.</w:t>
            </w:r>
          </w:p>
          <w:p w:rsidR="00B66C87" w:rsidRPr="009A6C49" w:rsidRDefault="00B66C87" w:rsidP="00E66785">
            <w:pPr>
              <w:spacing w:before="40" w:after="40"/>
              <w:jc w:val="center"/>
              <w:rPr>
                <w:rFonts w:ascii="Century Gothic" w:hAnsi="Century Gothic"/>
                <w:sz w:val="20"/>
                <w:szCs w:val="20"/>
              </w:rPr>
            </w:pP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t>OTHER VERTEBRATES</w:t>
            </w:r>
          </w:p>
        </w:tc>
        <w:tc>
          <w:tcPr>
            <w:tcW w:w="13657" w:type="dxa"/>
            <w:gridSpan w:val="7"/>
          </w:tcPr>
          <w:p w:rsidR="00B66C87" w:rsidRPr="009A6C49"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Provide habitat to support survival, maintain condition and provide recruitment opportunities for frogs and turtles.</w:t>
            </w:r>
          </w:p>
        </w:tc>
      </w:tr>
      <w:tr w:rsidR="00B66C87" w:rsidRPr="008D2B6B" w:rsidTr="00E66785">
        <w:trPr>
          <w:trHeight w:val="2542"/>
        </w:trPr>
        <w:tc>
          <w:tcPr>
            <w:tcW w:w="1901" w:type="dxa"/>
            <w:vMerge w:val="restart"/>
            <w:vAlign w:val="center"/>
          </w:tcPr>
          <w:p w:rsidR="00B66C87" w:rsidRPr="008D2B6B" w:rsidRDefault="00B66C87" w:rsidP="00E66785">
            <w:pPr>
              <w:pStyle w:val="ListBullet"/>
              <w:numPr>
                <w:ilvl w:val="0"/>
                <w:numId w:val="0"/>
              </w:numPr>
              <w:spacing w:before="40" w:after="40"/>
              <w:jc w:val="center"/>
              <w:rPr>
                <w:rFonts w:ascii="Century Gothic" w:hAnsi="Century Gothic"/>
                <w:color w:val="C00000"/>
              </w:rPr>
            </w:pPr>
            <w:r w:rsidRPr="008D2B6B">
              <w:rPr>
                <w:rFonts w:ascii="Century Gothic" w:hAnsi="Century Gothic"/>
                <w:b/>
                <w:color w:val="C00000"/>
              </w:rPr>
              <w:t>CONNECTIVITY</w:t>
            </w:r>
          </w:p>
        </w:tc>
        <w:tc>
          <w:tcPr>
            <w:tcW w:w="4216" w:type="dxa"/>
            <w:gridSpan w:val="3"/>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Contribute to the maintenance of </w:t>
            </w:r>
            <w:proofErr w:type="spellStart"/>
            <w:r w:rsidRPr="008D2B6B">
              <w:rPr>
                <w:rFonts w:ascii="Century Gothic" w:eastAsia="Calibri" w:hAnsi="Century Gothic"/>
                <w:color w:val="auto"/>
                <w:lang w:val="en-AU"/>
              </w:rPr>
              <w:t>baseflows</w:t>
            </w:r>
            <w:proofErr w:type="spellEnd"/>
            <w:r w:rsidRPr="008D2B6B">
              <w:rPr>
                <w:rFonts w:ascii="Century Gothic" w:eastAsia="Calibri" w:hAnsi="Century Gothic"/>
                <w:color w:val="auto"/>
                <w:lang w:val="en-AU"/>
              </w:rPr>
              <w:t xml:space="preserve"> and an overall increase in flows in the River Murray.</w:t>
            </w:r>
          </w:p>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Support longitudinal connectivity alon</w:t>
            </w:r>
            <w:r>
              <w:rPr>
                <w:rFonts w:ascii="Century Gothic" w:eastAsia="Calibri" w:hAnsi="Century Gothic"/>
                <w:color w:val="auto"/>
                <w:lang w:val="en-AU"/>
              </w:rPr>
              <w:t>g the Lower Darling and Murray r</w:t>
            </w:r>
            <w:r w:rsidRPr="008D2B6B">
              <w:rPr>
                <w:rFonts w:ascii="Century Gothic" w:eastAsia="Calibri" w:hAnsi="Century Gothic"/>
                <w:color w:val="auto"/>
                <w:lang w:val="en-AU"/>
              </w:rPr>
              <w:t>ivers, including connectivity between the two systems in order to fulfil important environmental functions, such as nutrient and sediment transport, organism dispersal and water quality.</w:t>
            </w:r>
          </w:p>
          <w:p w:rsidR="00B66C87" w:rsidRPr="008D2B6B" w:rsidRDefault="00B66C87" w:rsidP="00E66785">
            <w:pPr>
              <w:pStyle w:val="Para0"/>
              <w:spacing w:before="40" w:after="40" w:line="240" w:lineRule="auto"/>
              <w:jc w:val="center"/>
              <w:rPr>
                <w:rFonts w:ascii="Century Gothic" w:eastAsia="Calibri" w:hAnsi="Century Gothic"/>
                <w:color w:val="auto"/>
                <w:lang w:val="en-AU"/>
              </w:rPr>
            </w:pPr>
            <w:r w:rsidRPr="008D2B6B">
              <w:rPr>
                <w:rFonts w:ascii="Century Gothic" w:eastAsia="Calibri" w:hAnsi="Century Gothic"/>
                <w:color w:val="auto"/>
                <w:lang w:val="en-AU"/>
              </w:rPr>
              <w:t xml:space="preserve">Support lateral connectivity through contributing to an increase in the frequency of freshes, </w:t>
            </w:r>
            <w:proofErr w:type="spellStart"/>
            <w:r w:rsidRPr="008D2B6B">
              <w:rPr>
                <w:rFonts w:ascii="Century Gothic" w:eastAsia="Calibri" w:hAnsi="Century Gothic"/>
                <w:color w:val="auto"/>
                <w:lang w:val="en-AU"/>
              </w:rPr>
              <w:t>bankfull</w:t>
            </w:r>
            <w:proofErr w:type="spellEnd"/>
            <w:r w:rsidRPr="008D2B6B">
              <w:rPr>
                <w:rFonts w:ascii="Century Gothic" w:eastAsia="Calibri" w:hAnsi="Century Gothic"/>
                <w:color w:val="auto"/>
                <w:lang w:val="en-AU"/>
              </w:rPr>
              <w:t xml:space="preserve"> and lowland floodplain flows.</w:t>
            </w:r>
          </w:p>
        </w:tc>
        <w:tc>
          <w:tcPr>
            <w:tcW w:w="3934" w:type="dxa"/>
            <w:shd w:val="clear" w:color="auto" w:fill="D9D9D9" w:themeFill="background1" w:themeFillShade="D9"/>
          </w:tcPr>
          <w:p w:rsidR="00B66C87" w:rsidRPr="008D2B6B" w:rsidRDefault="00B66C87" w:rsidP="00E66785">
            <w:pPr>
              <w:pStyle w:val="Para0"/>
              <w:spacing w:before="40" w:after="40" w:line="240" w:lineRule="auto"/>
              <w:jc w:val="center"/>
              <w:rPr>
                <w:rFonts w:ascii="Century Gothic" w:eastAsia="Calibri" w:hAnsi="Century Gothic"/>
                <w:color w:val="auto"/>
                <w:lang w:val="en-AU"/>
              </w:rPr>
            </w:pPr>
          </w:p>
        </w:tc>
        <w:tc>
          <w:tcPr>
            <w:tcW w:w="5507" w:type="dxa"/>
            <w:gridSpan w:val="3"/>
          </w:tcPr>
          <w:p w:rsidR="00B66C87" w:rsidRPr="009A6C49" w:rsidRDefault="00B66C87" w:rsidP="00E66785">
            <w:pPr>
              <w:spacing w:before="40" w:after="40"/>
              <w:jc w:val="center"/>
              <w:rPr>
                <w:rFonts w:ascii="Century Gothic" w:hAnsi="Century Gothic"/>
                <w:sz w:val="20"/>
                <w:szCs w:val="20"/>
              </w:rPr>
            </w:pPr>
            <w:r w:rsidRPr="009A6C49">
              <w:rPr>
                <w:rFonts w:ascii="Century Gothic" w:hAnsi="Century Gothic"/>
                <w:sz w:val="20"/>
                <w:szCs w:val="20"/>
              </w:rPr>
              <w:t>Support latitudinal connectivity (within constraints) to wetlands and floodplains, by contributing an increase in the frequency of lowland floodplain flows.</w:t>
            </w:r>
          </w:p>
          <w:p w:rsidR="00B66C87" w:rsidRPr="008D2B6B" w:rsidRDefault="00B66C87" w:rsidP="00E66785">
            <w:pPr>
              <w:spacing w:before="40" w:after="40"/>
              <w:jc w:val="center"/>
              <w:rPr>
                <w:rFonts w:ascii="Century Gothic" w:hAnsi="Century Gothic"/>
              </w:rPr>
            </w:pPr>
          </w:p>
        </w:tc>
      </w:tr>
      <w:tr w:rsidR="00B66C87" w:rsidRPr="008D2B6B" w:rsidTr="00E66785">
        <w:trPr>
          <w:trHeight w:val="304"/>
        </w:trPr>
        <w:tc>
          <w:tcPr>
            <w:tcW w:w="1901" w:type="dxa"/>
            <w:vMerge/>
            <w:vAlign w:val="center"/>
          </w:tcPr>
          <w:p w:rsidR="00B66C87" w:rsidRPr="008D2B6B" w:rsidRDefault="00B66C87" w:rsidP="00E66785">
            <w:pPr>
              <w:pStyle w:val="ListBullet"/>
              <w:numPr>
                <w:ilvl w:val="0"/>
                <w:numId w:val="0"/>
              </w:numPr>
              <w:spacing w:before="40" w:after="40"/>
              <w:jc w:val="center"/>
              <w:rPr>
                <w:rFonts w:ascii="Century Gothic" w:hAnsi="Century Gothic"/>
                <w:b/>
                <w:color w:val="C00000"/>
              </w:rPr>
            </w:pPr>
          </w:p>
        </w:tc>
        <w:tc>
          <w:tcPr>
            <w:tcW w:w="8150" w:type="dxa"/>
            <w:gridSpan w:val="4"/>
          </w:tcPr>
          <w:p w:rsidR="00B66C87" w:rsidRPr="008D2B6B" w:rsidRDefault="00B66C87" w:rsidP="00E66785">
            <w:pPr>
              <w:pStyle w:val="Para0"/>
              <w:spacing w:before="40" w:after="40" w:line="240" w:lineRule="auto"/>
              <w:jc w:val="center"/>
              <w:rPr>
                <w:rFonts w:ascii="Century Gothic" w:hAnsi="Century Gothic"/>
                <w:lang w:val="en-AU"/>
              </w:rPr>
            </w:pPr>
            <w:r w:rsidRPr="008D2B6B">
              <w:rPr>
                <w:rFonts w:ascii="Century Gothic" w:eastAsia="Calibri" w:hAnsi="Century Gothic"/>
                <w:color w:val="auto"/>
                <w:lang w:val="en-AU"/>
              </w:rPr>
              <w:t xml:space="preserve">Contribute to improving the connection of the </w:t>
            </w:r>
            <w:r>
              <w:rPr>
                <w:rFonts w:ascii="Century Gothic" w:eastAsia="Calibri" w:hAnsi="Century Gothic"/>
                <w:color w:val="auto"/>
                <w:lang w:val="en-AU"/>
              </w:rPr>
              <w:t xml:space="preserve">River </w:t>
            </w:r>
            <w:r w:rsidRPr="008D2B6B">
              <w:rPr>
                <w:rFonts w:ascii="Century Gothic" w:eastAsia="Calibri" w:hAnsi="Century Gothic"/>
                <w:color w:val="auto"/>
                <w:lang w:val="en-AU"/>
              </w:rPr>
              <w:t>Murray to the Coorong and the sea, through supporting increased b</w:t>
            </w:r>
            <w:r w:rsidRPr="008D2B6B">
              <w:rPr>
                <w:rFonts w:ascii="Century Gothic" w:hAnsi="Century Gothic"/>
                <w:lang w:val="en-AU"/>
              </w:rPr>
              <w:t>arrage flows and Murray mouth openness.</w:t>
            </w:r>
          </w:p>
        </w:tc>
        <w:tc>
          <w:tcPr>
            <w:tcW w:w="5507" w:type="dxa"/>
            <w:gridSpan w:val="3"/>
            <w:shd w:val="clear" w:color="auto" w:fill="D9D9D9" w:themeFill="background1" w:themeFillShade="D9"/>
          </w:tcPr>
          <w:p w:rsidR="00B66C87" w:rsidRPr="008D2B6B" w:rsidRDefault="00B66C87" w:rsidP="00E66785">
            <w:pPr>
              <w:spacing w:before="40" w:after="40"/>
              <w:jc w:val="center"/>
              <w:rPr>
                <w:rFonts w:ascii="Century Gothic" w:hAnsi="Century Gothic"/>
              </w:rPr>
            </w:pP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t>PROCESSES</w:t>
            </w:r>
          </w:p>
        </w:tc>
        <w:tc>
          <w:tcPr>
            <w:tcW w:w="13657" w:type="dxa"/>
            <w:gridSpan w:val="7"/>
          </w:tcPr>
          <w:p w:rsidR="00B66C87" w:rsidRPr="00733F45" w:rsidRDefault="00B66C87" w:rsidP="00E66785">
            <w:pPr>
              <w:spacing w:before="40" w:after="40"/>
              <w:jc w:val="center"/>
              <w:rPr>
                <w:rFonts w:ascii="Century Gothic" w:hAnsi="Century Gothic"/>
                <w:sz w:val="20"/>
                <w:szCs w:val="20"/>
              </w:rPr>
            </w:pPr>
            <w:r w:rsidRPr="00733F45">
              <w:rPr>
                <w:rFonts w:ascii="Century Gothic" w:hAnsi="Century Gothic"/>
                <w:sz w:val="20"/>
                <w:szCs w:val="20"/>
              </w:rPr>
              <w:t>Support primary productivity, nutrient and carbon cycling, biotic dispersal and movement.</w:t>
            </w:r>
          </w:p>
          <w:p w:rsidR="00B66C87" w:rsidRPr="00733F45" w:rsidRDefault="00B66C87" w:rsidP="00E66785">
            <w:pPr>
              <w:spacing w:before="40" w:after="40"/>
              <w:jc w:val="center"/>
              <w:rPr>
                <w:rFonts w:ascii="Century Gothic" w:hAnsi="Century Gothic"/>
                <w:sz w:val="20"/>
                <w:szCs w:val="20"/>
              </w:rPr>
            </w:pPr>
            <w:r w:rsidRPr="00733F45">
              <w:rPr>
                <w:rFonts w:ascii="Century Gothic" w:hAnsi="Century Gothic"/>
                <w:sz w:val="20"/>
                <w:szCs w:val="20"/>
              </w:rPr>
              <w:t>Support increased transport of organic matter, salt and nutrients downstream and out the Murray Mouth.</w:t>
            </w: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t>WATER QUALITY</w:t>
            </w:r>
          </w:p>
        </w:tc>
        <w:tc>
          <w:tcPr>
            <w:tcW w:w="4216" w:type="dxa"/>
            <w:gridSpan w:val="3"/>
          </w:tcPr>
          <w:p w:rsidR="00B66C87" w:rsidRPr="00733F45" w:rsidRDefault="00B66C87" w:rsidP="00E66785">
            <w:pPr>
              <w:spacing w:before="40" w:after="40"/>
              <w:jc w:val="center"/>
              <w:rPr>
                <w:rFonts w:ascii="Century Gothic" w:hAnsi="Century Gothic"/>
                <w:sz w:val="20"/>
                <w:szCs w:val="20"/>
              </w:rPr>
            </w:pPr>
            <w:r>
              <w:rPr>
                <w:rFonts w:ascii="Century Gothic" w:hAnsi="Century Gothic"/>
                <w:sz w:val="20"/>
                <w:szCs w:val="20"/>
              </w:rPr>
              <w:t>Maintain water quality and p</w:t>
            </w:r>
            <w:r w:rsidRPr="00733F45">
              <w:rPr>
                <w:rFonts w:ascii="Century Gothic" w:hAnsi="Century Gothic"/>
                <w:sz w:val="20"/>
                <w:szCs w:val="20"/>
              </w:rPr>
              <w:t xml:space="preserve">rovide refuge habitat from adverse water quality events (e.g. </w:t>
            </w:r>
            <w:proofErr w:type="spellStart"/>
            <w:r w:rsidRPr="00733F45">
              <w:rPr>
                <w:rFonts w:ascii="Century Gothic" w:hAnsi="Century Gothic"/>
                <w:sz w:val="20"/>
                <w:szCs w:val="20"/>
              </w:rPr>
              <w:t>blackwater</w:t>
            </w:r>
            <w:proofErr w:type="spellEnd"/>
            <w:r w:rsidRPr="00733F45">
              <w:rPr>
                <w:rFonts w:ascii="Century Gothic" w:hAnsi="Century Gothic"/>
                <w:sz w:val="20"/>
                <w:szCs w:val="20"/>
              </w:rPr>
              <w:t>).</w:t>
            </w:r>
          </w:p>
        </w:tc>
        <w:tc>
          <w:tcPr>
            <w:tcW w:w="3934" w:type="dxa"/>
            <w:shd w:val="clear" w:color="auto" w:fill="FFFFFF" w:themeFill="background1"/>
          </w:tcPr>
          <w:p w:rsidR="00B66C87" w:rsidRPr="00733F45" w:rsidRDefault="00B66C87" w:rsidP="00E66785">
            <w:pPr>
              <w:spacing w:before="40" w:after="40"/>
              <w:jc w:val="center"/>
              <w:rPr>
                <w:rFonts w:ascii="Century Gothic" w:hAnsi="Century Gothic"/>
                <w:sz w:val="20"/>
                <w:szCs w:val="20"/>
              </w:rPr>
            </w:pPr>
            <w:r w:rsidRPr="00733F45">
              <w:rPr>
                <w:rFonts w:ascii="Century Gothic" w:hAnsi="Century Gothic"/>
                <w:sz w:val="20"/>
                <w:szCs w:val="20"/>
              </w:rPr>
              <w:t>Maintain salinity regimes below critical thresholds for key flora and fauna in the Lower Lakes and Coorong through supporting the export of salt through the Murray Mouth.</w:t>
            </w:r>
          </w:p>
        </w:tc>
        <w:tc>
          <w:tcPr>
            <w:tcW w:w="5507" w:type="dxa"/>
            <w:gridSpan w:val="3"/>
            <w:shd w:val="clear" w:color="auto" w:fill="FFFFFF" w:themeFill="background1"/>
          </w:tcPr>
          <w:p w:rsidR="00B66C87" w:rsidRPr="00733F45" w:rsidRDefault="00B66C87" w:rsidP="00E66785">
            <w:pPr>
              <w:spacing w:before="40" w:after="40"/>
              <w:jc w:val="center"/>
              <w:rPr>
                <w:rFonts w:ascii="Century Gothic" w:hAnsi="Century Gothic"/>
                <w:color w:val="FF0000"/>
                <w:sz w:val="20"/>
                <w:szCs w:val="20"/>
              </w:rPr>
            </w:pPr>
            <w:r w:rsidRPr="00733F45">
              <w:rPr>
                <w:rFonts w:ascii="Century Gothic" w:hAnsi="Century Gothic"/>
                <w:sz w:val="20"/>
                <w:szCs w:val="20"/>
              </w:rPr>
              <w:t xml:space="preserve">Support </w:t>
            </w:r>
            <w:r>
              <w:rPr>
                <w:rFonts w:ascii="Century Gothic" w:hAnsi="Century Gothic"/>
                <w:sz w:val="20"/>
                <w:szCs w:val="20"/>
              </w:rPr>
              <w:t xml:space="preserve">mobilisation and export </w:t>
            </w:r>
            <w:r w:rsidRPr="00733F45">
              <w:rPr>
                <w:rFonts w:ascii="Century Gothic" w:hAnsi="Century Gothic"/>
                <w:sz w:val="20"/>
                <w:szCs w:val="20"/>
              </w:rPr>
              <w:t xml:space="preserve">of salt </w:t>
            </w:r>
            <w:r>
              <w:rPr>
                <w:rFonts w:ascii="Century Gothic" w:hAnsi="Century Gothic"/>
                <w:sz w:val="20"/>
                <w:szCs w:val="20"/>
              </w:rPr>
              <w:t>from the River Murray system</w:t>
            </w:r>
            <w:r w:rsidRPr="00733F45">
              <w:rPr>
                <w:rFonts w:ascii="Century Gothic" w:hAnsi="Century Gothic"/>
                <w:sz w:val="20"/>
                <w:szCs w:val="20"/>
              </w:rPr>
              <w:t>.</w:t>
            </w:r>
          </w:p>
        </w:tc>
      </w:tr>
      <w:tr w:rsidR="00B66C87" w:rsidRPr="008D2B6B" w:rsidTr="00E66785">
        <w:tc>
          <w:tcPr>
            <w:tcW w:w="1901" w:type="dxa"/>
            <w:vAlign w:val="center"/>
          </w:tcPr>
          <w:p w:rsidR="00B66C87" w:rsidRPr="008D2B6B" w:rsidRDefault="00B66C87" w:rsidP="00E66785">
            <w:pPr>
              <w:pStyle w:val="ListBullet"/>
              <w:numPr>
                <w:ilvl w:val="0"/>
                <w:numId w:val="0"/>
              </w:numPr>
              <w:spacing w:before="40" w:after="40"/>
              <w:jc w:val="center"/>
              <w:rPr>
                <w:rFonts w:ascii="Century Gothic" w:hAnsi="Century Gothic"/>
                <w:b/>
              </w:rPr>
            </w:pPr>
            <w:r w:rsidRPr="008D2B6B">
              <w:rPr>
                <w:rFonts w:ascii="Century Gothic" w:hAnsi="Century Gothic"/>
                <w:b/>
              </w:rPr>
              <w:t>RESILIENCE</w:t>
            </w:r>
          </w:p>
        </w:tc>
        <w:tc>
          <w:tcPr>
            <w:tcW w:w="13657" w:type="dxa"/>
            <w:gridSpan w:val="7"/>
          </w:tcPr>
          <w:p w:rsidR="00B66C87" w:rsidRPr="00733F45" w:rsidRDefault="00B66C87" w:rsidP="00E66785">
            <w:pPr>
              <w:spacing w:before="40" w:after="40"/>
              <w:jc w:val="center"/>
              <w:rPr>
                <w:rFonts w:ascii="Century Gothic" w:hAnsi="Century Gothic"/>
                <w:sz w:val="20"/>
                <w:szCs w:val="20"/>
              </w:rPr>
            </w:pPr>
            <w:r w:rsidRPr="00733F45">
              <w:rPr>
                <w:rFonts w:ascii="Century Gothic" w:hAnsi="Century Gothic"/>
                <w:sz w:val="20"/>
                <w:szCs w:val="20"/>
              </w:rPr>
              <w:t>Provide drought refuge habitat</w:t>
            </w:r>
            <w:r>
              <w:rPr>
                <w:rFonts w:ascii="Century Gothic" w:hAnsi="Century Gothic"/>
                <w:sz w:val="20"/>
                <w:szCs w:val="20"/>
              </w:rPr>
              <w:t xml:space="preserve"> and maintenance/condition of native biota (e.g. fish and other aquatic fauna)</w:t>
            </w:r>
          </w:p>
        </w:tc>
      </w:tr>
    </w:tbl>
    <w:p w:rsidR="005312F1" w:rsidRDefault="00B66C87" w:rsidP="00060C7A">
      <w:pPr>
        <w:pStyle w:val="Caption"/>
        <w:spacing w:after="240"/>
        <w:jc w:val="left"/>
        <w:rPr>
          <w:rFonts w:ascii="Century Gothic" w:hAnsi="Century Gothic"/>
        </w:rPr>
        <w:sectPr w:rsidR="005312F1" w:rsidSect="00B66C87">
          <w:pgSz w:w="16839" w:h="11907" w:orient="landscape" w:code="9"/>
          <w:pgMar w:top="709" w:right="821" w:bottom="1440" w:left="851" w:header="425" w:footer="267" w:gutter="0"/>
          <w:cols w:space="708"/>
          <w:titlePg/>
          <w:docGrid w:linePitch="360"/>
        </w:sectPr>
      </w:pPr>
      <w:r w:rsidRPr="007C7B17">
        <w:rPr>
          <w:rFonts w:ascii="Century Gothic" w:hAnsi="Century Gothic"/>
          <w:b w:val="0"/>
        </w:rPr>
        <w:t>Information sourced from:</w:t>
      </w:r>
      <w:r w:rsidRPr="007C7B17">
        <w:rPr>
          <w:rFonts w:ascii="Century Gothic" w:hAnsi="Century Gothic"/>
          <w:b w:val="0"/>
          <w:color w:val="FF0000"/>
        </w:rPr>
        <w:t xml:space="preserve"> </w:t>
      </w:r>
      <w:r w:rsidRPr="007C7B17">
        <w:rPr>
          <w:rFonts w:ascii="Century Gothic" w:hAnsi="Century Gothic"/>
          <w:b w:val="0"/>
        </w:rPr>
        <w:t>MDBA (2014a); Department of the Environment (2014); Department of the Environment (2011 and unpublished); MDBA (2013a-i)</w:t>
      </w:r>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24" w:name="_Toc422406865"/>
      <w:r w:rsidRPr="008D2B6B">
        <w:rPr>
          <w:rFonts w:ascii="Century Gothic" w:hAnsi="Century Gothic"/>
          <w:noProof/>
          <w:color w:val="5F497A" w:themeColor="accent4" w:themeShade="BF"/>
          <w:lang w:val="en-AU"/>
        </w:rPr>
        <w:lastRenderedPageBreak/>
        <w:t>Flows in scope for Commonwealth environmental watering</w:t>
      </w:r>
      <w:r>
        <w:rPr>
          <w:rFonts w:ascii="Century Gothic" w:hAnsi="Century Gothic"/>
          <w:noProof/>
          <w:color w:val="5F497A" w:themeColor="accent4" w:themeShade="BF"/>
          <w:lang w:val="en-AU"/>
        </w:rPr>
        <w:t xml:space="preserve"> over the long-term</w:t>
      </w:r>
      <w:bookmarkEnd w:id="24"/>
    </w:p>
    <w:p w:rsidR="00060C7A" w:rsidRPr="0027713D" w:rsidRDefault="00060C7A" w:rsidP="00060C7A">
      <w:pPr>
        <w:pStyle w:val="NormalWeb"/>
        <w:spacing w:before="0" w:beforeAutospacing="0" w:after="240" w:afterAutospacing="0"/>
        <w:jc w:val="left"/>
        <w:rPr>
          <w:rFonts w:ascii="Century Gothic" w:hAnsi="Century Gothic"/>
          <w:color w:val="FF0000"/>
          <w:lang w:val="en-AU"/>
        </w:rPr>
      </w:pPr>
      <w:r w:rsidRPr="0027713D">
        <w:rPr>
          <w:rFonts w:ascii="Century Gothic" w:hAnsi="Century Gothic" w:cs="Arial"/>
          <w:noProof/>
          <w:lang w:val="en-AU"/>
        </w:rPr>
        <w:t xml:space="preserve">Not all environmental demands can and will be met through the use of held environmental water. Some demands are met by regulated water deliveries for consumptive purposes and inter-valley transfers, while others are met by large unregulated/natural flows events or are beyond what can be delivered within operational constraints. Figure 3 shows the broad environmental demands that are in scope for the Office to focus on contributing to in the </w:t>
      </w:r>
      <w:r>
        <w:rPr>
          <w:rFonts w:ascii="Century Gothic" w:hAnsi="Century Gothic" w:cs="Arial"/>
          <w:noProof/>
          <w:color w:val="000000" w:themeColor="text1"/>
          <w:lang w:val="en-AU"/>
        </w:rPr>
        <w:t>Lower Murray–</w:t>
      </w:r>
      <w:r w:rsidRPr="0027713D">
        <w:rPr>
          <w:rFonts w:ascii="Century Gothic" w:hAnsi="Century Gothic" w:cs="Arial"/>
          <w:noProof/>
          <w:color w:val="000000" w:themeColor="text1"/>
          <w:lang w:val="en-AU"/>
        </w:rPr>
        <w:t>Darling Region</w:t>
      </w:r>
      <w:r w:rsidRPr="0027713D">
        <w:rPr>
          <w:rFonts w:ascii="Century Gothic" w:hAnsi="Century Gothic" w:cs="Arial"/>
          <w:noProof/>
          <w:lang w:val="en-AU"/>
        </w:rPr>
        <w:t xml:space="preserve">. Importantly, these are broad, indicative demands and individual watering </w:t>
      </w:r>
      <w:r>
        <w:rPr>
          <w:rFonts w:ascii="Century Gothic" w:hAnsi="Century Gothic" w:cs="Arial"/>
          <w:noProof/>
          <w:lang w:val="en-AU"/>
        </w:rPr>
        <w:t>action</w:t>
      </w:r>
      <w:r w:rsidRPr="0027713D">
        <w:rPr>
          <w:rFonts w:ascii="Century Gothic" w:hAnsi="Century Gothic" w:cs="Arial"/>
          <w:noProof/>
          <w:lang w:val="en-AU"/>
        </w:rPr>
        <w:t xml:space="preserve">s may contribute to particular opportunities, such as using infrastructure to deliver water to individual wetlands that would otherwise not be possible due to constraints. Also, there may be opportunities for Basin State governments to remove or modify constraints, which will improve the efficiency and/or effectiveness of environmental watering. </w:t>
      </w:r>
    </w:p>
    <w:p w:rsidR="00060C7A" w:rsidRPr="008D2B6B" w:rsidRDefault="00060C7A" w:rsidP="00060C7A">
      <w:pPr>
        <w:pStyle w:val="Caption"/>
        <w:spacing w:after="240"/>
        <w:rPr>
          <w:rFonts w:ascii="Century Gothic" w:hAnsi="Century Gothic"/>
        </w:rPr>
      </w:pPr>
      <w:r w:rsidRPr="002E1361">
        <w:rPr>
          <w:noProof/>
        </w:rPr>
        <w:drawing>
          <wp:inline distT="0" distB="0" distL="0" distR="0">
            <wp:extent cx="5836285" cy="3349973"/>
            <wp:effectExtent l="19050" t="0" r="0" b="0"/>
            <wp:docPr id="19" name="Picture 2" descr="A hydrograph figure showing the scope of demands that Commonwealth environmental water may contribute to in the Lower Murray–Darling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Murray and Lower Darling channel flows, small to moderate flows to the Lower Murray floodplain, infrastructure assisted delivery to fringing wetlands and end of system flows to the Coorong, Lower Lakes and Murray Mou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836285" cy="3349973"/>
                    </a:xfrm>
                    <a:prstGeom prst="rect">
                      <a:avLst/>
                    </a:prstGeom>
                    <a:noFill/>
                    <a:ln w="9525">
                      <a:noFill/>
                      <a:miter lim="800000"/>
                      <a:headEnd/>
                      <a:tailEnd/>
                    </a:ln>
                  </pic:spPr>
                </pic:pic>
              </a:graphicData>
            </a:graphic>
          </wp:inline>
        </w:drawing>
      </w:r>
      <w:r w:rsidRPr="008D2B6B">
        <w:rPr>
          <w:rFonts w:ascii="Century Gothic" w:hAnsi="Century Gothic"/>
        </w:rPr>
        <w:t xml:space="preserve">Figure </w:t>
      </w:r>
      <w:r w:rsidR="00B64803" w:rsidRPr="008D2B6B">
        <w:rPr>
          <w:rFonts w:ascii="Century Gothic" w:hAnsi="Century Gothic"/>
        </w:rPr>
        <w:fldChar w:fldCharType="begin"/>
      </w:r>
      <w:r w:rsidRPr="008D2B6B">
        <w:rPr>
          <w:rFonts w:ascii="Century Gothic" w:hAnsi="Century Gothic"/>
        </w:rPr>
        <w:instrText xml:space="preserve"> SEQ Figure \* ARABIC </w:instrText>
      </w:r>
      <w:r w:rsidR="00B64803" w:rsidRPr="008D2B6B">
        <w:rPr>
          <w:rFonts w:ascii="Century Gothic" w:hAnsi="Century Gothic"/>
        </w:rPr>
        <w:fldChar w:fldCharType="separate"/>
      </w:r>
      <w:r w:rsidR="00E66785">
        <w:rPr>
          <w:rFonts w:ascii="Century Gothic" w:hAnsi="Century Gothic"/>
          <w:noProof/>
        </w:rPr>
        <w:t>3</w:t>
      </w:r>
      <w:r w:rsidR="00B64803" w:rsidRPr="008D2B6B">
        <w:rPr>
          <w:rFonts w:ascii="Century Gothic" w:hAnsi="Century Gothic"/>
        </w:rPr>
        <w:fldChar w:fldCharType="end"/>
      </w:r>
      <w:r w:rsidRPr="008D2B6B">
        <w:rPr>
          <w:rFonts w:ascii="Century Gothic" w:hAnsi="Century Gothic"/>
        </w:rPr>
        <w:t xml:space="preserve">: </w:t>
      </w:r>
      <w:r w:rsidRPr="008D2B6B">
        <w:rPr>
          <w:rFonts w:ascii="Century Gothic" w:hAnsi="Century Gothic"/>
          <w:b w:val="0"/>
        </w:rPr>
        <w:t xml:space="preserve">Scope of demands that environmental water may contribute to in the </w:t>
      </w:r>
      <w:r w:rsidRPr="008D2B6B">
        <w:rPr>
          <w:rFonts w:ascii="Century Gothic" w:hAnsi="Century Gothic"/>
          <w:b w:val="0"/>
          <w:color w:val="000000" w:themeColor="text1"/>
        </w:rPr>
        <w:t xml:space="preserve">Lower </w:t>
      </w:r>
      <w:r>
        <w:rPr>
          <w:rFonts w:ascii="Century Gothic" w:hAnsi="Century Gothic"/>
          <w:b w:val="0"/>
          <w:color w:val="000000" w:themeColor="text1"/>
        </w:rPr>
        <w:t>Murray–Darling</w:t>
      </w:r>
      <w:r w:rsidRPr="008D2B6B">
        <w:rPr>
          <w:rFonts w:ascii="Century Gothic" w:hAnsi="Century Gothic"/>
          <w:b w:val="0"/>
          <w:color w:val="000000" w:themeColor="text1"/>
        </w:rPr>
        <w:t xml:space="preserve"> Region</w:t>
      </w:r>
      <w:r w:rsidRPr="008D2B6B">
        <w:rPr>
          <w:rFonts w:ascii="Century Gothic" w:hAnsi="Century Gothic"/>
          <w:color w:val="FF0000"/>
        </w:rPr>
        <w:t xml:space="preserve"> </w:t>
      </w:r>
      <w:r w:rsidRPr="008D2B6B">
        <w:rPr>
          <w:rFonts w:ascii="Century Gothic" w:hAnsi="Century Gothic"/>
          <w:b w:val="0"/>
        </w:rPr>
        <w:t>(MDBA 2013, Department of the Environment 2011 and unpublished)</w:t>
      </w:r>
    </w:p>
    <w:p w:rsidR="00060C7A" w:rsidRPr="0027713D" w:rsidRDefault="00060C7A" w:rsidP="00060C7A">
      <w:pPr>
        <w:rPr>
          <w:rFonts w:ascii="Century Gothic" w:hAnsi="Century Gothic"/>
          <w:sz w:val="20"/>
          <w:szCs w:val="20"/>
        </w:rPr>
      </w:pPr>
      <w:r w:rsidRPr="0027713D">
        <w:rPr>
          <w:rFonts w:ascii="Century Gothic" w:hAnsi="Century Gothic"/>
          <w:sz w:val="20"/>
          <w:szCs w:val="20"/>
        </w:rPr>
        <w:t xml:space="preserve">The delivery of environmental water in the </w:t>
      </w:r>
      <w:r w:rsidRPr="0027713D">
        <w:rPr>
          <w:rFonts w:ascii="Century Gothic" w:hAnsi="Century Gothic"/>
          <w:color w:val="000000" w:themeColor="text1"/>
          <w:sz w:val="20"/>
          <w:szCs w:val="20"/>
        </w:rPr>
        <w:t>Lower Murray</w:t>
      </w:r>
      <w:r>
        <w:rPr>
          <w:rFonts w:ascii="Century Gothic" w:hAnsi="Century Gothic"/>
          <w:color w:val="000000" w:themeColor="text1"/>
          <w:sz w:val="20"/>
          <w:szCs w:val="20"/>
        </w:rPr>
        <w:t>-</w:t>
      </w:r>
      <w:r w:rsidRPr="0027713D">
        <w:rPr>
          <w:rFonts w:ascii="Century Gothic" w:hAnsi="Century Gothic"/>
          <w:color w:val="000000" w:themeColor="text1"/>
          <w:sz w:val="20"/>
          <w:szCs w:val="20"/>
        </w:rPr>
        <w:t xml:space="preserve">Darling </w:t>
      </w:r>
      <w:r w:rsidRPr="0027713D">
        <w:rPr>
          <w:rFonts w:ascii="Century Gothic" w:hAnsi="Century Gothic"/>
          <w:sz w:val="20"/>
          <w:szCs w:val="20"/>
        </w:rPr>
        <w:t>is currently constrained by the release capacities from storages, channel capacities and system constraints. Relevant constraints to be considered include:</w:t>
      </w:r>
    </w:p>
    <w:p w:rsidR="00060C7A" w:rsidRPr="0027713D" w:rsidRDefault="00060C7A" w:rsidP="00060C7A">
      <w:pPr>
        <w:rPr>
          <w:rFonts w:ascii="Century Gothic" w:hAnsi="Century Gothic"/>
          <w:sz w:val="20"/>
          <w:szCs w:val="20"/>
        </w:rPr>
      </w:pPr>
    </w:p>
    <w:p w:rsidR="00060C7A" w:rsidRPr="0027713D" w:rsidRDefault="00060C7A" w:rsidP="00060C7A">
      <w:pPr>
        <w:pStyle w:val="ListParagraph"/>
        <w:numPr>
          <w:ilvl w:val="0"/>
          <w:numId w:val="24"/>
        </w:numPr>
        <w:spacing w:after="240"/>
        <w:ind w:left="357" w:hanging="357"/>
        <w:contextualSpacing w:val="0"/>
        <w:jc w:val="left"/>
        <w:rPr>
          <w:rFonts w:ascii="Century Gothic" w:hAnsi="Century Gothic"/>
        </w:rPr>
      </w:pPr>
      <w:r w:rsidRPr="0027713D">
        <w:rPr>
          <w:rFonts w:ascii="Century Gothic" w:hAnsi="Century Gothic"/>
        </w:rPr>
        <w:t>Menindee Lakes will be managed by New South Wales while</w:t>
      </w:r>
      <w:r>
        <w:rPr>
          <w:rFonts w:ascii="Century Gothic" w:hAnsi="Century Gothic"/>
        </w:rPr>
        <w:t xml:space="preserve"> storage levels remain below 480</w:t>
      </w:r>
      <w:r w:rsidRPr="0027713D">
        <w:rPr>
          <w:rFonts w:ascii="Century Gothic" w:hAnsi="Century Gothic"/>
        </w:rPr>
        <w:t xml:space="preserve"> GL. During this period stored water is used to supply essential stock and domestic water to local Menindee and lower Darling </w:t>
      </w:r>
      <w:r>
        <w:rPr>
          <w:rFonts w:ascii="Century Gothic" w:hAnsi="Century Gothic"/>
        </w:rPr>
        <w:t xml:space="preserve">River </w:t>
      </w:r>
      <w:r w:rsidRPr="0027713D">
        <w:rPr>
          <w:rFonts w:ascii="Century Gothic" w:hAnsi="Century Gothic"/>
        </w:rPr>
        <w:t>communities. Control over the lakes will revert to M</w:t>
      </w:r>
      <w:r>
        <w:rPr>
          <w:rFonts w:ascii="Century Gothic" w:hAnsi="Century Gothic"/>
        </w:rPr>
        <w:t>urray-Darling Basin Authority</w:t>
      </w:r>
      <w:r w:rsidRPr="0027713D">
        <w:rPr>
          <w:rFonts w:ascii="Century Gothic" w:hAnsi="Century Gothic"/>
        </w:rPr>
        <w:t xml:space="preserve"> once storage levels increase to above 640 </w:t>
      </w:r>
      <w:r>
        <w:rPr>
          <w:rFonts w:ascii="Century Gothic" w:hAnsi="Century Gothic"/>
        </w:rPr>
        <w:t>G</w:t>
      </w:r>
      <w:r w:rsidRPr="0027713D">
        <w:rPr>
          <w:rFonts w:ascii="Century Gothic" w:hAnsi="Century Gothic"/>
        </w:rPr>
        <w:t>L.</w:t>
      </w:r>
    </w:p>
    <w:p w:rsidR="00060C7A" w:rsidRPr="0027713D" w:rsidRDefault="00060C7A" w:rsidP="00060C7A">
      <w:pPr>
        <w:pStyle w:val="ListParagraph"/>
        <w:numPr>
          <w:ilvl w:val="0"/>
          <w:numId w:val="24"/>
        </w:numPr>
        <w:spacing w:after="240"/>
        <w:ind w:left="357" w:hanging="357"/>
        <w:contextualSpacing w:val="0"/>
        <w:jc w:val="left"/>
        <w:rPr>
          <w:rFonts w:ascii="Century Gothic" w:hAnsi="Century Gothic"/>
        </w:rPr>
      </w:pPr>
      <w:r w:rsidRPr="0027713D">
        <w:rPr>
          <w:rFonts w:ascii="Century Gothic" w:hAnsi="Century Gothic"/>
        </w:rPr>
        <w:t>Flows greater then 60 000 ML/day result in overbank inundation of floodplain throughout the lower River Murray, including the inundation of privately owned land and private infrastructure. The risk of impacting on public and private infrastructure through the use of environmental water requires further investigation prior to environmental water being used to target these higher flow rates.</w:t>
      </w:r>
      <w:r>
        <w:rPr>
          <w:rFonts w:ascii="Century Gothic" w:hAnsi="Century Gothic"/>
        </w:rPr>
        <w:t xml:space="preserve"> Flow rates of this magnitude or greater are </w:t>
      </w:r>
      <w:r w:rsidRPr="00B430E7">
        <w:rPr>
          <w:rFonts w:ascii="Century Gothic" w:hAnsi="Century Gothic"/>
          <w:u w:val="single"/>
        </w:rPr>
        <w:t>not</w:t>
      </w:r>
      <w:r>
        <w:rPr>
          <w:rFonts w:ascii="Century Gothic" w:hAnsi="Century Gothic"/>
        </w:rPr>
        <w:t xml:space="preserve"> within scope for environmental water use in 2015-16. </w:t>
      </w:r>
    </w:p>
    <w:p w:rsidR="00060C7A" w:rsidRPr="0027713D" w:rsidRDefault="00060C7A" w:rsidP="00060C7A">
      <w:pPr>
        <w:pStyle w:val="ListParagraph"/>
        <w:numPr>
          <w:ilvl w:val="0"/>
          <w:numId w:val="24"/>
        </w:numPr>
        <w:spacing w:after="240"/>
        <w:ind w:left="357" w:hanging="357"/>
        <w:contextualSpacing w:val="0"/>
        <w:jc w:val="left"/>
        <w:rPr>
          <w:rFonts w:ascii="Century Gothic" w:hAnsi="Century Gothic"/>
        </w:rPr>
      </w:pPr>
      <w:r>
        <w:rPr>
          <w:rFonts w:ascii="Century Gothic" w:hAnsi="Century Gothic"/>
        </w:rPr>
        <w:t>Operational and physical</w:t>
      </w:r>
      <w:r w:rsidRPr="0027713D">
        <w:rPr>
          <w:rFonts w:ascii="Century Gothic" w:hAnsi="Century Gothic"/>
        </w:rPr>
        <w:t xml:space="preserve"> con</w:t>
      </w:r>
      <w:r>
        <w:rPr>
          <w:rFonts w:ascii="Century Gothic" w:hAnsi="Century Gothic"/>
        </w:rPr>
        <w:t xml:space="preserve">straints in upstream catchment areas </w:t>
      </w:r>
      <w:r w:rsidRPr="0027713D">
        <w:rPr>
          <w:rFonts w:ascii="Century Gothic" w:hAnsi="Century Gothic"/>
        </w:rPr>
        <w:t xml:space="preserve">may potentially </w:t>
      </w:r>
      <w:r>
        <w:rPr>
          <w:rFonts w:ascii="Century Gothic" w:hAnsi="Century Gothic"/>
        </w:rPr>
        <w:t>limit</w:t>
      </w:r>
      <w:r w:rsidRPr="0027713D">
        <w:rPr>
          <w:rFonts w:ascii="Century Gothic" w:hAnsi="Century Gothic"/>
        </w:rPr>
        <w:t xml:space="preserve"> the delivery of environmental water in the lower River Murray. </w:t>
      </w:r>
      <w:r>
        <w:rPr>
          <w:rFonts w:ascii="Century Gothic" w:hAnsi="Century Gothic"/>
        </w:rPr>
        <w:t xml:space="preserve"> Environmental operations in the lower River Murray will need to remain flexible and complement the timing of upstream flows.</w:t>
      </w:r>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lastRenderedPageBreak/>
        <w:t xml:space="preserve">Further information about constraints in the Lower </w:t>
      </w:r>
      <w:r>
        <w:rPr>
          <w:rFonts w:ascii="Century Gothic" w:hAnsi="Century Gothic"/>
          <w:sz w:val="20"/>
          <w:szCs w:val="20"/>
        </w:rPr>
        <w:t>Murray–Darling</w:t>
      </w:r>
      <w:r w:rsidRPr="0027713D">
        <w:rPr>
          <w:rFonts w:ascii="Century Gothic" w:hAnsi="Century Gothic"/>
          <w:sz w:val="20"/>
          <w:szCs w:val="20"/>
        </w:rPr>
        <w:t xml:space="preserve"> Region is provided by the </w:t>
      </w:r>
      <w:r>
        <w:rPr>
          <w:rFonts w:ascii="Century Gothic" w:hAnsi="Century Gothic"/>
          <w:sz w:val="20"/>
          <w:szCs w:val="20"/>
        </w:rPr>
        <w:t>Murray–Darling</w:t>
      </w:r>
      <w:r w:rsidRPr="0027713D">
        <w:rPr>
          <w:rFonts w:ascii="Century Gothic" w:hAnsi="Century Gothic"/>
          <w:sz w:val="20"/>
          <w:szCs w:val="20"/>
        </w:rPr>
        <w:t xml:space="preserve"> Basin Authority, and can be found in the </w:t>
      </w:r>
      <w:r w:rsidRPr="0027713D">
        <w:rPr>
          <w:rFonts w:ascii="Century Gothic" w:hAnsi="Century Gothic"/>
          <w:i/>
          <w:sz w:val="20"/>
          <w:szCs w:val="20"/>
        </w:rPr>
        <w:t>Constraints Management Strategy 2013 to 2024</w:t>
      </w:r>
      <w:r w:rsidRPr="0027713D">
        <w:rPr>
          <w:rFonts w:ascii="Century Gothic" w:hAnsi="Century Gothic"/>
          <w:sz w:val="20"/>
          <w:szCs w:val="20"/>
        </w:rPr>
        <w:t xml:space="preserve"> (MDBA 2013). </w:t>
      </w:r>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t xml:space="preserve">Operational considerations such as delivery methods, opportunities, </w:t>
      </w:r>
      <w:r>
        <w:rPr>
          <w:rFonts w:ascii="Century Gothic" w:hAnsi="Century Gothic"/>
          <w:sz w:val="20"/>
          <w:szCs w:val="20"/>
        </w:rPr>
        <w:t xml:space="preserve">physical </w:t>
      </w:r>
      <w:r w:rsidRPr="0027713D">
        <w:rPr>
          <w:rFonts w:ascii="Century Gothic" w:hAnsi="Century Gothic"/>
          <w:sz w:val="20"/>
          <w:szCs w:val="20"/>
        </w:rPr>
        <w:t>constraints and risks will differ depending on inflow</w:t>
      </w:r>
      <w:r>
        <w:rPr>
          <w:rFonts w:ascii="Century Gothic" w:hAnsi="Century Gothic"/>
          <w:sz w:val="20"/>
          <w:szCs w:val="20"/>
        </w:rPr>
        <w:t>s</w:t>
      </w:r>
      <w:r w:rsidRPr="0027713D">
        <w:rPr>
          <w:rFonts w:ascii="Century Gothic" w:hAnsi="Century Gothic"/>
          <w:sz w:val="20"/>
          <w:szCs w:val="20"/>
        </w:rPr>
        <w:t xml:space="preserve"> and are </w:t>
      </w:r>
      <w:r w:rsidRPr="0027713D">
        <w:rPr>
          <w:rFonts w:ascii="Century Gothic" w:hAnsi="Century Gothic"/>
          <w:color w:val="000000" w:themeColor="text1"/>
          <w:sz w:val="20"/>
          <w:szCs w:val="20"/>
        </w:rPr>
        <w:t xml:space="preserve">summarised in Table </w:t>
      </w:r>
      <w:r>
        <w:rPr>
          <w:rFonts w:ascii="Century Gothic" w:hAnsi="Century Gothic"/>
          <w:color w:val="000000" w:themeColor="text1"/>
          <w:sz w:val="20"/>
          <w:szCs w:val="20"/>
        </w:rPr>
        <w:t>4</w:t>
      </w:r>
      <w:r w:rsidRPr="0027713D">
        <w:rPr>
          <w:rFonts w:ascii="Century Gothic" w:hAnsi="Century Gothic"/>
          <w:color w:val="000000" w:themeColor="text1"/>
          <w:sz w:val="20"/>
          <w:szCs w:val="20"/>
        </w:rPr>
        <w:t xml:space="preserve">. </w:t>
      </w:r>
      <w:r w:rsidRPr="0027713D">
        <w:rPr>
          <w:rFonts w:ascii="Century Gothic" w:hAnsi="Century Gothic" w:cs="Arial"/>
          <w:noProof/>
          <w:sz w:val="20"/>
          <w:szCs w:val="20"/>
        </w:rPr>
        <w:t xml:space="preserve">Constraints as they relate to specific watering </w:t>
      </w:r>
      <w:r>
        <w:rPr>
          <w:rFonts w:ascii="Century Gothic" w:hAnsi="Century Gothic" w:cs="Arial"/>
          <w:noProof/>
          <w:sz w:val="20"/>
          <w:szCs w:val="20"/>
        </w:rPr>
        <w:t>options</w:t>
      </w:r>
      <w:r w:rsidRPr="0027713D">
        <w:rPr>
          <w:rFonts w:ascii="Century Gothic" w:hAnsi="Century Gothic" w:cs="Arial"/>
          <w:noProof/>
          <w:sz w:val="20"/>
          <w:szCs w:val="20"/>
        </w:rPr>
        <w:t xml:space="preserve"> are described in the standard operating co</w:t>
      </w:r>
      <w:r>
        <w:rPr>
          <w:rFonts w:ascii="Century Gothic" w:hAnsi="Century Gothic" w:cs="Arial"/>
          <w:noProof/>
          <w:sz w:val="20"/>
          <w:szCs w:val="20"/>
        </w:rPr>
        <w:t>nsiderations listed in section 3</w:t>
      </w:r>
      <w:r w:rsidRPr="0027713D">
        <w:rPr>
          <w:rFonts w:ascii="Century Gothic" w:hAnsi="Century Gothic" w:cs="Arial"/>
          <w:noProof/>
          <w:sz w:val="20"/>
          <w:szCs w:val="20"/>
        </w:rPr>
        <w:t>.</w:t>
      </w:r>
      <w:r>
        <w:rPr>
          <w:rFonts w:ascii="Century Gothic" w:hAnsi="Century Gothic" w:cs="Arial"/>
          <w:noProof/>
          <w:sz w:val="20"/>
          <w:szCs w:val="20"/>
        </w:rPr>
        <w:t>6</w:t>
      </w:r>
      <w:r w:rsidRPr="0027713D">
        <w:rPr>
          <w:rFonts w:ascii="Century Gothic" w:hAnsi="Century Gothic" w:cs="Arial"/>
          <w:noProof/>
          <w:sz w:val="20"/>
          <w:szCs w:val="20"/>
        </w:rPr>
        <w:t xml:space="preserve"> below.</w:t>
      </w:r>
    </w:p>
    <w:p w:rsidR="00060C7A" w:rsidRPr="0027713D" w:rsidRDefault="00060C7A" w:rsidP="00060C7A">
      <w:pPr>
        <w:spacing w:after="120"/>
        <w:rPr>
          <w:rFonts w:ascii="Century Gothic" w:hAnsi="Century Gothic"/>
          <w:color w:val="FF0000"/>
          <w:sz w:val="20"/>
          <w:szCs w:val="20"/>
        </w:rPr>
      </w:pPr>
      <w:r w:rsidRPr="0027713D">
        <w:rPr>
          <w:rFonts w:ascii="Century Gothic" w:hAnsi="Century Gothic"/>
          <w:b/>
          <w:sz w:val="20"/>
          <w:szCs w:val="20"/>
        </w:rPr>
        <w:t xml:space="preserve">Table </w:t>
      </w:r>
      <w:r w:rsidR="00B64803" w:rsidRPr="0027713D">
        <w:rPr>
          <w:rFonts w:ascii="Century Gothic" w:hAnsi="Century Gothic"/>
          <w:b/>
          <w:sz w:val="20"/>
          <w:szCs w:val="20"/>
        </w:rPr>
        <w:fldChar w:fldCharType="begin"/>
      </w:r>
      <w:r w:rsidRPr="0027713D">
        <w:rPr>
          <w:rFonts w:ascii="Century Gothic" w:hAnsi="Century Gothic"/>
          <w:b/>
          <w:sz w:val="20"/>
          <w:szCs w:val="20"/>
        </w:rPr>
        <w:instrText xml:space="preserve"> SEQ Table \* ARABIC </w:instrText>
      </w:r>
      <w:r w:rsidR="00B64803" w:rsidRPr="0027713D">
        <w:rPr>
          <w:rFonts w:ascii="Century Gothic" w:hAnsi="Century Gothic"/>
          <w:b/>
          <w:sz w:val="20"/>
          <w:szCs w:val="20"/>
        </w:rPr>
        <w:fldChar w:fldCharType="separate"/>
      </w:r>
      <w:r w:rsidR="00E66785">
        <w:rPr>
          <w:rFonts w:ascii="Century Gothic" w:hAnsi="Century Gothic"/>
          <w:b/>
          <w:noProof/>
          <w:sz w:val="20"/>
          <w:szCs w:val="20"/>
        </w:rPr>
        <w:t>4</w:t>
      </w:r>
      <w:r w:rsidR="00B64803" w:rsidRPr="0027713D">
        <w:rPr>
          <w:rFonts w:ascii="Century Gothic" w:hAnsi="Century Gothic"/>
          <w:b/>
          <w:sz w:val="20"/>
          <w:szCs w:val="20"/>
        </w:rPr>
        <w:fldChar w:fldCharType="end"/>
      </w:r>
      <w:r w:rsidRPr="0027713D">
        <w:rPr>
          <w:rFonts w:ascii="Century Gothic" w:hAnsi="Century Gothic"/>
          <w:b/>
          <w:sz w:val="20"/>
          <w:szCs w:val="20"/>
        </w:rPr>
        <w:t>:</w:t>
      </w:r>
      <w:r w:rsidRPr="0027713D">
        <w:rPr>
          <w:rFonts w:ascii="Century Gothic" w:hAnsi="Century Gothic"/>
          <w:sz w:val="20"/>
          <w:szCs w:val="20"/>
        </w:rPr>
        <w:t xml:space="preserve"> Constraints on environmental watering for the </w:t>
      </w:r>
      <w:r w:rsidRPr="0027713D">
        <w:rPr>
          <w:rFonts w:ascii="Century Gothic" w:hAnsi="Century Gothic"/>
          <w:color w:val="000000" w:themeColor="text1"/>
          <w:sz w:val="20"/>
          <w:szCs w:val="20"/>
        </w:rPr>
        <w:t>Lower Murray</w:t>
      </w:r>
      <w:r>
        <w:rPr>
          <w:rFonts w:ascii="Century Gothic" w:hAnsi="Century Gothic"/>
          <w:color w:val="000000" w:themeColor="text1"/>
          <w:sz w:val="20"/>
          <w:szCs w:val="20"/>
        </w:rPr>
        <w:t>-</w:t>
      </w:r>
      <w:r w:rsidRPr="0027713D">
        <w:rPr>
          <w:rFonts w:ascii="Century Gothic" w:hAnsi="Century Gothic"/>
          <w:color w:val="000000" w:themeColor="text1"/>
          <w:sz w:val="20"/>
          <w:szCs w:val="20"/>
        </w:rPr>
        <w:t>Darling Region</w:t>
      </w:r>
      <w:r w:rsidRPr="0027713D">
        <w:rPr>
          <w:rFonts w:ascii="Century Gothic" w:hAnsi="Century Gothic"/>
          <w:sz w:val="20"/>
          <w:szCs w:val="20"/>
        </w:rPr>
        <w:t xml:space="preserve"> </w:t>
      </w:r>
    </w:p>
    <w:tbl>
      <w:tblPr>
        <w:tblStyle w:val="TableGrid1"/>
        <w:tblW w:w="5332" w:type="pct"/>
        <w:tblLook w:val="04A0"/>
      </w:tblPr>
      <w:tblGrid>
        <w:gridCol w:w="4361"/>
        <w:gridCol w:w="1134"/>
        <w:gridCol w:w="993"/>
        <w:gridCol w:w="1274"/>
        <w:gridCol w:w="1134"/>
        <w:gridCol w:w="1136"/>
      </w:tblGrid>
      <w:tr w:rsidR="00060C7A" w:rsidRPr="0027713D" w:rsidTr="0084737D">
        <w:trPr>
          <w:cantSplit/>
          <w:tblHeader/>
        </w:trPr>
        <w:tc>
          <w:tcPr>
            <w:tcW w:w="2174"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Inflows</w:t>
            </w:r>
          </w:p>
        </w:tc>
        <w:tc>
          <w:tcPr>
            <w:tcW w:w="565"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Very low</w:t>
            </w:r>
          </w:p>
        </w:tc>
        <w:tc>
          <w:tcPr>
            <w:tcW w:w="495"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Low</w:t>
            </w:r>
          </w:p>
        </w:tc>
        <w:tc>
          <w:tcPr>
            <w:tcW w:w="635"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Moderate</w:t>
            </w:r>
          </w:p>
        </w:tc>
        <w:tc>
          <w:tcPr>
            <w:tcW w:w="565"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High</w:t>
            </w:r>
          </w:p>
        </w:tc>
        <w:tc>
          <w:tcPr>
            <w:tcW w:w="566"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060C7A" w:rsidRPr="0027713D" w:rsidRDefault="00060C7A" w:rsidP="00EA1768">
            <w:pPr>
              <w:spacing w:before="60" w:after="60"/>
              <w:ind w:left="-24"/>
              <w:jc w:val="center"/>
              <w:rPr>
                <w:rFonts w:ascii="Century Gothic" w:hAnsi="Century Gothic" w:cstheme="minorHAnsi"/>
                <w:b/>
                <w:sz w:val="20"/>
                <w:szCs w:val="20"/>
              </w:rPr>
            </w:pPr>
            <w:r w:rsidRPr="0027713D">
              <w:rPr>
                <w:rFonts w:ascii="Century Gothic" w:hAnsi="Century Gothic" w:cstheme="minorHAnsi"/>
                <w:b/>
                <w:sz w:val="20"/>
                <w:szCs w:val="20"/>
              </w:rPr>
              <w:t>Very high</w:t>
            </w:r>
          </w:p>
        </w:tc>
      </w:tr>
      <w:tr w:rsidR="00060C7A" w:rsidRPr="0027713D" w:rsidTr="00EA1768">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60C7A" w:rsidRPr="0027713D" w:rsidRDefault="00060C7A" w:rsidP="00EA1768">
            <w:pPr>
              <w:spacing w:before="60" w:after="60"/>
              <w:ind w:left="-24"/>
              <w:rPr>
                <w:rFonts w:ascii="Century Gothic" w:hAnsi="Century Gothic" w:cstheme="minorHAnsi"/>
                <w:sz w:val="20"/>
                <w:szCs w:val="20"/>
              </w:rPr>
            </w:pPr>
            <w:r w:rsidRPr="0027713D">
              <w:rPr>
                <w:rFonts w:ascii="Century Gothic" w:hAnsi="Century Gothic" w:cstheme="minorHAnsi"/>
                <w:b/>
                <w:sz w:val="20"/>
                <w:szCs w:val="20"/>
              </w:rPr>
              <w:t xml:space="preserve">Constraints </w:t>
            </w:r>
          </w:p>
        </w:tc>
      </w:tr>
      <w:tr w:rsidR="00060C7A" w:rsidRPr="0027713D" w:rsidTr="00EA1768">
        <w:trPr>
          <w:cantSplit/>
        </w:trPr>
        <w:tc>
          <w:tcPr>
            <w:tcW w:w="2174" w:type="pct"/>
            <w:tcBorders>
              <w:top w:val="single" w:sz="4" w:space="0" w:color="auto"/>
              <w:left w:val="single" w:sz="4" w:space="0" w:color="auto"/>
              <w:bottom w:val="single" w:sz="4" w:space="0" w:color="auto"/>
              <w:right w:val="single" w:sz="4" w:space="0" w:color="auto"/>
            </w:tcBorders>
            <w:vAlign w:val="center"/>
            <w:hideMark/>
          </w:tcPr>
          <w:p w:rsidR="00060C7A" w:rsidRPr="0027713D" w:rsidRDefault="00060C7A" w:rsidP="00EA1768">
            <w:pPr>
              <w:spacing w:before="60" w:after="60"/>
              <w:ind w:left="-24"/>
              <w:rPr>
                <w:rFonts w:ascii="Century Gothic" w:hAnsi="Century Gothic" w:cstheme="minorHAnsi"/>
                <w:sz w:val="20"/>
                <w:szCs w:val="20"/>
              </w:rPr>
            </w:pPr>
            <w:r>
              <w:rPr>
                <w:rFonts w:ascii="Century Gothic" w:hAnsi="Century Gothic" w:cstheme="minorHAnsi"/>
                <w:sz w:val="20"/>
                <w:szCs w:val="20"/>
              </w:rPr>
              <w:t>Trade restrictions may limit the delivery of environmental water downstream of the Barmah Choke</w:t>
            </w:r>
            <w:r w:rsidRPr="0027713D">
              <w:rPr>
                <w:rFonts w:ascii="Century Gothic" w:hAnsi="Century Gothic" w:cstheme="minorHAnsi"/>
                <w:sz w:val="20"/>
                <w:szCs w:val="20"/>
              </w:rPr>
              <w:t xml:space="preserve"> </w:t>
            </w:r>
            <w:r>
              <w:rPr>
                <w:rFonts w:ascii="Century Gothic" w:hAnsi="Century Gothic" w:cstheme="minorHAnsi"/>
                <w:sz w:val="20"/>
                <w:szCs w:val="20"/>
              </w:rPr>
              <w:t xml:space="preserve">during periods of </w:t>
            </w:r>
            <w:r w:rsidRPr="0027713D">
              <w:rPr>
                <w:rFonts w:ascii="Century Gothic" w:hAnsi="Century Gothic" w:cstheme="minorHAnsi"/>
                <w:sz w:val="20"/>
                <w:szCs w:val="20"/>
              </w:rPr>
              <w:t>high consumptive/irrigation demands</w:t>
            </w:r>
          </w:p>
        </w:tc>
        <w:tc>
          <w:tcPr>
            <w:tcW w:w="565" w:type="pct"/>
            <w:tcBorders>
              <w:top w:val="single" w:sz="4" w:space="0" w:color="auto"/>
              <w:left w:val="single" w:sz="4" w:space="0" w:color="auto"/>
              <w:bottom w:val="single" w:sz="4" w:space="0" w:color="auto"/>
              <w:right w:val="nil"/>
            </w:tcBorders>
            <w:hideMark/>
          </w:tcPr>
          <w:p w:rsidR="00060C7A" w:rsidRPr="0027713D" w:rsidRDefault="00B64803" w:rsidP="00EA1768">
            <w:pPr>
              <w:spacing w:before="60" w:after="60"/>
              <w:ind w:left="-24"/>
              <w:rPr>
                <w:rFonts w:ascii="Century Gothic" w:hAnsi="Century Gothic" w:cstheme="minorHAnsi"/>
                <w:sz w:val="20"/>
                <w:szCs w:val="20"/>
              </w:rPr>
            </w:pPr>
            <w:r>
              <w:rPr>
                <w:rFonts w:ascii="Century Gothic" w:hAnsi="Century Gothic" w:cstheme="minorHAnsi"/>
                <w:noProof/>
                <w:sz w:val="20"/>
                <w:szCs w:val="20"/>
              </w:rPr>
              <w:pict>
                <v:rect id="_x0000_s1108" style="position:absolute;left:0;text-align:left;margin-left:-5.05pt;margin-top:27.25pt;width:278.95pt;height:13.75pt;z-index:251718656;mso-position-horizontal-relative:text;mso-position-vertical-relative:text" stroked="f">
                  <v:fill color2="#b2a1c7 [1943]" rotate="t" angle="-90" type="gradient"/>
                </v:rect>
              </w:pict>
            </w:r>
          </w:p>
        </w:tc>
        <w:tc>
          <w:tcPr>
            <w:tcW w:w="495" w:type="pct"/>
            <w:tcBorders>
              <w:top w:val="single" w:sz="4" w:space="0" w:color="auto"/>
              <w:left w:val="nil"/>
              <w:bottom w:val="single" w:sz="4" w:space="0" w:color="auto"/>
              <w:right w:val="nil"/>
            </w:tcBorders>
          </w:tcPr>
          <w:p w:rsidR="00060C7A" w:rsidRPr="0027713D" w:rsidRDefault="00060C7A" w:rsidP="00EA1768">
            <w:pPr>
              <w:spacing w:before="60" w:after="60"/>
              <w:ind w:left="-24"/>
              <w:rPr>
                <w:rFonts w:ascii="Century Gothic" w:hAnsi="Century Gothic" w:cstheme="minorHAnsi"/>
                <w:sz w:val="20"/>
                <w:szCs w:val="20"/>
              </w:rPr>
            </w:pPr>
          </w:p>
        </w:tc>
        <w:tc>
          <w:tcPr>
            <w:tcW w:w="635" w:type="pct"/>
            <w:tcBorders>
              <w:top w:val="single" w:sz="4" w:space="0" w:color="auto"/>
              <w:left w:val="nil"/>
              <w:bottom w:val="single" w:sz="4" w:space="0" w:color="auto"/>
              <w:right w:val="nil"/>
            </w:tcBorders>
          </w:tcPr>
          <w:p w:rsidR="00060C7A" w:rsidRPr="0027713D" w:rsidRDefault="00060C7A" w:rsidP="00EA1768">
            <w:pPr>
              <w:spacing w:before="60" w:after="60"/>
              <w:ind w:left="-24"/>
              <w:rPr>
                <w:rFonts w:ascii="Century Gothic" w:hAnsi="Century Gothic" w:cstheme="minorHAnsi"/>
                <w:sz w:val="20"/>
                <w:szCs w:val="20"/>
              </w:rPr>
            </w:pPr>
          </w:p>
        </w:tc>
        <w:tc>
          <w:tcPr>
            <w:tcW w:w="565" w:type="pct"/>
            <w:tcBorders>
              <w:top w:val="single" w:sz="4" w:space="0" w:color="auto"/>
              <w:left w:val="nil"/>
              <w:bottom w:val="single" w:sz="4" w:space="0" w:color="auto"/>
              <w:right w:val="nil"/>
            </w:tcBorders>
          </w:tcPr>
          <w:p w:rsidR="00060C7A" w:rsidRPr="0027713D" w:rsidRDefault="00060C7A" w:rsidP="00EA1768">
            <w:pPr>
              <w:spacing w:before="60" w:after="60"/>
              <w:ind w:left="-24"/>
              <w:rPr>
                <w:rFonts w:ascii="Century Gothic" w:hAnsi="Century Gothic" w:cstheme="minorHAnsi"/>
                <w:sz w:val="20"/>
                <w:szCs w:val="20"/>
              </w:rPr>
            </w:pPr>
          </w:p>
        </w:tc>
        <w:tc>
          <w:tcPr>
            <w:tcW w:w="566" w:type="pct"/>
            <w:tcBorders>
              <w:top w:val="single" w:sz="4" w:space="0" w:color="auto"/>
              <w:left w:val="nil"/>
              <w:bottom w:val="single" w:sz="4" w:space="0" w:color="auto"/>
              <w:right w:val="single" w:sz="4" w:space="0" w:color="auto"/>
            </w:tcBorders>
          </w:tcPr>
          <w:p w:rsidR="00060C7A" w:rsidRPr="0027713D" w:rsidRDefault="00060C7A" w:rsidP="00EA1768">
            <w:pPr>
              <w:spacing w:before="60" w:after="60"/>
              <w:ind w:left="-24"/>
              <w:rPr>
                <w:rFonts w:ascii="Century Gothic" w:hAnsi="Century Gothic" w:cstheme="minorHAnsi"/>
                <w:sz w:val="20"/>
                <w:szCs w:val="20"/>
              </w:rPr>
            </w:pPr>
          </w:p>
        </w:tc>
      </w:tr>
      <w:tr w:rsidR="00060C7A" w:rsidRPr="0027713D" w:rsidTr="00EA1768">
        <w:trPr>
          <w:cantSplit/>
        </w:trPr>
        <w:tc>
          <w:tcPr>
            <w:tcW w:w="2174" w:type="pct"/>
            <w:tcBorders>
              <w:top w:val="single" w:sz="4" w:space="0" w:color="auto"/>
              <w:left w:val="single" w:sz="4" w:space="0" w:color="auto"/>
              <w:bottom w:val="single" w:sz="4" w:space="0" w:color="auto"/>
              <w:right w:val="single" w:sz="4" w:space="0" w:color="auto"/>
            </w:tcBorders>
            <w:vAlign w:val="center"/>
            <w:hideMark/>
          </w:tcPr>
          <w:p w:rsidR="00060C7A" w:rsidRPr="0027713D" w:rsidRDefault="00060C7A" w:rsidP="00EA1768">
            <w:pPr>
              <w:spacing w:before="60" w:after="60"/>
              <w:ind w:left="-24"/>
              <w:rPr>
                <w:rFonts w:ascii="Century Gothic" w:hAnsi="Century Gothic" w:cstheme="minorHAnsi"/>
                <w:sz w:val="20"/>
                <w:szCs w:val="20"/>
              </w:rPr>
            </w:pPr>
            <w:r w:rsidRPr="0027713D">
              <w:rPr>
                <w:rFonts w:ascii="Century Gothic" w:hAnsi="Century Gothic"/>
                <w:sz w:val="20"/>
                <w:szCs w:val="20"/>
              </w:rPr>
              <w:t>Flow thresholds to avoid third-party impacts, such as inundation of private land or crossings, or to avoid adverse environmental impacts, or impacts to river works may constrain the delivery rate of environmental water, particularly targeted peak flow rates.</w:t>
            </w:r>
          </w:p>
        </w:tc>
        <w:tc>
          <w:tcPr>
            <w:tcW w:w="2826" w:type="pct"/>
            <w:gridSpan w:val="5"/>
            <w:tcBorders>
              <w:top w:val="single" w:sz="4" w:space="0" w:color="auto"/>
              <w:left w:val="single" w:sz="4" w:space="0" w:color="auto"/>
              <w:bottom w:val="single" w:sz="4" w:space="0" w:color="auto"/>
              <w:right w:val="single" w:sz="4" w:space="0" w:color="auto"/>
            </w:tcBorders>
            <w:hideMark/>
          </w:tcPr>
          <w:p w:rsidR="00060C7A" w:rsidRPr="0027713D" w:rsidRDefault="00060C7A" w:rsidP="00EA1768">
            <w:pPr>
              <w:spacing w:before="60" w:after="60"/>
              <w:ind w:left="-24"/>
              <w:rPr>
                <w:rFonts w:ascii="Century Gothic" w:hAnsi="Century Gothic" w:cstheme="minorHAnsi"/>
                <w:sz w:val="20"/>
                <w:szCs w:val="20"/>
              </w:rPr>
            </w:pPr>
          </w:p>
          <w:p w:rsidR="00060C7A" w:rsidRPr="0027713D" w:rsidRDefault="00B64803" w:rsidP="00EA1768">
            <w:pPr>
              <w:spacing w:before="60" w:after="60"/>
              <w:ind w:left="-24"/>
              <w:rPr>
                <w:rFonts w:ascii="Century Gothic" w:hAnsi="Century Gothic" w:cstheme="minorHAnsi"/>
                <w:sz w:val="20"/>
                <w:szCs w:val="20"/>
              </w:rPr>
            </w:pPr>
            <w:r>
              <w:rPr>
                <w:rFonts w:ascii="Century Gothic" w:hAnsi="Century Gothic" w:cstheme="minorHAnsi"/>
                <w:noProof/>
                <w:sz w:val="20"/>
                <w:szCs w:val="20"/>
              </w:rPr>
              <w:pict>
                <v:rect id="_x0000_s1109" style="position:absolute;left:0;text-align:left;margin-left:-5.05pt;margin-top:9.55pt;width:278.95pt;height:13.5pt;z-index:251719680" fillcolor="#b2a1c7 [1943]" stroked="f">
                  <v:fill color2="#548dd4 [1951]" rotate="t"/>
                </v:rect>
              </w:pict>
            </w:r>
          </w:p>
          <w:p w:rsidR="00060C7A" w:rsidRPr="0027713D" w:rsidRDefault="00060C7A" w:rsidP="00EA1768">
            <w:pPr>
              <w:spacing w:before="60" w:after="60"/>
              <w:ind w:left="-24"/>
              <w:rPr>
                <w:rFonts w:ascii="Century Gothic" w:hAnsi="Century Gothic" w:cstheme="minorHAnsi"/>
                <w:sz w:val="20"/>
                <w:szCs w:val="20"/>
              </w:rPr>
            </w:pPr>
          </w:p>
        </w:tc>
      </w:tr>
      <w:tr w:rsidR="00060C7A" w:rsidRPr="0027713D" w:rsidTr="00EA1768">
        <w:trPr>
          <w:cantSplit/>
        </w:trPr>
        <w:tc>
          <w:tcPr>
            <w:tcW w:w="2174" w:type="pct"/>
            <w:tcBorders>
              <w:top w:val="single" w:sz="4" w:space="0" w:color="auto"/>
              <w:left w:val="single" w:sz="4" w:space="0" w:color="auto"/>
              <w:bottom w:val="single" w:sz="4" w:space="0" w:color="auto"/>
              <w:right w:val="single" w:sz="4" w:space="0" w:color="auto"/>
            </w:tcBorders>
            <w:vAlign w:val="center"/>
            <w:hideMark/>
          </w:tcPr>
          <w:p w:rsidR="00060C7A" w:rsidRPr="0027713D" w:rsidRDefault="00060C7A" w:rsidP="00EA1768">
            <w:pPr>
              <w:spacing w:before="60" w:after="60"/>
              <w:ind w:left="-24"/>
              <w:rPr>
                <w:rFonts w:ascii="Century Gothic" w:hAnsi="Century Gothic" w:cstheme="minorHAnsi"/>
                <w:sz w:val="20"/>
                <w:szCs w:val="20"/>
              </w:rPr>
            </w:pPr>
            <w:r w:rsidRPr="0027713D">
              <w:rPr>
                <w:rFonts w:ascii="Century Gothic" w:hAnsi="Century Gothic"/>
                <w:sz w:val="20"/>
                <w:szCs w:val="20"/>
              </w:rPr>
              <w:t xml:space="preserve">Release capacities and available volumes within storages may </w:t>
            </w:r>
            <w:r>
              <w:rPr>
                <w:rFonts w:ascii="Century Gothic" w:hAnsi="Century Gothic"/>
                <w:sz w:val="20"/>
                <w:szCs w:val="20"/>
              </w:rPr>
              <w:t>limit the extent that river flows may be augmented using environmental water</w:t>
            </w:r>
            <w:r w:rsidRPr="0027713D">
              <w:rPr>
                <w:rFonts w:ascii="Century Gothic" w:hAnsi="Century Gothic"/>
                <w:sz w:val="20"/>
                <w:szCs w:val="20"/>
              </w:rPr>
              <w:t>.</w:t>
            </w:r>
          </w:p>
        </w:tc>
        <w:tc>
          <w:tcPr>
            <w:tcW w:w="2826" w:type="pct"/>
            <w:gridSpan w:val="5"/>
            <w:tcBorders>
              <w:top w:val="single" w:sz="4" w:space="0" w:color="auto"/>
              <w:left w:val="single" w:sz="4" w:space="0" w:color="auto"/>
              <w:bottom w:val="single" w:sz="4" w:space="0" w:color="auto"/>
              <w:right w:val="single" w:sz="4" w:space="0" w:color="auto"/>
            </w:tcBorders>
            <w:hideMark/>
          </w:tcPr>
          <w:p w:rsidR="00060C7A" w:rsidRPr="0027713D" w:rsidRDefault="00060C7A" w:rsidP="00EA1768">
            <w:pPr>
              <w:spacing w:before="60" w:after="60"/>
              <w:ind w:left="-24"/>
              <w:rPr>
                <w:rFonts w:ascii="Century Gothic" w:hAnsi="Century Gothic" w:cstheme="minorHAnsi"/>
                <w:sz w:val="20"/>
                <w:szCs w:val="20"/>
              </w:rPr>
            </w:pPr>
          </w:p>
          <w:p w:rsidR="00060C7A" w:rsidRPr="0027713D" w:rsidRDefault="00B64803" w:rsidP="00EA1768">
            <w:pPr>
              <w:spacing w:before="60" w:after="60"/>
              <w:ind w:left="-24"/>
              <w:rPr>
                <w:rFonts w:ascii="Century Gothic" w:hAnsi="Century Gothic" w:cstheme="minorHAnsi"/>
                <w:sz w:val="20"/>
                <w:szCs w:val="20"/>
              </w:rPr>
            </w:pPr>
            <w:r>
              <w:rPr>
                <w:rFonts w:ascii="Century Gothic" w:hAnsi="Century Gothic" w:cstheme="minorHAnsi"/>
                <w:noProof/>
                <w:sz w:val="20"/>
                <w:szCs w:val="20"/>
              </w:rPr>
              <w:pict>
                <v:rect id="_x0000_s1110" style="position:absolute;left:0;text-align:left;margin-left:-5.05pt;margin-top:.45pt;width:278.95pt;height:13.75pt;z-index:251720704;mso-position-horizontal-relative:text;mso-position-vertical-relative:text" stroked="f">
                  <v:fill color2="#b2a1c7 [1943]" rotate="t" angle="-90" type="gradient"/>
                </v:rect>
              </w:pict>
            </w:r>
          </w:p>
          <w:p w:rsidR="00060C7A" w:rsidRPr="0027713D" w:rsidRDefault="00060C7A" w:rsidP="00EA1768">
            <w:pPr>
              <w:spacing w:before="60" w:after="60"/>
              <w:ind w:left="-24"/>
              <w:rPr>
                <w:rFonts w:ascii="Century Gothic" w:hAnsi="Century Gothic" w:cstheme="minorHAnsi"/>
                <w:sz w:val="20"/>
                <w:szCs w:val="20"/>
              </w:rPr>
            </w:pPr>
          </w:p>
        </w:tc>
      </w:tr>
    </w:tbl>
    <w:p w:rsidR="00060C7A" w:rsidRPr="008D2B6B" w:rsidRDefault="00060C7A" w:rsidP="00060C7A">
      <w:pPr>
        <w:rPr>
          <w:rFonts w:ascii="Century Gothic" w:hAnsi="Century Gothic" w:cs="Arial"/>
          <w:noProof/>
        </w:rPr>
      </w:pPr>
    </w:p>
    <w:p w:rsidR="00060C7A" w:rsidRPr="0027713D" w:rsidRDefault="00060C7A" w:rsidP="00060C7A">
      <w:pPr>
        <w:spacing w:after="240"/>
        <w:rPr>
          <w:rFonts w:ascii="Century Gothic" w:hAnsi="Century Gothic" w:cs="Arial"/>
          <w:noProof/>
          <w:sz w:val="20"/>
          <w:szCs w:val="20"/>
        </w:rPr>
      </w:pPr>
      <w:r w:rsidRPr="0027713D">
        <w:rPr>
          <w:rFonts w:ascii="Century Gothic" w:hAnsi="Century Gothic" w:cs="Arial"/>
          <w:noProof/>
          <w:sz w:val="20"/>
          <w:szCs w:val="20"/>
        </w:rPr>
        <w:t xml:space="preserve">Based on the outcomes sought </w:t>
      </w:r>
      <w:r>
        <w:rPr>
          <w:rFonts w:ascii="Century Gothic" w:hAnsi="Century Gothic" w:cs="Arial"/>
          <w:noProof/>
          <w:sz w:val="20"/>
          <w:szCs w:val="20"/>
        </w:rPr>
        <w:t>in Section 3</w:t>
      </w:r>
      <w:r w:rsidRPr="0027713D">
        <w:rPr>
          <w:rFonts w:ascii="Century Gothic" w:hAnsi="Century Gothic" w:cs="Arial"/>
          <w:noProof/>
          <w:sz w:val="20"/>
          <w:szCs w:val="20"/>
        </w:rPr>
        <w:t xml:space="preserve">.3 and these delivery constraints, Table </w:t>
      </w:r>
      <w:r>
        <w:rPr>
          <w:rFonts w:ascii="Century Gothic" w:hAnsi="Century Gothic" w:cs="Arial"/>
          <w:noProof/>
          <w:sz w:val="20"/>
          <w:szCs w:val="20"/>
        </w:rPr>
        <w:t>5</w:t>
      </w:r>
      <w:r w:rsidRPr="0027713D">
        <w:rPr>
          <w:rFonts w:ascii="Century Gothic" w:hAnsi="Century Gothic" w:cs="Arial"/>
          <w:noProof/>
          <w:sz w:val="20"/>
          <w:szCs w:val="20"/>
        </w:rPr>
        <w:t xml:space="preserve"> identifies flows that are in scope for Commonwealth environmental watering. Some specific watering requirements (flow magnitude, duration, timing and frequency) have also been listed, drawn from existing resources. The watering requirements for the </w:t>
      </w:r>
      <w:r w:rsidRPr="0027713D">
        <w:rPr>
          <w:rFonts w:ascii="Century Gothic" w:hAnsi="Century Gothic"/>
          <w:color w:val="000000" w:themeColor="text1"/>
          <w:sz w:val="20"/>
          <w:szCs w:val="20"/>
        </w:rPr>
        <w:t>Lower Murray</w:t>
      </w:r>
      <w:r>
        <w:rPr>
          <w:rFonts w:ascii="Century Gothic" w:hAnsi="Century Gothic"/>
          <w:color w:val="000000" w:themeColor="text1"/>
          <w:sz w:val="20"/>
          <w:szCs w:val="20"/>
        </w:rPr>
        <w:t>-</w:t>
      </w:r>
      <w:r w:rsidRPr="0027713D">
        <w:rPr>
          <w:rFonts w:ascii="Century Gothic" w:hAnsi="Century Gothic"/>
          <w:color w:val="000000" w:themeColor="text1"/>
          <w:sz w:val="20"/>
          <w:szCs w:val="20"/>
        </w:rPr>
        <w:t>Darling Region</w:t>
      </w:r>
      <w:r w:rsidRPr="0027713D">
        <w:rPr>
          <w:rFonts w:ascii="Century Gothic" w:hAnsi="Century Gothic"/>
          <w:sz w:val="20"/>
          <w:szCs w:val="20"/>
        </w:rPr>
        <w:t xml:space="preserve"> </w:t>
      </w:r>
      <w:r w:rsidRPr="0027713D">
        <w:rPr>
          <w:rFonts w:ascii="Century Gothic" w:hAnsi="Century Gothic" w:cs="Arial"/>
          <w:noProof/>
          <w:sz w:val="20"/>
          <w:szCs w:val="20"/>
        </w:rPr>
        <w:t>will be developed in full by the state government as part of their long-term watering plan and will be reflected in future planning documents by the Office.</w:t>
      </w:r>
    </w:p>
    <w:p w:rsidR="00060C7A" w:rsidRPr="0027713D" w:rsidRDefault="00060C7A" w:rsidP="00060C7A">
      <w:pPr>
        <w:spacing w:after="120"/>
        <w:rPr>
          <w:rFonts w:ascii="Century Gothic" w:hAnsi="Century Gothic"/>
          <w:b/>
          <w:color w:val="FF0000"/>
          <w:sz w:val="20"/>
          <w:szCs w:val="20"/>
        </w:rPr>
      </w:pPr>
      <w:r w:rsidRPr="0027713D">
        <w:rPr>
          <w:rFonts w:ascii="Century Gothic" w:hAnsi="Century Gothic"/>
          <w:b/>
          <w:sz w:val="20"/>
          <w:szCs w:val="20"/>
        </w:rPr>
        <w:t xml:space="preserve">Table </w:t>
      </w:r>
      <w:r w:rsidR="00B64803" w:rsidRPr="0027713D">
        <w:rPr>
          <w:rFonts w:ascii="Century Gothic" w:hAnsi="Century Gothic"/>
          <w:b/>
          <w:sz w:val="20"/>
          <w:szCs w:val="20"/>
        </w:rPr>
        <w:fldChar w:fldCharType="begin"/>
      </w:r>
      <w:r w:rsidRPr="0027713D">
        <w:rPr>
          <w:rFonts w:ascii="Century Gothic" w:hAnsi="Century Gothic"/>
          <w:b/>
          <w:sz w:val="20"/>
          <w:szCs w:val="20"/>
        </w:rPr>
        <w:instrText xml:space="preserve"> SEQ Table \* ARABIC </w:instrText>
      </w:r>
      <w:r w:rsidR="00B64803" w:rsidRPr="0027713D">
        <w:rPr>
          <w:rFonts w:ascii="Century Gothic" w:hAnsi="Century Gothic"/>
          <w:b/>
          <w:sz w:val="20"/>
          <w:szCs w:val="20"/>
        </w:rPr>
        <w:fldChar w:fldCharType="separate"/>
      </w:r>
      <w:r w:rsidR="00E66785">
        <w:rPr>
          <w:rFonts w:ascii="Century Gothic" w:hAnsi="Century Gothic"/>
          <w:b/>
          <w:noProof/>
          <w:sz w:val="20"/>
          <w:szCs w:val="20"/>
        </w:rPr>
        <w:t>5</w:t>
      </w:r>
      <w:r w:rsidR="00B64803" w:rsidRPr="0027713D">
        <w:rPr>
          <w:rFonts w:ascii="Century Gothic" w:hAnsi="Century Gothic"/>
          <w:b/>
          <w:sz w:val="20"/>
          <w:szCs w:val="20"/>
        </w:rPr>
        <w:fldChar w:fldCharType="end"/>
      </w:r>
      <w:r w:rsidRPr="0027713D">
        <w:rPr>
          <w:rFonts w:ascii="Century Gothic" w:hAnsi="Century Gothic"/>
          <w:b/>
          <w:sz w:val="20"/>
          <w:szCs w:val="20"/>
        </w:rPr>
        <w:t xml:space="preserve">: </w:t>
      </w:r>
      <w:r w:rsidRPr="0027713D">
        <w:rPr>
          <w:rFonts w:ascii="Century Gothic" w:hAnsi="Century Gothic"/>
          <w:sz w:val="20"/>
          <w:szCs w:val="20"/>
        </w:rPr>
        <w:t xml:space="preserve">Long-term indicative elements of a flow regime in scope for Commonwealth environmental watering in the Lower </w:t>
      </w:r>
      <w:r>
        <w:rPr>
          <w:rFonts w:ascii="Century Gothic" w:hAnsi="Century Gothic"/>
          <w:sz w:val="20"/>
          <w:szCs w:val="20"/>
        </w:rPr>
        <w:t>Murray–Darling</w:t>
      </w:r>
      <w:r w:rsidRPr="0027713D">
        <w:rPr>
          <w:rFonts w:ascii="Century Gothic" w:hAnsi="Century Gothic"/>
          <w:color w:val="000000" w:themeColor="text1"/>
          <w:sz w:val="20"/>
          <w:szCs w:val="20"/>
        </w:rPr>
        <w:t xml:space="preserve"> Region</w:t>
      </w:r>
    </w:p>
    <w:tbl>
      <w:tblPr>
        <w:tblStyle w:val="TableGrid"/>
        <w:tblW w:w="10065" w:type="dxa"/>
        <w:tblInd w:w="-34" w:type="dxa"/>
        <w:tblLook w:val="04A0"/>
      </w:tblPr>
      <w:tblGrid>
        <w:gridCol w:w="1843"/>
        <w:gridCol w:w="5670"/>
        <w:gridCol w:w="2552"/>
      </w:tblGrid>
      <w:tr w:rsidR="00060C7A" w:rsidRPr="0027713D" w:rsidTr="0084737D">
        <w:trPr>
          <w:trHeight w:val="488"/>
        </w:trPr>
        <w:tc>
          <w:tcPr>
            <w:tcW w:w="1843" w:type="dxa"/>
            <w:shd w:val="clear" w:color="auto" w:fill="CCC0D9" w:themeFill="accent4" w:themeFillTint="66"/>
          </w:tcPr>
          <w:p w:rsidR="00060C7A" w:rsidRPr="0027713D" w:rsidRDefault="00060C7A" w:rsidP="00EA1768">
            <w:pPr>
              <w:pStyle w:val="ListBullet"/>
              <w:numPr>
                <w:ilvl w:val="0"/>
                <w:numId w:val="0"/>
              </w:numPr>
              <w:spacing w:before="40" w:after="40"/>
              <w:ind w:left="34"/>
              <w:contextualSpacing w:val="0"/>
              <w:jc w:val="left"/>
              <w:rPr>
                <w:rFonts w:ascii="Century Gothic" w:hAnsi="Century Gothic"/>
                <w:b/>
              </w:rPr>
            </w:pPr>
            <w:r w:rsidRPr="0027713D">
              <w:rPr>
                <w:rFonts w:ascii="Century Gothic" w:hAnsi="Century Gothic"/>
                <w:b/>
              </w:rPr>
              <w:t>Environmental asset</w:t>
            </w:r>
          </w:p>
        </w:tc>
        <w:tc>
          <w:tcPr>
            <w:tcW w:w="5670" w:type="dxa"/>
            <w:shd w:val="clear" w:color="auto" w:fill="CCC0D9" w:themeFill="accent4" w:themeFillTint="66"/>
          </w:tcPr>
          <w:p w:rsidR="00060C7A" w:rsidRPr="0027713D" w:rsidRDefault="00060C7A" w:rsidP="00EA1768">
            <w:pPr>
              <w:pStyle w:val="ListBullet"/>
              <w:numPr>
                <w:ilvl w:val="0"/>
                <w:numId w:val="0"/>
              </w:numPr>
              <w:spacing w:before="40" w:after="40"/>
              <w:contextualSpacing w:val="0"/>
              <w:rPr>
                <w:rFonts w:ascii="Century Gothic" w:hAnsi="Century Gothic"/>
                <w:b/>
              </w:rPr>
            </w:pPr>
            <w:r w:rsidRPr="0027713D">
              <w:rPr>
                <w:rFonts w:ascii="Century Gothic" w:hAnsi="Century Gothic"/>
                <w:b/>
              </w:rPr>
              <w:t xml:space="preserve">Indicative demands / </w:t>
            </w:r>
            <w:r>
              <w:rPr>
                <w:rFonts w:ascii="Century Gothic" w:hAnsi="Century Gothic"/>
                <w:b/>
              </w:rPr>
              <w:t>action</w:t>
            </w:r>
            <w:r w:rsidRPr="0027713D">
              <w:rPr>
                <w:rFonts w:ascii="Century Gothic" w:hAnsi="Century Gothic"/>
                <w:b/>
              </w:rPr>
              <w:t>s</w:t>
            </w:r>
          </w:p>
        </w:tc>
        <w:tc>
          <w:tcPr>
            <w:tcW w:w="2552" w:type="dxa"/>
            <w:shd w:val="clear" w:color="auto" w:fill="CCC0D9" w:themeFill="accent4" w:themeFillTint="66"/>
          </w:tcPr>
          <w:p w:rsidR="00060C7A" w:rsidRPr="0027713D" w:rsidRDefault="00060C7A" w:rsidP="00EA1768">
            <w:pPr>
              <w:pStyle w:val="ListBullet"/>
              <w:numPr>
                <w:ilvl w:val="0"/>
                <w:numId w:val="0"/>
              </w:numPr>
              <w:spacing w:before="40" w:after="40"/>
              <w:contextualSpacing w:val="0"/>
              <w:jc w:val="left"/>
              <w:rPr>
                <w:rFonts w:ascii="Century Gothic" w:hAnsi="Century Gothic"/>
                <w:b/>
              </w:rPr>
            </w:pPr>
            <w:r w:rsidRPr="0027713D">
              <w:rPr>
                <w:rFonts w:ascii="Century Gothic" w:hAnsi="Century Gothic"/>
                <w:b/>
              </w:rPr>
              <w:t>Frequency (Maximum dry interval)</w:t>
            </w:r>
          </w:p>
        </w:tc>
      </w:tr>
      <w:tr w:rsidR="00060C7A" w:rsidRPr="0027713D" w:rsidTr="00EA1768">
        <w:tc>
          <w:tcPr>
            <w:tcW w:w="1843"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Lower Darling River</w:t>
            </w:r>
          </w:p>
        </w:tc>
        <w:tc>
          <w:tcPr>
            <w:tcW w:w="5670"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Small to moderat</w:t>
            </w:r>
            <w:r>
              <w:rPr>
                <w:rFonts w:ascii="Century Gothic" w:hAnsi="Century Gothic" w:cs="Times New Roman"/>
                <w:sz w:val="20"/>
                <w:szCs w:val="20"/>
                <w:lang w:eastAsia="en-AU"/>
              </w:rPr>
              <w:t>e river flow (7 </w:t>
            </w:r>
            <w:r w:rsidRPr="0027713D">
              <w:rPr>
                <w:rFonts w:ascii="Century Gothic" w:hAnsi="Century Gothic" w:cs="Times New Roman"/>
                <w:sz w:val="20"/>
                <w:szCs w:val="20"/>
                <w:lang w:eastAsia="en-AU"/>
              </w:rPr>
              <w:t>000 ML/d</w:t>
            </w:r>
            <w:r>
              <w:rPr>
                <w:rFonts w:ascii="Century Gothic" w:hAnsi="Century Gothic" w:cs="Times New Roman"/>
                <w:sz w:val="20"/>
                <w:szCs w:val="20"/>
                <w:lang w:eastAsia="en-AU"/>
              </w:rPr>
              <w:t>ay</w:t>
            </w:r>
            <w:r w:rsidRPr="0027713D">
              <w:rPr>
                <w:rFonts w:ascii="Century Gothic" w:hAnsi="Century Gothic" w:cs="Times New Roman"/>
                <w:sz w:val="20"/>
                <w:szCs w:val="20"/>
                <w:lang w:eastAsia="en-AU"/>
              </w:rPr>
              <w:t xml:space="preserve"> @ Weir 32 for 10 days in summer)</w:t>
            </w:r>
          </w:p>
        </w:tc>
        <w:tc>
          <w:tcPr>
            <w:tcW w:w="2552" w:type="dxa"/>
          </w:tcPr>
          <w:p w:rsidR="00060C7A" w:rsidRPr="00D33FD3" w:rsidRDefault="00060C7A" w:rsidP="00EA1768">
            <w:pPr>
              <w:spacing w:before="40" w:after="40"/>
              <w:rPr>
                <w:rFonts w:ascii="Century Gothic" w:hAnsi="Century Gothic" w:cs="Times New Roman"/>
                <w:sz w:val="20"/>
                <w:szCs w:val="20"/>
                <w:lang w:eastAsia="en-AU"/>
              </w:rPr>
            </w:pPr>
            <w:r w:rsidRPr="00D33FD3">
              <w:rPr>
                <w:rFonts w:ascii="Century Gothic" w:hAnsi="Century Gothic" w:cs="Times New Roman"/>
                <w:sz w:val="20"/>
                <w:szCs w:val="20"/>
                <w:lang w:eastAsia="en-AU"/>
              </w:rPr>
              <w:t>1-2 in 5 years (max interval unknown)</w:t>
            </w:r>
          </w:p>
        </w:tc>
      </w:tr>
      <w:tr w:rsidR="00060C7A" w:rsidRPr="0027713D" w:rsidTr="00EA1768">
        <w:tc>
          <w:tcPr>
            <w:tcW w:w="1843"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Great Darling Anabranch</w:t>
            </w:r>
          </w:p>
        </w:tc>
        <w:tc>
          <w:tcPr>
            <w:tcW w:w="5670" w:type="dxa"/>
          </w:tcPr>
          <w:p w:rsidR="00060C7A" w:rsidRPr="0027713D" w:rsidRDefault="00060C7A" w:rsidP="00EA1768">
            <w:pPr>
              <w:spacing w:before="40" w:after="40"/>
              <w:rPr>
                <w:rFonts w:ascii="Century Gothic" w:hAnsi="Century Gothic" w:cs="Times New Roman"/>
                <w:sz w:val="20"/>
                <w:szCs w:val="20"/>
                <w:lang w:eastAsia="en-AU"/>
              </w:rPr>
            </w:pPr>
            <w:r>
              <w:rPr>
                <w:rFonts w:ascii="Century Gothic" w:hAnsi="Century Gothic" w:cs="Times New Roman"/>
                <w:sz w:val="20"/>
                <w:szCs w:val="20"/>
                <w:lang w:eastAsia="en-AU"/>
              </w:rPr>
              <w:t>1 500-2 </w:t>
            </w:r>
            <w:r w:rsidRPr="0027713D">
              <w:rPr>
                <w:rFonts w:ascii="Century Gothic" w:hAnsi="Century Gothic" w:cs="Times New Roman"/>
                <w:sz w:val="20"/>
                <w:szCs w:val="20"/>
                <w:lang w:eastAsia="en-AU"/>
              </w:rPr>
              <w:t>000 ML/d</w:t>
            </w:r>
            <w:r>
              <w:rPr>
                <w:rFonts w:ascii="Century Gothic" w:hAnsi="Century Gothic" w:cs="Times New Roman"/>
                <w:sz w:val="20"/>
                <w:szCs w:val="20"/>
                <w:lang w:eastAsia="en-AU"/>
              </w:rPr>
              <w:t>ay</w:t>
            </w:r>
            <w:r w:rsidRPr="0027713D">
              <w:rPr>
                <w:rFonts w:ascii="Century Gothic" w:hAnsi="Century Gothic" w:cs="Times New Roman"/>
                <w:sz w:val="20"/>
                <w:szCs w:val="20"/>
                <w:lang w:eastAsia="en-AU"/>
              </w:rPr>
              <w:t xml:space="preserve"> from Menindee Lakes for 30-45 days</w:t>
            </w:r>
          </w:p>
        </w:tc>
        <w:tc>
          <w:tcPr>
            <w:tcW w:w="2552" w:type="dxa"/>
          </w:tcPr>
          <w:p w:rsidR="00060C7A" w:rsidRPr="00D33FD3" w:rsidRDefault="00060C7A" w:rsidP="00EA1768">
            <w:pPr>
              <w:spacing w:before="40" w:after="40"/>
              <w:rPr>
                <w:rFonts w:ascii="Century Gothic" w:hAnsi="Century Gothic" w:cs="Times New Roman"/>
                <w:sz w:val="20"/>
                <w:szCs w:val="20"/>
                <w:lang w:eastAsia="en-AU"/>
              </w:rPr>
            </w:pPr>
            <w:r w:rsidRPr="00D33FD3">
              <w:rPr>
                <w:rFonts w:ascii="Century Gothic" w:hAnsi="Century Gothic" w:cs="Times New Roman"/>
                <w:sz w:val="20"/>
                <w:szCs w:val="20"/>
                <w:lang w:eastAsia="en-AU"/>
              </w:rPr>
              <w:t>1 in 2 years (max interval unknown)</w:t>
            </w:r>
          </w:p>
        </w:tc>
      </w:tr>
      <w:tr w:rsidR="00060C7A" w:rsidRPr="0027713D" w:rsidTr="00EA1768">
        <w:trPr>
          <w:trHeight w:val="489"/>
        </w:trPr>
        <w:tc>
          <w:tcPr>
            <w:tcW w:w="1843" w:type="dxa"/>
            <w:vMerge w:val="restart"/>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River Murray from Euston to Lower Lakes</w:t>
            </w:r>
          </w:p>
        </w:tc>
        <w:tc>
          <w:tcPr>
            <w:tcW w:w="5670"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River flow of at least 10</w:t>
            </w:r>
            <w:r>
              <w:rPr>
                <w:rFonts w:ascii="Century Gothic" w:hAnsi="Century Gothic" w:cs="Times New Roman"/>
                <w:sz w:val="20"/>
                <w:szCs w:val="20"/>
                <w:lang w:eastAsia="en-AU"/>
              </w:rPr>
              <w:t> </w:t>
            </w:r>
            <w:r w:rsidRPr="0027713D">
              <w:rPr>
                <w:rFonts w:ascii="Century Gothic" w:hAnsi="Century Gothic" w:cs="Times New Roman"/>
                <w:sz w:val="20"/>
                <w:szCs w:val="20"/>
                <w:lang w:eastAsia="en-AU"/>
              </w:rPr>
              <w:t>000 ML/day @ SA border for up to 60 days in spring/summer</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9 in 10 years (2 years)</w:t>
            </w:r>
          </w:p>
        </w:tc>
      </w:tr>
      <w:tr w:rsidR="00060C7A" w:rsidRPr="0027713D" w:rsidTr="00EA1768">
        <w:trPr>
          <w:trHeight w:val="136"/>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River flow of 15</w:t>
            </w:r>
            <w:r>
              <w:rPr>
                <w:rFonts w:ascii="Century Gothic" w:hAnsi="Century Gothic" w:cs="Times New Roman"/>
                <w:sz w:val="20"/>
                <w:szCs w:val="20"/>
                <w:lang w:eastAsia="en-AU"/>
              </w:rPr>
              <w:t> 000-25 </w:t>
            </w:r>
            <w:r w:rsidRPr="0027713D">
              <w:rPr>
                <w:rFonts w:ascii="Century Gothic" w:hAnsi="Century Gothic" w:cs="Times New Roman"/>
                <w:sz w:val="20"/>
                <w:szCs w:val="20"/>
                <w:lang w:eastAsia="en-AU"/>
              </w:rPr>
              <w:t>000 ML/day @ SA border for up to 90 days in spring/summer</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2  in 3 years (2 years)</w:t>
            </w:r>
          </w:p>
        </w:tc>
      </w:tr>
      <w:tr w:rsidR="00060C7A" w:rsidRPr="0027713D" w:rsidTr="00EA1768">
        <w:trPr>
          <w:trHeight w:val="487"/>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River flow of 25</w:t>
            </w:r>
            <w:r>
              <w:rPr>
                <w:rFonts w:ascii="Century Gothic" w:hAnsi="Century Gothic" w:cs="Times New Roman"/>
                <w:sz w:val="20"/>
                <w:szCs w:val="20"/>
                <w:lang w:eastAsia="en-AU"/>
              </w:rPr>
              <w:t> 000-35 </w:t>
            </w:r>
            <w:r w:rsidRPr="0027713D">
              <w:rPr>
                <w:rFonts w:ascii="Century Gothic" w:hAnsi="Century Gothic" w:cs="Times New Roman"/>
                <w:sz w:val="20"/>
                <w:szCs w:val="20"/>
                <w:lang w:eastAsia="en-AU"/>
              </w:rPr>
              <w:t>000 ML/day @ SA border for up to 60 days in spring/summer</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1 in 2 years (3 years)</w:t>
            </w:r>
          </w:p>
        </w:tc>
      </w:tr>
      <w:tr w:rsidR="00060C7A" w:rsidRPr="0027713D" w:rsidTr="00EA1768">
        <w:trPr>
          <w:trHeight w:val="240"/>
        </w:trPr>
        <w:tc>
          <w:tcPr>
            <w:tcW w:w="1843" w:type="dxa"/>
            <w:vMerge w:val="restart"/>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Hattah Lakes</w:t>
            </w: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Small </w:t>
            </w:r>
            <w:r>
              <w:rPr>
                <w:rFonts w:ascii="Century Gothic" w:hAnsi="Century Gothic"/>
              </w:rPr>
              <w:t>action</w:t>
            </w:r>
            <w:r w:rsidRPr="0027713D">
              <w:rPr>
                <w:rFonts w:ascii="Century Gothic" w:hAnsi="Century Gothic"/>
              </w:rPr>
              <w:t xml:space="preserve"> targeting temporary wetlands (inundation to 42-43 m A</w:t>
            </w:r>
            <w:r>
              <w:rPr>
                <w:rFonts w:ascii="Century Gothic" w:hAnsi="Century Gothic"/>
              </w:rPr>
              <w:t>HD in winter/spring) - up to 22 </w:t>
            </w:r>
            <w:r w:rsidRPr="0027713D">
              <w:rPr>
                <w:rFonts w:ascii="Century Gothic" w:hAnsi="Century Gothic"/>
              </w:rPr>
              <w:t>000 ML via infrastructure, equivalent to natural event of 40</w:t>
            </w:r>
            <w:r>
              <w:rPr>
                <w:rFonts w:ascii="Century Gothic" w:hAnsi="Century Gothic"/>
              </w:rPr>
              <w:t> 000-50 </w:t>
            </w:r>
            <w:r w:rsidRPr="0027713D">
              <w:rPr>
                <w:rFonts w:ascii="Century Gothic" w:hAnsi="Century Gothic"/>
              </w:rPr>
              <w:t>000 ML/d</w:t>
            </w:r>
            <w:r>
              <w:rPr>
                <w:rFonts w:ascii="Century Gothic" w:hAnsi="Century Gothic"/>
              </w:rPr>
              <w:t>ay</w:t>
            </w:r>
            <w:r w:rsidRPr="0027713D">
              <w:rPr>
                <w:rFonts w:ascii="Century Gothic" w:hAnsi="Century Gothic"/>
              </w:rPr>
              <w:t xml:space="preserve"> at Euston for 26-60 days</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1 in 2-3 years (4 years)</w:t>
            </w:r>
          </w:p>
        </w:tc>
      </w:tr>
      <w:tr w:rsidR="00060C7A" w:rsidRPr="0027713D" w:rsidTr="00EA1768">
        <w:trPr>
          <w:trHeight w:val="240"/>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Moderate </w:t>
            </w:r>
            <w:r>
              <w:rPr>
                <w:rFonts w:ascii="Century Gothic" w:hAnsi="Century Gothic"/>
              </w:rPr>
              <w:t>action</w:t>
            </w:r>
            <w:r w:rsidRPr="0027713D">
              <w:rPr>
                <w:rFonts w:ascii="Century Gothic" w:hAnsi="Century Gothic"/>
              </w:rPr>
              <w:t xml:space="preserve"> targeting wetlands and fringing river red gums (inundation to 43.5 m AHD for 90 da</w:t>
            </w:r>
            <w:r>
              <w:rPr>
                <w:rFonts w:ascii="Century Gothic" w:hAnsi="Century Gothic"/>
              </w:rPr>
              <w:t xml:space="preserve">ys in </w:t>
            </w:r>
            <w:r>
              <w:rPr>
                <w:rFonts w:ascii="Century Gothic" w:hAnsi="Century Gothic"/>
              </w:rPr>
              <w:lastRenderedPageBreak/>
              <w:t>winter/spring) – up to 40 </w:t>
            </w:r>
            <w:r w:rsidRPr="0027713D">
              <w:rPr>
                <w:rFonts w:ascii="Century Gothic" w:hAnsi="Century Gothic"/>
              </w:rPr>
              <w:t>000 ML via infrastructure, eq</w:t>
            </w:r>
            <w:r>
              <w:rPr>
                <w:rFonts w:ascii="Century Gothic" w:hAnsi="Century Gothic"/>
              </w:rPr>
              <w:t>uivalent to natural event of 85 </w:t>
            </w:r>
            <w:r w:rsidRPr="0027713D">
              <w:rPr>
                <w:rFonts w:ascii="Century Gothic" w:hAnsi="Century Gothic"/>
              </w:rPr>
              <w:t>000 ML/d</w:t>
            </w:r>
            <w:r>
              <w:rPr>
                <w:rFonts w:ascii="Century Gothic" w:hAnsi="Century Gothic"/>
              </w:rPr>
              <w:t>ay</w:t>
            </w:r>
            <w:r w:rsidRPr="0027713D">
              <w:rPr>
                <w:rFonts w:ascii="Century Gothic" w:hAnsi="Century Gothic"/>
              </w:rPr>
              <w:t xml:space="preserve"> at Euston for 7 - 30 days.</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lastRenderedPageBreak/>
              <w:t>1 in 3 years (7 years)</w:t>
            </w:r>
          </w:p>
        </w:tc>
      </w:tr>
      <w:tr w:rsidR="00060C7A" w:rsidRPr="0027713D" w:rsidTr="00EA1768">
        <w:trPr>
          <w:trHeight w:val="240"/>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Large </w:t>
            </w:r>
            <w:r>
              <w:rPr>
                <w:rFonts w:ascii="Century Gothic" w:hAnsi="Century Gothic"/>
              </w:rPr>
              <w:t>action</w:t>
            </w:r>
            <w:r w:rsidRPr="0027713D">
              <w:rPr>
                <w:rFonts w:ascii="Century Gothic" w:hAnsi="Century Gothic"/>
              </w:rPr>
              <w:t xml:space="preserve"> targeting wetlands and river red gum/black box woodlands on floodplain (inundation to </w:t>
            </w:r>
            <w:r>
              <w:rPr>
                <w:rFonts w:ascii="Century Gothic" w:hAnsi="Century Gothic"/>
              </w:rPr>
              <w:t>45 m AHD for 90 days), up to120 </w:t>
            </w:r>
            <w:r w:rsidRPr="0027713D">
              <w:rPr>
                <w:rFonts w:ascii="Century Gothic" w:hAnsi="Century Gothic"/>
              </w:rPr>
              <w:t>000 ML via infrastructure - equ</w:t>
            </w:r>
            <w:r>
              <w:rPr>
                <w:rFonts w:ascii="Century Gothic" w:hAnsi="Century Gothic"/>
              </w:rPr>
              <w:t>ivalent to natural event of 150 </w:t>
            </w:r>
            <w:r w:rsidRPr="0027713D">
              <w:rPr>
                <w:rFonts w:ascii="Century Gothic" w:hAnsi="Century Gothic"/>
              </w:rPr>
              <w:t>000 ML/d</w:t>
            </w:r>
            <w:r>
              <w:rPr>
                <w:rFonts w:ascii="Century Gothic" w:hAnsi="Century Gothic"/>
              </w:rPr>
              <w:t>ay</w:t>
            </w:r>
            <w:r w:rsidRPr="0027713D">
              <w:rPr>
                <w:rFonts w:ascii="Century Gothic" w:hAnsi="Century Gothic"/>
              </w:rPr>
              <w:t xml:space="preserve"> @ Euston for 7 days anytime in the year</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in 8 years (12 years)</w:t>
            </w:r>
          </w:p>
        </w:tc>
      </w:tr>
      <w:tr w:rsidR="00060C7A" w:rsidRPr="0027713D" w:rsidTr="00EA1768">
        <w:trPr>
          <w:trHeight w:val="609"/>
        </w:trPr>
        <w:tc>
          <w:tcPr>
            <w:tcW w:w="1843" w:type="dxa"/>
            <w:vMerge w:val="restart"/>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Floodplain and Wetlands from Euston to South Australian border</w:t>
            </w: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Pr>
                <w:rFonts w:ascii="Century Gothic" w:hAnsi="Century Gothic"/>
              </w:rPr>
              <w:t>30 </w:t>
            </w:r>
            <w:r w:rsidRPr="0027713D">
              <w:rPr>
                <w:rFonts w:ascii="Century Gothic" w:hAnsi="Century Gothic"/>
              </w:rPr>
              <w:t>000 ML/d</w:t>
            </w:r>
            <w:r>
              <w:rPr>
                <w:rFonts w:ascii="Century Gothic" w:hAnsi="Century Gothic"/>
              </w:rPr>
              <w:t>ay</w:t>
            </w:r>
            <w:r w:rsidRPr="0027713D">
              <w:rPr>
                <w:rFonts w:ascii="Century Gothic" w:hAnsi="Century Gothic"/>
              </w:rPr>
              <w:t xml:space="preserve"> @ Lock 8 for 30-60 days targeting low lying wetlands and anabranches, or p</w:t>
            </w:r>
            <w:r>
              <w:rPr>
                <w:rFonts w:ascii="Century Gothic" w:hAnsi="Century Gothic"/>
              </w:rPr>
              <w:t>riority areas</w:t>
            </w:r>
            <w:r w:rsidRPr="0027713D">
              <w:rPr>
                <w:rFonts w:ascii="Century Gothic" w:hAnsi="Century Gothic"/>
              </w:rPr>
              <w:t xml:space="preserve"> via infrastructure</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2 in 5 years (4 years)</w:t>
            </w:r>
          </w:p>
        </w:tc>
      </w:tr>
      <w:tr w:rsidR="00060C7A" w:rsidRPr="0027713D" w:rsidTr="00EA1768">
        <w:trPr>
          <w:trHeight w:val="607"/>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50</w:t>
            </w:r>
            <w:r>
              <w:rPr>
                <w:rFonts w:ascii="Century Gothic" w:hAnsi="Century Gothic"/>
              </w:rPr>
              <w:t> 000-60 </w:t>
            </w:r>
            <w:r w:rsidRPr="0027713D">
              <w:rPr>
                <w:rFonts w:ascii="Century Gothic" w:hAnsi="Century Gothic"/>
              </w:rPr>
              <w:t>000 ML/d</w:t>
            </w:r>
            <w:r>
              <w:rPr>
                <w:rFonts w:ascii="Century Gothic" w:hAnsi="Century Gothic"/>
              </w:rPr>
              <w:t>ay</w:t>
            </w:r>
            <w:r w:rsidRPr="0027713D">
              <w:rPr>
                <w:rFonts w:ascii="Century Gothic" w:hAnsi="Century Gothic"/>
              </w:rPr>
              <w:t xml:space="preserve"> @ Lock 8 for 60-120 days targeting river red gum forest, lignum </w:t>
            </w:r>
            <w:proofErr w:type="spellStart"/>
            <w:r w:rsidRPr="0027713D">
              <w:rPr>
                <w:rFonts w:ascii="Century Gothic" w:hAnsi="Century Gothic"/>
              </w:rPr>
              <w:t>shrubland</w:t>
            </w:r>
            <w:proofErr w:type="spellEnd"/>
            <w:r w:rsidRPr="0027713D">
              <w:rPr>
                <w:rFonts w:ascii="Century Gothic" w:hAnsi="Century Gothic"/>
              </w:rPr>
              <w:t xml:space="preserve"> and associated wetlands, or p</w:t>
            </w:r>
            <w:r>
              <w:rPr>
                <w:rFonts w:ascii="Century Gothic" w:hAnsi="Century Gothic"/>
              </w:rPr>
              <w:t>riority areas</w:t>
            </w:r>
            <w:r w:rsidRPr="0027713D">
              <w:rPr>
                <w:rFonts w:ascii="Century Gothic" w:hAnsi="Century Gothic"/>
              </w:rPr>
              <w:t xml:space="preserve"> via infrastructure</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in 5 years (5 years)</w:t>
            </w:r>
          </w:p>
        </w:tc>
      </w:tr>
      <w:tr w:rsidR="00060C7A" w:rsidRPr="0027713D" w:rsidTr="00EA1768">
        <w:trPr>
          <w:trHeight w:val="607"/>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Infrastructure delivery to </w:t>
            </w:r>
            <w:r>
              <w:rPr>
                <w:rFonts w:ascii="Century Gothic" w:hAnsi="Century Gothic"/>
              </w:rPr>
              <w:t>priority areas of floodplain equivalent to 80 </w:t>
            </w:r>
            <w:r w:rsidRPr="0027713D">
              <w:rPr>
                <w:rFonts w:ascii="Century Gothic" w:hAnsi="Century Gothic"/>
              </w:rPr>
              <w:t>000 ML/d</w:t>
            </w:r>
            <w:r>
              <w:rPr>
                <w:rFonts w:ascii="Century Gothic" w:hAnsi="Century Gothic"/>
              </w:rPr>
              <w:t>ay</w:t>
            </w:r>
            <w:r w:rsidRPr="0027713D">
              <w:rPr>
                <w:rFonts w:ascii="Century Gothic" w:hAnsi="Century Gothic"/>
              </w:rPr>
              <w:t xml:space="preserve"> @ Lock 8 targeting river red gum and black box woodland and associated wetlands</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1-2 in 10 years (8 years)</w:t>
            </w:r>
          </w:p>
        </w:tc>
      </w:tr>
      <w:tr w:rsidR="00060C7A" w:rsidRPr="0027713D" w:rsidTr="00EA1768">
        <w:trPr>
          <w:trHeight w:val="735"/>
        </w:trPr>
        <w:tc>
          <w:tcPr>
            <w:tcW w:w="1843" w:type="dxa"/>
            <w:vMerge w:val="restart"/>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Floodplain and Wetlands from South Australian border to </w:t>
            </w:r>
            <w:r>
              <w:rPr>
                <w:rFonts w:ascii="Century Gothic" w:hAnsi="Century Gothic"/>
              </w:rPr>
              <w:t>Lower Lakes</w:t>
            </w: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40</w:t>
            </w:r>
            <w:r>
              <w:rPr>
                <w:rFonts w:ascii="Century Gothic" w:hAnsi="Century Gothic"/>
              </w:rPr>
              <w:t> 000-50 </w:t>
            </w:r>
            <w:r w:rsidRPr="0027713D">
              <w:rPr>
                <w:rFonts w:ascii="Century Gothic" w:hAnsi="Century Gothic"/>
              </w:rPr>
              <w:t>000 ML/d</w:t>
            </w:r>
            <w:r>
              <w:rPr>
                <w:rFonts w:ascii="Century Gothic" w:hAnsi="Century Gothic"/>
              </w:rPr>
              <w:t>ay</w:t>
            </w:r>
            <w:r w:rsidRPr="0027713D">
              <w:rPr>
                <w:rFonts w:ascii="Century Gothic" w:hAnsi="Century Gothic"/>
              </w:rPr>
              <w:t xml:space="preserve"> @ South Australian border for up to 90 days targeting river red gum forest, tea tree, lignum, river cooba and associated wetlands, or p</w:t>
            </w:r>
            <w:r>
              <w:rPr>
                <w:rFonts w:ascii="Century Gothic" w:hAnsi="Century Gothic"/>
              </w:rPr>
              <w:t>riority areas</w:t>
            </w:r>
            <w:r w:rsidRPr="0027713D">
              <w:rPr>
                <w:rFonts w:ascii="Century Gothic" w:hAnsi="Century Gothic"/>
              </w:rPr>
              <w:t xml:space="preserve"> via infrastructure</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in 2 years (3 years)</w:t>
            </w:r>
          </w:p>
        </w:tc>
      </w:tr>
      <w:tr w:rsidR="00060C7A" w:rsidRPr="0027713D" w:rsidTr="00EA1768">
        <w:trPr>
          <w:trHeight w:val="735"/>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50</w:t>
            </w:r>
            <w:r>
              <w:rPr>
                <w:rFonts w:ascii="Century Gothic" w:hAnsi="Century Gothic"/>
              </w:rPr>
              <w:t> 000-60 </w:t>
            </w:r>
            <w:r w:rsidRPr="0027713D">
              <w:rPr>
                <w:rFonts w:ascii="Century Gothic" w:hAnsi="Century Gothic"/>
              </w:rPr>
              <w:t>000 ML/d</w:t>
            </w:r>
            <w:r>
              <w:rPr>
                <w:rFonts w:ascii="Century Gothic" w:hAnsi="Century Gothic"/>
              </w:rPr>
              <w:t>ay</w:t>
            </w:r>
            <w:r w:rsidRPr="0027713D">
              <w:rPr>
                <w:rFonts w:ascii="Century Gothic" w:hAnsi="Century Gothic"/>
              </w:rPr>
              <w:t xml:space="preserve"> @ South Australian border for up to 90 days targeting river red gum woodland, black box, cooba, tea tree and lignum and associated wetlands, or p</w:t>
            </w:r>
            <w:r>
              <w:rPr>
                <w:rFonts w:ascii="Century Gothic" w:hAnsi="Century Gothic"/>
              </w:rPr>
              <w:t>riority area</w:t>
            </w:r>
            <w:r w:rsidRPr="0027713D">
              <w:rPr>
                <w:rFonts w:ascii="Century Gothic" w:hAnsi="Century Gothic"/>
              </w:rPr>
              <w:t xml:space="preserve"> via infrastructure</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1-2  in 5 years (3 years)</w:t>
            </w:r>
          </w:p>
        </w:tc>
      </w:tr>
      <w:tr w:rsidR="00060C7A" w:rsidRPr="0027713D" w:rsidTr="00EA1768">
        <w:trPr>
          <w:trHeight w:val="735"/>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Infrastructure delivery to p</w:t>
            </w:r>
            <w:r>
              <w:rPr>
                <w:rFonts w:ascii="Century Gothic" w:hAnsi="Century Gothic"/>
              </w:rPr>
              <w:t>riority areas</w:t>
            </w:r>
            <w:r w:rsidRPr="0027713D">
              <w:rPr>
                <w:rFonts w:ascii="Century Gothic" w:hAnsi="Century Gothic"/>
              </w:rPr>
              <w:t xml:space="preserve"> equivalent to 60</w:t>
            </w:r>
            <w:r>
              <w:rPr>
                <w:rFonts w:ascii="Century Gothic" w:hAnsi="Century Gothic"/>
              </w:rPr>
              <w:t> 000-70 </w:t>
            </w:r>
            <w:r w:rsidRPr="0027713D">
              <w:rPr>
                <w:rFonts w:ascii="Century Gothic" w:hAnsi="Century Gothic"/>
              </w:rPr>
              <w:t>000 ML/d</w:t>
            </w:r>
            <w:r>
              <w:rPr>
                <w:rFonts w:ascii="Century Gothic" w:hAnsi="Century Gothic"/>
              </w:rPr>
              <w:t>ay</w:t>
            </w:r>
            <w:r w:rsidRPr="0027713D">
              <w:rPr>
                <w:rFonts w:ascii="Century Gothic" w:hAnsi="Century Gothic"/>
              </w:rPr>
              <w:t xml:space="preserve"> @ South Australian border targeting black box, cooba, lignum and chenopod and associated wetlands</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in 3 years (4 years)</w:t>
            </w:r>
          </w:p>
        </w:tc>
      </w:tr>
      <w:tr w:rsidR="00060C7A" w:rsidRPr="0027713D" w:rsidTr="00EA1768">
        <w:trPr>
          <w:trHeight w:val="295"/>
        </w:trPr>
        <w:tc>
          <w:tcPr>
            <w:tcW w:w="1843" w:type="dxa"/>
            <w:vMerge w:val="restart"/>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 xml:space="preserve">Coorong, Lower Lakes and Murray Mouth </w:t>
            </w: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Minimum barrage flow of 650 GL/yr</w:t>
            </w:r>
          </w:p>
        </w:tc>
        <w:tc>
          <w:tcPr>
            <w:tcW w:w="2552" w:type="dxa"/>
          </w:tcPr>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in 1 year</w:t>
            </w:r>
          </w:p>
        </w:tc>
      </w:tr>
      <w:tr w:rsidR="00060C7A" w:rsidRPr="0027713D" w:rsidTr="00EA1768">
        <w:trPr>
          <w:trHeight w:val="292"/>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Pr>
                <w:rFonts w:ascii="Century Gothic" w:hAnsi="Century Gothic"/>
              </w:rPr>
              <w:t>Barrage flows of 2 </w:t>
            </w:r>
            <w:r w:rsidRPr="0027713D">
              <w:rPr>
                <w:rFonts w:ascii="Century Gothic" w:hAnsi="Century Gothic"/>
              </w:rPr>
              <w:t>000 GL/yr required to achieve salinity target in Lake Alexandrina</w:t>
            </w:r>
          </w:p>
        </w:tc>
        <w:tc>
          <w:tcPr>
            <w:tcW w:w="2552" w:type="dxa"/>
          </w:tcPr>
          <w:p w:rsidR="00060C7A" w:rsidRPr="0027713D" w:rsidRDefault="00060C7A" w:rsidP="00D00B4C">
            <w:pPr>
              <w:pStyle w:val="ListBullet"/>
              <w:numPr>
                <w:ilvl w:val="0"/>
                <w:numId w:val="0"/>
              </w:numPr>
              <w:spacing w:before="40" w:after="40"/>
              <w:contextualSpacing w:val="0"/>
              <w:jc w:val="left"/>
              <w:rPr>
                <w:rFonts w:ascii="Century Gothic" w:hAnsi="Century Gothic"/>
              </w:rPr>
            </w:pPr>
            <w:r w:rsidRPr="0027713D">
              <w:rPr>
                <w:rFonts w:ascii="Century Gothic" w:hAnsi="Century Gothic"/>
              </w:rPr>
              <w:t>Rolling three year average</w:t>
            </w:r>
          </w:p>
        </w:tc>
      </w:tr>
      <w:tr w:rsidR="00060C7A" w:rsidRPr="0027713D" w:rsidTr="00EA1768">
        <w:trPr>
          <w:trHeight w:val="292"/>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Pr>
                <w:rFonts w:ascii="Century Gothic" w:hAnsi="Century Gothic"/>
              </w:rPr>
              <w:t>Barrage flows of at least 2 </w:t>
            </w:r>
            <w:r w:rsidRPr="0027713D">
              <w:rPr>
                <w:rFonts w:ascii="Century Gothic" w:hAnsi="Century Gothic"/>
              </w:rPr>
              <w:t>500 GL over two years to avoid damage and protect habitat conditions within the Coorong</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9 in 10 years</w:t>
            </w:r>
          </w:p>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 year)</w:t>
            </w:r>
          </w:p>
        </w:tc>
      </w:tr>
      <w:tr w:rsidR="00060C7A" w:rsidRPr="0027713D" w:rsidTr="00EA1768">
        <w:trPr>
          <w:trHeight w:val="292"/>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Pr>
                <w:rFonts w:ascii="Century Gothic" w:hAnsi="Century Gothic"/>
              </w:rPr>
              <w:t>Barrage flows of 6 </w:t>
            </w:r>
            <w:r w:rsidRPr="0027713D">
              <w:rPr>
                <w:rFonts w:ascii="Century Gothic" w:hAnsi="Century Gothic"/>
              </w:rPr>
              <w:t>000 GL every three to five years to maintain and improve habitat conditions within the Coorong</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1 in 3 years</w:t>
            </w:r>
          </w:p>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(5 years)</w:t>
            </w:r>
          </w:p>
        </w:tc>
      </w:tr>
      <w:tr w:rsidR="00060C7A" w:rsidRPr="0027713D" w:rsidTr="00EA1768">
        <w:trPr>
          <w:trHeight w:val="292"/>
        </w:trPr>
        <w:tc>
          <w:tcPr>
            <w:tcW w:w="1843" w:type="dxa"/>
            <w:vMerge/>
          </w:tcPr>
          <w:p w:rsidR="00060C7A" w:rsidRPr="0027713D" w:rsidRDefault="00060C7A" w:rsidP="00EA1768">
            <w:pPr>
              <w:pStyle w:val="ListBullet"/>
              <w:numPr>
                <w:ilvl w:val="0"/>
                <w:numId w:val="0"/>
              </w:numPr>
              <w:spacing w:before="40" w:after="40"/>
              <w:contextualSpacing w:val="0"/>
              <w:jc w:val="left"/>
              <w:rPr>
                <w:rFonts w:ascii="Century Gothic" w:hAnsi="Century Gothic"/>
              </w:rPr>
            </w:pPr>
          </w:p>
        </w:tc>
        <w:tc>
          <w:tcPr>
            <w:tcW w:w="5670" w:type="dxa"/>
          </w:tcPr>
          <w:p w:rsidR="00060C7A" w:rsidRPr="0027713D" w:rsidRDefault="00060C7A" w:rsidP="00EA1768">
            <w:pPr>
              <w:pStyle w:val="ListBullet"/>
              <w:numPr>
                <w:ilvl w:val="0"/>
                <w:numId w:val="0"/>
              </w:numPr>
              <w:spacing w:before="40" w:after="40"/>
              <w:contextualSpacing w:val="0"/>
              <w:jc w:val="left"/>
              <w:rPr>
                <w:rFonts w:ascii="Century Gothic" w:hAnsi="Century Gothic"/>
              </w:rPr>
            </w:pPr>
            <w:r>
              <w:rPr>
                <w:rFonts w:ascii="Century Gothic" w:hAnsi="Century Gothic"/>
              </w:rPr>
              <w:t>Barrage flows of 10 </w:t>
            </w:r>
            <w:r w:rsidRPr="0027713D">
              <w:rPr>
                <w:rFonts w:ascii="Century Gothic" w:hAnsi="Century Gothic"/>
              </w:rPr>
              <w:t>000 GL every seven to seventeen years to improve habitat conditions within the Coorong</w:t>
            </w:r>
          </w:p>
        </w:tc>
        <w:tc>
          <w:tcPr>
            <w:tcW w:w="2552" w:type="dxa"/>
          </w:tcPr>
          <w:p w:rsidR="00060C7A" w:rsidRPr="0027713D" w:rsidRDefault="00060C7A" w:rsidP="00EA1768">
            <w:pPr>
              <w:spacing w:before="40" w:after="40"/>
              <w:rPr>
                <w:rFonts w:ascii="Century Gothic" w:hAnsi="Century Gothic" w:cs="Times New Roman"/>
                <w:sz w:val="20"/>
                <w:szCs w:val="20"/>
                <w:lang w:eastAsia="en-AU"/>
              </w:rPr>
            </w:pPr>
            <w:r w:rsidRPr="0027713D">
              <w:rPr>
                <w:rFonts w:ascii="Century Gothic" w:hAnsi="Century Gothic" w:cs="Times New Roman"/>
                <w:sz w:val="20"/>
                <w:szCs w:val="20"/>
                <w:lang w:eastAsia="en-AU"/>
              </w:rPr>
              <w:t>1 in 7 years</w:t>
            </w:r>
          </w:p>
          <w:p w:rsidR="00060C7A" w:rsidRPr="0027713D" w:rsidRDefault="00060C7A" w:rsidP="00EA1768">
            <w:pPr>
              <w:pStyle w:val="ListBullet"/>
              <w:numPr>
                <w:ilvl w:val="0"/>
                <w:numId w:val="0"/>
              </w:numPr>
              <w:spacing w:before="40" w:after="40"/>
              <w:contextualSpacing w:val="0"/>
              <w:rPr>
                <w:rFonts w:ascii="Century Gothic" w:hAnsi="Century Gothic"/>
              </w:rPr>
            </w:pPr>
            <w:r w:rsidRPr="0027713D">
              <w:rPr>
                <w:rFonts w:ascii="Century Gothic" w:hAnsi="Century Gothic"/>
              </w:rPr>
              <w:t>(17 years)</w:t>
            </w:r>
          </w:p>
        </w:tc>
      </w:tr>
    </w:tbl>
    <w:p w:rsidR="00060C7A" w:rsidRDefault="00060C7A" w:rsidP="00060C7A">
      <w:pPr>
        <w:spacing w:before="120"/>
        <w:rPr>
          <w:rFonts w:ascii="Century Gothic" w:hAnsi="Century Gothic"/>
          <w:sz w:val="20"/>
          <w:szCs w:val="20"/>
        </w:rPr>
      </w:pPr>
      <w:r w:rsidRPr="0027713D">
        <w:rPr>
          <w:rFonts w:ascii="Century Gothic" w:hAnsi="Century Gothic"/>
          <w:sz w:val="20"/>
          <w:szCs w:val="20"/>
        </w:rPr>
        <w:t>Specific references identified at Table 2</w:t>
      </w:r>
    </w:p>
    <w:p w:rsidR="00060C7A" w:rsidRPr="0027713D" w:rsidRDefault="00060C7A" w:rsidP="00060C7A">
      <w:pPr>
        <w:spacing w:before="120"/>
        <w:rPr>
          <w:rFonts w:ascii="Century Gothic" w:hAnsi="Century Gothic"/>
          <w:sz w:val="20"/>
          <w:szCs w:val="20"/>
        </w:rPr>
      </w:pPr>
    </w:p>
    <w:p w:rsidR="00060C7A" w:rsidRPr="008D2B6B" w:rsidRDefault="00060C7A" w:rsidP="00060C7A">
      <w:pPr>
        <w:pStyle w:val="Heading2"/>
        <w:spacing w:before="0"/>
        <w:ind w:left="851" w:hanging="851"/>
        <w:rPr>
          <w:rFonts w:ascii="Century Gothic" w:hAnsi="Century Gothic"/>
          <w:color w:val="5F497A" w:themeColor="accent4" w:themeShade="BF"/>
          <w:lang w:val="en-AU"/>
        </w:rPr>
      </w:pPr>
      <w:bookmarkStart w:id="25" w:name="_Toc422406866"/>
      <w:r w:rsidRPr="008D2B6B">
        <w:rPr>
          <w:rFonts w:ascii="Century Gothic" w:hAnsi="Century Gothic"/>
          <w:color w:val="5F497A" w:themeColor="accent4" w:themeShade="BF"/>
          <w:lang w:val="en-AU"/>
        </w:rPr>
        <w:t>Potential watering actions under different levels of water resource availability</w:t>
      </w:r>
      <w:bookmarkEnd w:id="25"/>
    </w:p>
    <w:p w:rsidR="00060C7A" w:rsidRPr="0027713D" w:rsidRDefault="00060C7A" w:rsidP="00060C7A">
      <w:pPr>
        <w:spacing w:after="240"/>
        <w:rPr>
          <w:rFonts w:ascii="Century Gothic" w:hAnsi="Century Gothic" w:cs="Arial"/>
          <w:noProof/>
          <w:sz w:val="20"/>
          <w:szCs w:val="20"/>
        </w:rPr>
      </w:pPr>
      <w:r w:rsidRPr="0027713D">
        <w:rPr>
          <w:rFonts w:ascii="Century Gothic" w:hAnsi="Century Gothic"/>
          <w:sz w:val="20"/>
          <w:szCs w:val="20"/>
        </w:rPr>
        <w:t xml:space="preserve">Under certain levels of water resource availability, watering actions may not be pursued for a variety of reasons, including that environmental demand may be met by unregulated flows and that constraints and/or risks may limit the availability to deliver environmental water. </w:t>
      </w:r>
      <w:r w:rsidRPr="0027713D">
        <w:rPr>
          <w:rFonts w:ascii="Century Gothic" w:hAnsi="Century Gothic" w:cs="Arial"/>
          <w:noProof/>
          <w:sz w:val="20"/>
          <w:szCs w:val="20"/>
        </w:rPr>
        <w:t xml:space="preserve">Table 6 identifies the range of potential watering actions in </w:t>
      </w:r>
      <w:r w:rsidRPr="0027713D">
        <w:rPr>
          <w:rFonts w:ascii="Century Gothic" w:hAnsi="Century Gothic" w:cs="Arial"/>
          <w:noProof/>
          <w:color w:val="000000" w:themeColor="text1"/>
          <w:sz w:val="20"/>
          <w:szCs w:val="20"/>
        </w:rPr>
        <w:t>Lower Murray</w:t>
      </w:r>
      <w:r>
        <w:rPr>
          <w:rFonts w:ascii="Century Gothic" w:hAnsi="Century Gothic" w:cs="Arial"/>
          <w:noProof/>
          <w:color w:val="000000" w:themeColor="text1"/>
          <w:sz w:val="20"/>
          <w:szCs w:val="20"/>
        </w:rPr>
        <w:t>-</w:t>
      </w:r>
      <w:r w:rsidRPr="0027713D">
        <w:rPr>
          <w:rFonts w:ascii="Century Gothic" w:hAnsi="Century Gothic" w:cs="Arial"/>
          <w:noProof/>
          <w:color w:val="000000" w:themeColor="text1"/>
          <w:sz w:val="20"/>
          <w:szCs w:val="20"/>
        </w:rPr>
        <w:t>Darling Region</w:t>
      </w:r>
      <w:r w:rsidRPr="0027713D">
        <w:rPr>
          <w:rFonts w:ascii="Century Gothic" w:hAnsi="Century Gothic" w:cs="Arial"/>
          <w:noProof/>
          <w:sz w:val="20"/>
          <w:szCs w:val="20"/>
        </w:rPr>
        <w:t xml:space="preserve"> and the levels of water resource availability that relate to these actions.</w:t>
      </w:r>
    </w:p>
    <w:p w:rsidR="007479B0" w:rsidRDefault="007479B0" w:rsidP="00060C7A">
      <w:pPr>
        <w:pStyle w:val="Heading1"/>
        <w:numPr>
          <w:ilvl w:val="0"/>
          <w:numId w:val="0"/>
        </w:numPr>
        <w:spacing w:before="0"/>
        <w:ind w:left="567"/>
        <w:jc w:val="left"/>
        <w:rPr>
          <w:rFonts w:ascii="Century Gothic" w:hAnsi="Century Gothic"/>
          <w:color w:val="5F497A" w:themeColor="accent4" w:themeShade="BF"/>
          <w:lang w:val="en-AU"/>
        </w:rPr>
        <w:sectPr w:rsidR="007479B0" w:rsidSect="00BD4973">
          <w:pgSz w:w="11907" w:h="16839" w:code="9"/>
          <w:pgMar w:top="821" w:right="1440" w:bottom="851" w:left="1276" w:header="425" w:footer="267" w:gutter="0"/>
          <w:cols w:space="708"/>
          <w:titlePg/>
          <w:docGrid w:linePitch="360"/>
        </w:sectPr>
      </w:pPr>
    </w:p>
    <w:p w:rsidR="007479B0" w:rsidRPr="008D2B6B" w:rsidRDefault="007479B0" w:rsidP="007479B0">
      <w:pPr>
        <w:pStyle w:val="Caption"/>
        <w:rPr>
          <w:rFonts w:ascii="Century Gothic" w:hAnsi="Century Gothic"/>
          <w:color w:val="FF0000"/>
        </w:rPr>
      </w:pPr>
      <w:r w:rsidRPr="008D2B6B">
        <w:rPr>
          <w:rFonts w:ascii="Century Gothic" w:hAnsi="Century Gothic"/>
        </w:rPr>
        <w:lastRenderedPageBreak/>
        <w:t xml:space="preserve">Table </w:t>
      </w:r>
      <w:r w:rsidR="00B64803" w:rsidRPr="008D2B6B">
        <w:rPr>
          <w:rFonts w:ascii="Century Gothic" w:hAnsi="Century Gothic"/>
        </w:rPr>
        <w:fldChar w:fldCharType="begin"/>
      </w:r>
      <w:r w:rsidRPr="008D2B6B">
        <w:rPr>
          <w:rFonts w:ascii="Century Gothic" w:hAnsi="Century Gothic"/>
        </w:rPr>
        <w:instrText xml:space="preserve"> SEQ Table \* ARABIC </w:instrText>
      </w:r>
      <w:r w:rsidR="00B64803" w:rsidRPr="008D2B6B">
        <w:rPr>
          <w:rFonts w:ascii="Century Gothic" w:hAnsi="Century Gothic"/>
        </w:rPr>
        <w:fldChar w:fldCharType="separate"/>
      </w:r>
      <w:r w:rsidR="00E66785">
        <w:rPr>
          <w:rFonts w:ascii="Century Gothic" w:hAnsi="Century Gothic"/>
          <w:noProof/>
        </w:rPr>
        <w:t>6</w:t>
      </w:r>
      <w:r w:rsidR="00B64803" w:rsidRPr="008D2B6B">
        <w:rPr>
          <w:rFonts w:ascii="Century Gothic" w:hAnsi="Century Gothic"/>
        </w:rPr>
        <w:fldChar w:fldCharType="end"/>
      </w:r>
      <w:r w:rsidRPr="008D2B6B">
        <w:rPr>
          <w:rFonts w:ascii="Century Gothic" w:hAnsi="Century Gothic"/>
        </w:rPr>
        <w:t xml:space="preserve">: </w:t>
      </w:r>
      <w:r w:rsidRPr="008D2B6B">
        <w:rPr>
          <w:rFonts w:ascii="Century Gothic" w:hAnsi="Century Gothic"/>
          <w:b w:val="0"/>
        </w:rPr>
        <w:t xml:space="preserve">Summary of potential watering actions for the </w:t>
      </w:r>
      <w:r w:rsidRPr="008D2B6B">
        <w:rPr>
          <w:rFonts w:ascii="Century Gothic" w:hAnsi="Century Gothic"/>
          <w:b w:val="0"/>
          <w:color w:val="000000" w:themeColor="text1"/>
        </w:rPr>
        <w:t xml:space="preserve">Lower </w:t>
      </w:r>
      <w:r>
        <w:rPr>
          <w:rFonts w:ascii="Century Gothic" w:hAnsi="Century Gothic"/>
          <w:b w:val="0"/>
          <w:color w:val="000000" w:themeColor="text1"/>
        </w:rPr>
        <w:t>Murray–Darling</w:t>
      </w:r>
      <w:r w:rsidRPr="008D2B6B">
        <w:rPr>
          <w:rFonts w:ascii="Century Gothic" w:hAnsi="Century Gothic"/>
          <w:b w:val="0"/>
          <w:color w:val="000000" w:themeColor="text1"/>
        </w:rPr>
        <w:t xml:space="preserve"> Region</w:t>
      </w:r>
      <w:r w:rsidRPr="008D2B6B">
        <w:rPr>
          <w:rFonts w:ascii="Century Gothic" w:hAnsi="Century Gothic"/>
          <w:color w:val="FF0000"/>
        </w:rPr>
        <w:t xml:space="preserve"> </w:t>
      </w:r>
    </w:p>
    <w:tbl>
      <w:tblPr>
        <w:tblStyle w:val="TableGrid"/>
        <w:tblW w:w="15559" w:type="dxa"/>
        <w:tblLayout w:type="fixed"/>
        <w:tblLook w:val="04A0"/>
      </w:tblPr>
      <w:tblGrid>
        <w:gridCol w:w="1667"/>
        <w:gridCol w:w="4534"/>
        <w:gridCol w:w="1541"/>
        <w:gridCol w:w="18"/>
        <w:gridCol w:w="1695"/>
        <w:gridCol w:w="9"/>
        <w:gridCol w:w="2126"/>
        <w:gridCol w:w="2268"/>
        <w:gridCol w:w="1701"/>
      </w:tblGrid>
      <w:tr w:rsidR="007479B0" w:rsidRPr="008D2B6B" w:rsidTr="00E66785">
        <w:trPr>
          <w:tblHeader/>
        </w:trPr>
        <w:tc>
          <w:tcPr>
            <w:tcW w:w="1667" w:type="dxa"/>
            <w:vMerge w:val="restart"/>
            <w:shd w:val="clear" w:color="auto" w:fill="CCC0D9" w:themeFill="accent4" w:themeFillTint="66"/>
            <w:vAlign w:val="center"/>
          </w:tcPr>
          <w:p w:rsidR="007479B0" w:rsidRPr="008D2B6B" w:rsidRDefault="007479B0" w:rsidP="00E66785">
            <w:pPr>
              <w:keepNext/>
              <w:spacing w:before="40" w:after="40"/>
              <w:jc w:val="center"/>
              <w:outlineLvl w:val="0"/>
              <w:rPr>
                <w:rFonts w:ascii="Century Gothic" w:hAnsi="Century Gothic"/>
                <w:b/>
                <w:sz w:val="18"/>
                <w:szCs w:val="18"/>
              </w:rPr>
            </w:pPr>
            <w:r w:rsidRPr="008D2B6B">
              <w:rPr>
                <w:rFonts w:ascii="Century Gothic" w:hAnsi="Century Gothic"/>
                <w:b/>
                <w:sz w:val="18"/>
                <w:szCs w:val="18"/>
              </w:rPr>
              <w:t xml:space="preserve">Environmental Asset </w:t>
            </w:r>
          </w:p>
        </w:tc>
        <w:tc>
          <w:tcPr>
            <w:tcW w:w="4534" w:type="dxa"/>
            <w:vMerge w:val="restart"/>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Indicative demand</w:t>
            </w:r>
          </w:p>
        </w:tc>
        <w:tc>
          <w:tcPr>
            <w:tcW w:w="9358" w:type="dxa"/>
            <w:gridSpan w:val="7"/>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Applicable level(s) of resource availability</w:t>
            </w:r>
          </w:p>
        </w:tc>
      </w:tr>
      <w:tr w:rsidR="007479B0" w:rsidRPr="008D2B6B" w:rsidTr="00E66785">
        <w:trPr>
          <w:trHeight w:val="467"/>
          <w:tblHeader/>
        </w:trPr>
        <w:tc>
          <w:tcPr>
            <w:tcW w:w="1667" w:type="dxa"/>
            <w:vMerge/>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p>
        </w:tc>
        <w:tc>
          <w:tcPr>
            <w:tcW w:w="4534" w:type="dxa"/>
            <w:vMerge/>
            <w:shd w:val="clear" w:color="auto" w:fill="CCC0D9" w:themeFill="accent4" w:themeFillTint="66"/>
          </w:tcPr>
          <w:p w:rsidR="007479B0" w:rsidRPr="008D2B6B" w:rsidRDefault="007479B0" w:rsidP="00E66785">
            <w:pPr>
              <w:spacing w:before="40" w:after="40"/>
              <w:jc w:val="center"/>
              <w:rPr>
                <w:rFonts w:ascii="Century Gothic" w:hAnsi="Century Gothic"/>
                <w:b/>
                <w:sz w:val="18"/>
                <w:szCs w:val="18"/>
              </w:rPr>
            </w:pPr>
          </w:p>
        </w:tc>
        <w:tc>
          <w:tcPr>
            <w:tcW w:w="1559" w:type="dxa"/>
            <w:gridSpan w:val="2"/>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Very Low</w:t>
            </w:r>
          </w:p>
        </w:tc>
        <w:tc>
          <w:tcPr>
            <w:tcW w:w="1704" w:type="dxa"/>
            <w:gridSpan w:val="2"/>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Low</w:t>
            </w:r>
          </w:p>
        </w:tc>
        <w:tc>
          <w:tcPr>
            <w:tcW w:w="2126" w:type="dxa"/>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Moderate</w:t>
            </w:r>
          </w:p>
        </w:tc>
        <w:tc>
          <w:tcPr>
            <w:tcW w:w="2268" w:type="dxa"/>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High</w:t>
            </w:r>
          </w:p>
        </w:tc>
        <w:tc>
          <w:tcPr>
            <w:tcW w:w="1701" w:type="dxa"/>
            <w:shd w:val="clear" w:color="auto" w:fill="CCC0D9" w:themeFill="accent4" w:themeFillTint="66"/>
            <w:vAlign w:val="center"/>
          </w:tcPr>
          <w:p w:rsidR="007479B0" w:rsidRPr="008D2B6B" w:rsidRDefault="007479B0" w:rsidP="00E66785">
            <w:pPr>
              <w:spacing w:before="40" w:after="40"/>
              <w:jc w:val="center"/>
              <w:rPr>
                <w:rFonts w:ascii="Century Gothic" w:hAnsi="Century Gothic"/>
                <w:b/>
                <w:sz w:val="18"/>
                <w:szCs w:val="18"/>
              </w:rPr>
            </w:pPr>
            <w:r w:rsidRPr="008D2B6B">
              <w:rPr>
                <w:rFonts w:ascii="Century Gothic" w:hAnsi="Century Gothic"/>
                <w:b/>
                <w:sz w:val="18"/>
                <w:szCs w:val="18"/>
              </w:rPr>
              <w:t>Very High</w:t>
            </w:r>
          </w:p>
        </w:tc>
      </w:tr>
      <w:tr w:rsidR="007479B0" w:rsidRPr="008D2B6B" w:rsidTr="00E66785">
        <w:tc>
          <w:tcPr>
            <w:tcW w:w="1667" w:type="dxa"/>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color w:val="000000"/>
                <w:sz w:val="18"/>
                <w:szCs w:val="18"/>
              </w:rPr>
              <w:t>Lower Darling River</w:t>
            </w:r>
          </w:p>
        </w:tc>
        <w:tc>
          <w:tcPr>
            <w:tcW w:w="4534" w:type="dxa"/>
          </w:tcPr>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Small to moderate river flow (7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Weir 32 for 10 days in summer)</w:t>
            </w:r>
          </w:p>
        </w:tc>
        <w:tc>
          <w:tcPr>
            <w:tcW w:w="3263" w:type="dxa"/>
            <w:gridSpan w:val="4"/>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c>
          <w:tcPr>
            <w:tcW w:w="6095" w:type="dxa"/>
            <w:gridSpan w:val="3"/>
          </w:tcPr>
          <w:p w:rsidR="007479B0" w:rsidRPr="008D2B6B" w:rsidRDefault="007479B0" w:rsidP="00E66785">
            <w:pPr>
              <w:spacing w:before="40" w:after="40"/>
              <w:rPr>
                <w:rFonts w:ascii="Century Gothic" w:hAnsi="Century Gothic"/>
                <w:color w:val="000000"/>
                <w:sz w:val="18"/>
                <w:szCs w:val="18"/>
              </w:rPr>
            </w:pPr>
            <w:r w:rsidRPr="008D2B6B">
              <w:rPr>
                <w:rFonts w:ascii="Century Gothic" w:hAnsi="Century Gothic"/>
                <w:i/>
                <w:color w:val="000000"/>
                <w:sz w:val="18"/>
                <w:szCs w:val="18"/>
              </w:rPr>
              <w:t xml:space="preserve">1: Lower Darling River Flows: </w:t>
            </w:r>
            <w:r w:rsidRPr="008D2B6B">
              <w:rPr>
                <w:rFonts w:ascii="Century Gothic" w:hAnsi="Century Gothic"/>
                <w:color w:val="000000"/>
                <w:sz w:val="18"/>
                <w:szCs w:val="18"/>
              </w:rPr>
              <w:t xml:space="preserve">Contribute to </w:t>
            </w:r>
            <w:proofErr w:type="spellStart"/>
            <w:r w:rsidRPr="008D2B6B">
              <w:rPr>
                <w:rFonts w:ascii="Century Gothic" w:hAnsi="Century Gothic"/>
                <w:color w:val="000000"/>
                <w:sz w:val="18"/>
                <w:szCs w:val="18"/>
              </w:rPr>
              <w:t>baseflows</w:t>
            </w:r>
            <w:proofErr w:type="spellEnd"/>
            <w:r w:rsidRPr="008D2B6B">
              <w:rPr>
                <w:rFonts w:ascii="Century Gothic" w:hAnsi="Century Gothic"/>
                <w:color w:val="000000"/>
                <w:sz w:val="18"/>
                <w:szCs w:val="18"/>
              </w:rPr>
              <w:t xml:space="preserve"> and freshes in the Lower Darling River</w:t>
            </w:r>
          </w:p>
        </w:tc>
      </w:tr>
      <w:tr w:rsidR="007479B0" w:rsidRPr="008D2B6B" w:rsidTr="00E66785">
        <w:tc>
          <w:tcPr>
            <w:tcW w:w="1667" w:type="dxa"/>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color w:val="000000"/>
                <w:sz w:val="18"/>
                <w:szCs w:val="18"/>
              </w:rPr>
              <w:t>Great Darling Anabranch</w:t>
            </w:r>
          </w:p>
        </w:tc>
        <w:tc>
          <w:tcPr>
            <w:tcW w:w="4534" w:type="dxa"/>
          </w:tcPr>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1 500-2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from Menindee Lakes for 30-45 days</w:t>
            </w:r>
          </w:p>
        </w:tc>
        <w:tc>
          <w:tcPr>
            <w:tcW w:w="3263" w:type="dxa"/>
            <w:gridSpan w:val="4"/>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c>
          <w:tcPr>
            <w:tcW w:w="6095" w:type="dxa"/>
            <w:gridSpan w:val="3"/>
          </w:tcPr>
          <w:p w:rsidR="007479B0" w:rsidRPr="008D2B6B" w:rsidRDefault="007479B0" w:rsidP="00E66785">
            <w:pPr>
              <w:spacing w:before="40" w:after="40"/>
              <w:rPr>
                <w:rFonts w:ascii="Century Gothic" w:hAnsi="Century Gothic"/>
                <w:i/>
                <w:color w:val="000000"/>
                <w:sz w:val="18"/>
                <w:szCs w:val="18"/>
              </w:rPr>
            </w:pPr>
            <w:r w:rsidRPr="008D2B6B">
              <w:rPr>
                <w:rFonts w:ascii="Century Gothic" w:hAnsi="Century Gothic"/>
                <w:i/>
                <w:color w:val="000000"/>
                <w:sz w:val="18"/>
                <w:szCs w:val="18"/>
              </w:rPr>
              <w:t xml:space="preserve">2: Great Darling Anabranch Flows: </w:t>
            </w:r>
            <w:r w:rsidRPr="008D2B6B">
              <w:rPr>
                <w:rFonts w:ascii="Century Gothic" w:hAnsi="Century Gothic"/>
                <w:color w:val="000000"/>
                <w:sz w:val="18"/>
                <w:szCs w:val="18"/>
              </w:rPr>
              <w:t>Contribute to a flow along the Anabranch, or extend the recession from a flood event</w:t>
            </w:r>
            <w:r>
              <w:rPr>
                <w:rFonts w:ascii="Century Gothic" w:hAnsi="Century Gothic"/>
                <w:color w:val="000000"/>
                <w:sz w:val="18"/>
                <w:szCs w:val="18"/>
              </w:rPr>
              <w:t xml:space="preserve"> and/or connect the Anabranch with its lakes</w:t>
            </w:r>
          </w:p>
        </w:tc>
      </w:tr>
      <w:tr w:rsidR="007479B0" w:rsidRPr="008D2B6B" w:rsidTr="00E66785">
        <w:trPr>
          <w:trHeight w:val="1631"/>
        </w:trPr>
        <w:tc>
          <w:tcPr>
            <w:tcW w:w="1667" w:type="dxa"/>
            <w:tcBorders>
              <w:bottom w:val="single" w:sz="4" w:space="0" w:color="auto"/>
            </w:tcBorders>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color w:val="000000"/>
                <w:sz w:val="18"/>
                <w:szCs w:val="18"/>
              </w:rPr>
              <w:t>River Murray channel from Euston to Lower Lakes, including fringing wetlands</w:t>
            </w:r>
          </w:p>
        </w:tc>
        <w:tc>
          <w:tcPr>
            <w:tcW w:w="4534" w:type="dxa"/>
          </w:tcPr>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River flow of at least 10 </w:t>
            </w:r>
            <w:r w:rsidRPr="008D2B6B">
              <w:rPr>
                <w:rFonts w:ascii="Century Gothic" w:hAnsi="Century Gothic"/>
                <w:color w:val="000000"/>
                <w:sz w:val="18"/>
                <w:szCs w:val="18"/>
              </w:rPr>
              <w:t>000 ML/day @ SA border for up to 60 days in spring/summer</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River flow of 15-25 </w:t>
            </w:r>
            <w:r w:rsidRPr="008D2B6B">
              <w:rPr>
                <w:rFonts w:ascii="Century Gothic" w:hAnsi="Century Gothic"/>
                <w:color w:val="000000"/>
                <w:sz w:val="18"/>
                <w:szCs w:val="18"/>
              </w:rPr>
              <w:t>0000 ML/day @ SA border for up to 90 days in spring/summer</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River flow of 25-35 </w:t>
            </w:r>
            <w:r w:rsidRPr="008D2B6B">
              <w:rPr>
                <w:rFonts w:ascii="Century Gothic" w:hAnsi="Century Gothic"/>
                <w:color w:val="000000"/>
                <w:sz w:val="18"/>
                <w:szCs w:val="18"/>
              </w:rPr>
              <w:t>0000 ML/day @ SA border for up to 60 days in spring/summer</w:t>
            </w:r>
          </w:p>
        </w:tc>
        <w:tc>
          <w:tcPr>
            <w:tcW w:w="1541" w:type="dxa"/>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c>
          <w:tcPr>
            <w:tcW w:w="6116" w:type="dxa"/>
            <w:gridSpan w:val="5"/>
            <w:shd w:val="clear" w:color="auto" w:fill="auto"/>
          </w:tcPr>
          <w:p w:rsidR="007479B0" w:rsidRPr="008D2B6B" w:rsidRDefault="007479B0" w:rsidP="00E66785">
            <w:pPr>
              <w:spacing w:before="40" w:after="120"/>
              <w:rPr>
                <w:rFonts w:ascii="Century Gothic" w:hAnsi="Century Gothic"/>
                <w:sz w:val="18"/>
                <w:szCs w:val="18"/>
              </w:rPr>
            </w:pPr>
            <w:r w:rsidRPr="008D2B6B">
              <w:rPr>
                <w:rFonts w:ascii="Century Gothic" w:hAnsi="Century Gothic"/>
                <w:i/>
                <w:color w:val="000000"/>
                <w:sz w:val="18"/>
                <w:szCs w:val="18"/>
              </w:rPr>
              <w:t>3. River Murray Channel Flows</w:t>
            </w:r>
            <w:r w:rsidRPr="008D2B6B">
              <w:rPr>
                <w:rFonts w:ascii="Century Gothic" w:hAnsi="Century Gothic"/>
                <w:i/>
                <w:sz w:val="18"/>
                <w:szCs w:val="18"/>
              </w:rPr>
              <w:t xml:space="preserve">: </w:t>
            </w:r>
            <w:r w:rsidRPr="008D2B6B">
              <w:rPr>
                <w:rFonts w:ascii="Century Gothic" w:hAnsi="Century Gothic"/>
                <w:color w:val="000000"/>
                <w:sz w:val="18"/>
                <w:szCs w:val="18"/>
              </w:rPr>
              <w:t xml:space="preserve">Contribute to in-channel </w:t>
            </w:r>
            <w:proofErr w:type="spellStart"/>
            <w:r>
              <w:rPr>
                <w:rFonts w:ascii="Century Gothic" w:hAnsi="Century Gothic"/>
                <w:color w:val="000000"/>
                <w:sz w:val="18"/>
                <w:szCs w:val="18"/>
              </w:rPr>
              <w:t>baseflows</w:t>
            </w:r>
            <w:proofErr w:type="spellEnd"/>
            <w:r>
              <w:rPr>
                <w:rFonts w:ascii="Century Gothic" w:hAnsi="Century Gothic"/>
                <w:color w:val="000000"/>
                <w:sz w:val="18"/>
                <w:szCs w:val="18"/>
              </w:rPr>
              <w:t xml:space="preserve"> and freshes, complemented by seasonally appropriate operation of river (weirs) and w</w:t>
            </w:r>
            <w:r w:rsidRPr="008D2B6B">
              <w:rPr>
                <w:rFonts w:ascii="Century Gothic" w:hAnsi="Century Gothic"/>
                <w:color w:val="000000"/>
                <w:sz w:val="18"/>
                <w:szCs w:val="18"/>
              </w:rPr>
              <w:t xml:space="preserve">etland </w:t>
            </w:r>
            <w:r>
              <w:rPr>
                <w:rFonts w:ascii="Century Gothic" w:hAnsi="Century Gothic"/>
                <w:color w:val="000000"/>
                <w:sz w:val="18"/>
                <w:szCs w:val="18"/>
              </w:rPr>
              <w:t>infrastructure.</w:t>
            </w:r>
          </w:p>
        </w:tc>
        <w:tc>
          <w:tcPr>
            <w:tcW w:w="1701" w:type="dxa"/>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r>
      <w:tr w:rsidR="007479B0" w:rsidRPr="008D2B6B" w:rsidTr="00E66785">
        <w:trPr>
          <w:trHeight w:val="734"/>
        </w:trPr>
        <w:tc>
          <w:tcPr>
            <w:tcW w:w="1667" w:type="dxa"/>
            <w:vMerge w:val="restart"/>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color w:val="000000"/>
                <w:sz w:val="18"/>
                <w:szCs w:val="18"/>
              </w:rPr>
              <w:t>Hattah Lakes</w:t>
            </w:r>
          </w:p>
        </w:tc>
        <w:tc>
          <w:tcPr>
            <w:tcW w:w="4534" w:type="dxa"/>
            <w:vMerge w:val="restart"/>
          </w:tcPr>
          <w:p w:rsidR="007479B0" w:rsidRPr="008D2B6B" w:rsidRDefault="007479B0" w:rsidP="00E66785">
            <w:pPr>
              <w:spacing w:before="40" w:after="120"/>
              <w:rPr>
                <w:rFonts w:ascii="Century Gothic" w:hAnsi="Century Gothic"/>
                <w:color w:val="000000"/>
                <w:sz w:val="18"/>
                <w:szCs w:val="18"/>
              </w:rPr>
            </w:pPr>
            <w:r w:rsidRPr="008D2B6B">
              <w:rPr>
                <w:rFonts w:ascii="Century Gothic" w:hAnsi="Century Gothic"/>
                <w:color w:val="000000"/>
                <w:sz w:val="18"/>
                <w:szCs w:val="18"/>
              </w:rPr>
              <w:t>Small action targeting temporary wetlands (inundation to 42-43 m A</w:t>
            </w:r>
            <w:r>
              <w:rPr>
                <w:rFonts w:ascii="Century Gothic" w:hAnsi="Century Gothic"/>
                <w:color w:val="000000"/>
                <w:sz w:val="18"/>
                <w:szCs w:val="18"/>
              </w:rPr>
              <w:t>HD in winter/spring) - up to 22 </w:t>
            </w:r>
            <w:r w:rsidRPr="008D2B6B">
              <w:rPr>
                <w:rFonts w:ascii="Century Gothic" w:hAnsi="Century Gothic"/>
                <w:color w:val="000000"/>
                <w:sz w:val="18"/>
                <w:szCs w:val="18"/>
              </w:rPr>
              <w:t>000 ML via infrastructure, equiv</w:t>
            </w:r>
            <w:r>
              <w:rPr>
                <w:rFonts w:ascii="Century Gothic" w:hAnsi="Century Gothic"/>
                <w:color w:val="000000"/>
                <w:sz w:val="18"/>
                <w:szCs w:val="18"/>
              </w:rPr>
              <w:t>alent to natural event of 40-50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at Euston for 26-60 days</w:t>
            </w:r>
          </w:p>
          <w:p w:rsidR="007479B0" w:rsidRPr="008D2B6B" w:rsidRDefault="007479B0" w:rsidP="00E66785">
            <w:pPr>
              <w:spacing w:before="40" w:after="120"/>
              <w:rPr>
                <w:rFonts w:ascii="Century Gothic" w:hAnsi="Century Gothic"/>
                <w:color w:val="000000"/>
                <w:sz w:val="18"/>
                <w:szCs w:val="18"/>
              </w:rPr>
            </w:pPr>
            <w:r w:rsidRPr="008D2B6B">
              <w:rPr>
                <w:rFonts w:ascii="Century Gothic" w:hAnsi="Century Gothic"/>
                <w:color w:val="000000"/>
                <w:sz w:val="18"/>
                <w:szCs w:val="18"/>
              </w:rPr>
              <w:t>Moderate action targeting wetlands and fringing river red gums (inundation to 43.5 m AHD for 90 da</w:t>
            </w:r>
            <w:r>
              <w:rPr>
                <w:rFonts w:ascii="Century Gothic" w:hAnsi="Century Gothic"/>
                <w:color w:val="000000"/>
                <w:sz w:val="18"/>
                <w:szCs w:val="18"/>
              </w:rPr>
              <w:t>ys in winter/spring) – up to 40 </w:t>
            </w:r>
            <w:r w:rsidRPr="008D2B6B">
              <w:rPr>
                <w:rFonts w:ascii="Century Gothic" w:hAnsi="Century Gothic"/>
                <w:color w:val="000000"/>
                <w:sz w:val="18"/>
                <w:szCs w:val="18"/>
              </w:rPr>
              <w:t>000 ML via infrastructure, eq</w:t>
            </w:r>
            <w:r>
              <w:rPr>
                <w:rFonts w:ascii="Century Gothic" w:hAnsi="Century Gothic"/>
                <w:color w:val="000000"/>
                <w:sz w:val="18"/>
                <w:szCs w:val="18"/>
              </w:rPr>
              <w:t>uivalent to natural event of 85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at Euston for 30 days.</w:t>
            </w:r>
          </w:p>
          <w:p w:rsidR="007479B0" w:rsidRPr="008D2B6B" w:rsidRDefault="007479B0" w:rsidP="00E66785">
            <w:pPr>
              <w:spacing w:before="40" w:after="120"/>
              <w:rPr>
                <w:rFonts w:ascii="Century Gothic" w:hAnsi="Century Gothic"/>
                <w:color w:val="000000"/>
                <w:sz w:val="18"/>
                <w:szCs w:val="18"/>
              </w:rPr>
            </w:pPr>
            <w:r w:rsidRPr="008D2B6B">
              <w:rPr>
                <w:rFonts w:ascii="Century Gothic" w:hAnsi="Century Gothic"/>
                <w:color w:val="000000"/>
                <w:sz w:val="18"/>
                <w:szCs w:val="18"/>
              </w:rPr>
              <w:t>Large action targeting wetlands and river red gum/black box woodlands on floodplain (inundation to 45 m AHD for 90 days), up to</w:t>
            </w:r>
            <w:r>
              <w:rPr>
                <w:rFonts w:ascii="Century Gothic" w:hAnsi="Century Gothic"/>
                <w:color w:val="000000"/>
                <w:sz w:val="18"/>
                <w:szCs w:val="18"/>
              </w:rPr>
              <w:t>120 </w:t>
            </w:r>
            <w:r w:rsidRPr="008D2B6B">
              <w:rPr>
                <w:rFonts w:ascii="Century Gothic" w:hAnsi="Century Gothic"/>
                <w:color w:val="000000"/>
                <w:sz w:val="18"/>
                <w:szCs w:val="18"/>
              </w:rPr>
              <w:t>000 ML via infrastructure - equ</w:t>
            </w:r>
            <w:r>
              <w:rPr>
                <w:rFonts w:ascii="Century Gothic" w:hAnsi="Century Gothic"/>
                <w:color w:val="000000"/>
                <w:sz w:val="18"/>
                <w:szCs w:val="18"/>
              </w:rPr>
              <w:t>ivalent to natural event of 150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Euston for 7 days anytime in the year.</w:t>
            </w:r>
          </w:p>
        </w:tc>
        <w:tc>
          <w:tcPr>
            <w:tcW w:w="9358" w:type="dxa"/>
            <w:gridSpan w:val="7"/>
            <w:shd w:val="clear" w:color="auto" w:fill="auto"/>
          </w:tcPr>
          <w:p w:rsidR="007479B0" w:rsidRPr="008D2B6B" w:rsidRDefault="007479B0" w:rsidP="00E66785">
            <w:pPr>
              <w:spacing w:before="40" w:after="40"/>
              <w:rPr>
                <w:rFonts w:ascii="Century Gothic" w:hAnsi="Century Gothic"/>
                <w:sz w:val="18"/>
                <w:szCs w:val="18"/>
              </w:rPr>
            </w:pPr>
            <w:r>
              <w:rPr>
                <w:rFonts w:ascii="Century Gothic" w:hAnsi="Century Gothic"/>
                <w:i/>
                <w:color w:val="000000"/>
                <w:sz w:val="18"/>
                <w:szCs w:val="18"/>
              </w:rPr>
              <w:t>4</w:t>
            </w:r>
            <w:r w:rsidRPr="008D2B6B">
              <w:rPr>
                <w:rFonts w:ascii="Century Gothic" w:hAnsi="Century Gothic"/>
                <w:i/>
                <w:color w:val="000000"/>
                <w:sz w:val="18"/>
                <w:szCs w:val="18"/>
              </w:rPr>
              <w:t>a. Infrastructure Delivery: Low-lying Wetlands</w:t>
            </w:r>
            <w:r w:rsidRPr="008D2B6B">
              <w:rPr>
                <w:rFonts w:ascii="Century Gothic" w:hAnsi="Century Gothic"/>
                <w:i/>
                <w:sz w:val="18"/>
                <w:szCs w:val="18"/>
              </w:rPr>
              <w:t xml:space="preserve">: </w:t>
            </w:r>
            <w:r w:rsidRPr="008D2B6B">
              <w:rPr>
                <w:rFonts w:ascii="Century Gothic" w:hAnsi="Century Gothic"/>
                <w:color w:val="000000"/>
                <w:sz w:val="18"/>
                <w:szCs w:val="18"/>
              </w:rPr>
              <w:t>Contribute flows via pumping to inundate wetlands and waterways within the Hattah Lakes system.</w:t>
            </w:r>
            <w:r w:rsidRPr="008D2B6B">
              <w:rPr>
                <w:rFonts w:ascii="Century Gothic" w:hAnsi="Century Gothic"/>
                <w:sz w:val="18"/>
                <w:szCs w:val="18"/>
              </w:rPr>
              <w:t xml:space="preserve"> </w:t>
            </w:r>
          </w:p>
          <w:p w:rsidR="007479B0" w:rsidRPr="008D2B6B" w:rsidRDefault="007479B0" w:rsidP="00E66785">
            <w:pPr>
              <w:spacing w:before="40" w:after="40"/>
              <w:rPr>
                <w:rFonts w:ascii="Century Gothic" w:hAnsi="Century Gothic"/>
                <w:sz w:val="18"/>
                <w:szCs w:val="18"/>
              </w:rPr>
            </w:pPr>
          </w:p>
        </w:tc>
      </w:tr>
      <w:tr w:rsidR="007479B0" w:rsidRPr="008D2B6B" w:rsidTr="00E66785">
        <w:trPr>
          <w:trHeight w:val="930"/>
        </w:trPr>
        <w:tc>
          <w:tcPr>
            <w:tcW w:w="1667" w:type="dxa"/>
            <w:vMerge/>
          </w:tcPr>
          <w:p w:rsidR="007479B0" w:rsidRPr="008D2B6B" w:rsidRDefault="007479B0" w:rsidP="00E66785">
            <w:pPr>
              <w:spacing w:before="40" w:after="40"/>
              <w:rPr>
                <w:rFonts w:ascii="Century Gothic" w:hAnsi="Century Gothic"/>
                <w:b/>
                <w:color w:val="000000"/>
                <w:sz w:val="18"/>
                <w:szCs w:val="18"/>
              </w:rPr>
            </w:pPr>
          </w:p>
        </w:tc>
        <w:tc>
          <w:tcPr>
            <w:tcW w:w="4534" w:type="dxa"/>
            <w:vMerge/>
          </w:tcPr>
          <w:p w:rsidR="007479B0" w:rsidRPr="008D2B6B" w:rsidRDefault="007479B0" w:rsidP="00E66785">
            <w:pPr>
              <w:spacing w:before="40" w:after="120"/>
              <w:rPr>
                <w:rFonts w:ascii="Century Gothic" w:hAnsi="Century Gothic"/>
                <w:color w:val="000000"/>
                <w:sz w:val="18"/>
                <w:szCs w:val="18"/>
              </w:rPr>
            </w:pPr>
          </w:p>
        </w:tc>
        <w:tc>
          <w:tcPr>
            <w:tcW w:w="1559" w:type="dxa"/>
            <w:gridSpan w:val="2"/>
            <w:shd w:val="clear" w:color="auto" w:fill="D9D9D9" w:themeFill="background1" w:themeFillShade="D9"/>
          </w:tcPr>
          <w:p w:rsidR="007479B0" w:rsidRPr="008D2B6B" w:rsidRDefault="007479B0" w:rsidP="00E66785">
            <w:pPr>
              <w:spacing w:before="40" w:after="40"/>
              <w:rPr>
                <w:rFonts w:ascii="Century Gothic" w:hAnsi="Century Gothic"/>
                <w:i/>
                <w:color w:val="000000"/>
                <w:sz w:val="18"/>
                <w:szCs w:val="18"/>
              </w:rPr>
            </w:pPr>
          </w:p>
        </w:tc>
        <w:tc>
          <w:tcPr>
            <w:tcW w:w="7799" w:type="dxa"/>
            <w:gridSpan w:val="5"/>
            <w:shd w:val="clear" w:color="auto" w:fill="auto"/>
          </w:tcPr>
          <w:p w:rsidR="007479B0" w:rsidRPr="008D2B6B" w:rsidRDefault="007479B0" w:rsidP="00E66785">
            <w:pPr>
              <w:spacing w:before="40" w:after="40"/>
              <w:rPr>
                <w:rFonts w:ascii="Century Gothic" w:hAnsi="Century Gothic"/>
                <w:sz w:val="18"/>
                <w:szCs w:val="18"/>
              </w:rPr>
            </w:pPr>
            <w:r>
              <w:rPr>
                <w:rFonts w:ascii="Century Gothic" w:hAnsi="Century Gothic"/>
                <w:i/>
                <w:sz w:val="18"/>
                <w:szCs w:val="18"/>
              </w:rPr>
              <w:t>4</w:t>
            </w:r>
            <w:r w:rsidRPr="008D2B6B">
              <w:rPr>
                <w:rFonts w:ascii="Century Gothic" w:hAnsi="Century Gothic"/>
                <w:i/>
                <w:sz w:val="18"/>
                <w:szCs w:val="18"/>
              </w:rPr>
              <w:t xml:space="preserve">b. Infrastructure Delivery: Wetlands and Fringing River Red Gums: </w:t>
            </w:r>
            <w:r w:rsidRPr="008D2B6B">
              <w:rPr>
                <w:rFonts w:ascii="Century Gothic" w:hAnsi="Century Gothic"/>
                <w:sz w:val="18"/>
                <w:szCs w:val="18"/>
              </w:rPr>
              <w:t xml:space="preserve">Contribute flows via pumping to inundate wetlands and fringing river red gum communities. </w:t>
            </w:r>
          </w:p>
        </w:tc>
      </w:tr>
      <w:tr w:rsidR="007479B0" w:rsidRPr="008D2B6B" w:rsidTr="00E66785">
        <w:tc>
          <w:tcPr>
            <w:tcW w:w="1667" w:type="dxa"/>
            <w:vMerge/>
          </w:tcPr>
          <w:p w:rsidR="007479B0" w:rsidRPr="008D2B6B" w:rsidRDefault="007479B0" w:rsidP="00E66785">
            <w:pPr>
              <w:spacing w:before="40" w:after="40"/>
              <w:rPr>
                <w:rFonts w:ascii="Century Gothic" w:hAnsi="Century Gothic"/>
                <w:b/>
                <w:color w:val="000000"/>
                <w:sz w:val="18"/>
                <w:szCs w:val="18"/>
              </w:rPr>
            </w:pPr>
          </w:p>
        </w:tc>
        <w:tc>
          <w:tcPr>
            <w:tcW w:w="4534" w:type="dxa"/>
            <w:vMerge/>
          </w:tcPr>
          <w:p w:rsidR="007479B0" w:rsidRPr="008D2B6B" w:rsidRDefault="007479B0" w:rsidP="00E66785">
            <w:pPr>
              <w:spacing w:before="40" w:after="120"/>
              <w:rPr>
                <w:rFonts w:ascii="Century Gothic" w:hAnsi="Century Gothic"/>
                <w:color w:val="000000"/>
                <w:sz w:val="18"/>
                <w:szCs w:val="18"/>
              </w:rPr>
            </w:pPr>
          </w:p>
        </w:tc>
        <w:tc>
          <w:tcPr>
            <w:tcW w:w="3254" w:type="dxa"/>
            <w:gridSpan w:val="3"/>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c>
          <w:tcPr>
            <w:tcW w:w="6104" w:type="dxa"/>
            <w:gridSpan w:val="4"/>
            <w:shd w:val="clear" w:color="auto" w:fill="auto"/>
          </w:tcPr>
          <w:p w:rsidR="007479B0" w:rsidRPr="008D2B6B" w:rsidRDefault="007479B0" w:rsidP="00E66785">
            <w:pPr>
              <w:spacing w:before="40" w:after="120"/>
              <w:rPr>
                <w:rFonts w:ascii="Century Gothic" w:hAnsi="Century Gothic"/>
                <w:sz w:val="18"/>
                <w:szCs w:val="18"/>
              </w:rPr>
            </w:pPr>
            <w:r>
              <w:rPr>
                <w:rFonts w:ascii="Century Gothic" w:hAnsi="Century Gothic"/>
                <w:sz w:val="18"/>
                <w:szCs w:val="18"/>
              </w:rPr>
              <w:t>4</w:t>
            </w:r>
            <w:r w:rsidRPr="008D2B6B">
              <w:rPr>
                <w:rFonts w:ascii="Century Gothic" w:hAnsi="Century Gothic"/>
                <w:sz w:val="18"/>
                <w:szCs w:val="18"/>
              </w:rPr>
              <w:t xml:space="preserve">c. </w:t>
            </w:r>
            <w:r w:rsidRPr="008D2B6B">
              <w:rPr>
                <w:rFonts w:ascii="Century Gothic" w:hAnsi="Century Gothic"/>
                <w:i/>
                <w:sz w:val="18"/>
                <w:szCs w:val="18"/>
              </w:rPr>
              <w:t>Infrastructure Delivery: Wetlands and Floodplain:</w:t>
            </w:r>
            <w:r w:rsidRPr="008D2B6B">
              <w:rPr>
                <w:rFonts w:ascii="Century Gothic" w:hAnsi="Century Gothic"/>
                <w:sz w:val="18"/>
                <w:szCs w:val="18"/>
              </w:rPr>
              <w:t xml:space="preserve"> Contribute flows via pumping targeting red gum woodlands on the lower floodplain and black box on higher level floodplain. </w:t>
            </w:r>
          </w:p>
          <w:p w:rsidR="007479B0" w:rsidRPr="008D2B6B" w:rsidRDefault="007479B0" w:rsidP="00E66785">
            <w:pPr>
              <w:spacing w:before="40" w:after="120"/>
              <w:rPr>
                <w:rFonts w:ascii="Century Gothic" w:hAnsi="Century Gothic"/>
                <w:sz w:val="18"/>
                <w:szCs w:val="18"/>
              </w:rPr>
            </w:pPr>
            <w:r>
              <w:rPr>
                <w:rFonts w:ascii="Century Gothic" w:hAnsi="Century Gothic"/>
                <w:sz w:val="18"/>
                <w:szCs w:val="18"/>
              </w:rPr>
              <w:t>5</w:t>
            </w:r>
            <w:r w:rsidRPr="008D2B6B">
              <w:rPr>
                <w:rFonts w:ascii="Century Gothic" w:hAnsi="Century Gothic"/>
                <w:sz w:val="18"/>
                <w:szCs w:val="18"/>
              </w:rPr>
              <w:t xml:space="preserve">. </w:t>
            </w:r>
            <w:r w:rsidRPr="008D2B6B">
              <w:rPr>
                <w:rFonts w:ascii="Century Gothic" w:hAnsi="Century Gothic"/>
                <w:i/>
                <w:sz w:val="18"/>
                <w:szCs w:val="18"/>
              </w:rPr>
              <w:t>Hattah Lakes Overbank Flows</w:t>
            </w:r>
            <w:r w:rsidRPr="008D2B6B">
              <w:rPr>
                <w:rFonts w:ascii="Century Gothic" w:hAnsi="Century Gothic"/>
                <w:sz w:val="18"/>
                <w:szCs w:val="18"/>
              </w:rPr>
              <w:t>:  use infrastructure (pumping and regulators) to increas</w:t>
            </w:r>
            <w:r>
              <w:rPr>
                <w:rFonts w:ascii="Century Gothic" w:hAnsi="Century Gothic"/>
                <w:sz w:val="18"/>
                <w:szCs w:val="18"/>
              </w:rPr>
              <w:t>e</w:t>
            </w:r>
            <w:r w:rsidRPr="008D2B6B">
              <w:rPr>
                <w:rFonts w:ascii="Century Gothic" w:hAnsi="Century Gothic"/>
                <w:sz w:val="18"/>
                <w:szCs w:val="18"/>
              </w:rPr>
              <w:t xml:space="preserve"> extent and duration of inundation of wetlands </w:t>
            </w:r>
            <w:r>
              <w:rPr>
                <w:rFonts w:ascii="Century Gothic" w:hAnsi="Century Gothic"/>
                <w:sz w:val="18"/>
                <w:szCs w:val="18"/>
              </w:rPr>
              <w:t xml:space="preserve">and </w:t>
            </w:r>
            <w:r w:rsidRPr="008D2B6B">
              <w:rPr>
                <w:rFonts w:ascii="Century Gothic" w:hAnsi="Century Gothic"/>
                <w:sz w:val="18"/>
                <w:szCs w:val="18"/>
              </w:rPr>
              <w:t xml:space="preserve">floodplain. </w:t>
            </w:r>
          </w:p>
        </w:tc>
      </w:tr>
      <w:tr w:rsidR="007479B0" w:rsidRPr="008D2B6B" w:rsidTr="00E66785">
        <w:trPr>
          <w:trHeight w:val="629"/>
        </w:trPr>
        <w:tc>
          <w:tcPr>
            <w:tcW w:w="1667" w:type="dxa"/>
            <w:vMerge w:val="restart"/>
            <w:tcBorders>
              <w:bottom w:val="single" w:sz="4" w:space="0" w:color="auto"/>
            </w:tcBorders>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sz w:val="18"/>
                <w:szCs w:val="18"/>
              </w:rPr>
              <w:t>Floodplain and wetlands from Euston to South Australian border</w:t>
            </w:r>
          </w:p>
          <w:p w:rsidR="007479B0" w:rsidRPr="008D2B6B" w:rsidRDefault="007479B0" w:rsidP="00E66785">
            <w:pPr>
              <w:spacing w:before="40" w:after="40"/>
              <w:rPr>
                <w:rFonts w:ascii="Century Gothic" w:hAnsi="Century Gothic"/>
                <w:b/>
                <w:sz w:val="18"/>
                <w:szCs w:val="18"/>
              </w:rPr>
            </w:pPr>
          </w:p>
        </w:tc>
        <w:tc>
          <w:tcPr>
            <w:tcW w:w="4534" w:type="dxa"/>
            <w:vMerge w:val="restart"/>
          </w:tcPr>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30 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Lock 8 for 30-60 days targeting low lying wetlands and anabranches, or portion via infrastructure</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50-60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Lock 8 for 60-120 days targeting river red gum forest, lignum </w:t>
            </w:r>
            <w:proofErr w:type="spellStart"/>
            <w:r w:rsidRPr="008D2B6B">
              <w:rPr>
                <w:rFonts w:ascii="Century Gothic" w:hAnsi="Century Gothic"/>
                <w:color w:val="000000"/>
                <w:sz w:val="18"/>
                <w:szCs w:val="18"/>
              </w:rPr>
              <w:t>shrubland</w:t>
            </w:r>
            <w:proofErr w:type="spellEnd"/>
            <w:r w:rsidRPr="008D2B6B">
              <w:rPr>
                <w:rFonts w:ascii="Century Gothic" w:hAnsi="Century Gothic"/>
                <w:color w:val="000000"/>
                <w:sz w:val="18"/>
                <w:szCs w:val="18"/>
              </w:rPr>
              <w:t xml:space="preserve"> and associated wetlands, or portion via </w:t>
            </w:r>
            <w:r w:rsidRPr="008D2B6B">
              <w:rPr>
                <w:rFonts w:ascii="Century Gothic" w:hAnsi="Century Gothic"/>
                <w:color w:val="000000"/>
                <w:sz w:val="18"/>
                <w:szCs w:val="18"/>
              </w:rPr>
              <w:lastRenderedPageBreak/>
              <w:t>infrastructure</w:t>
            </w:r>
          </w:p>
          <w:p w:rsidR="007479B0" w:rsidRPr="008D2B6B" w:rsidRDefault="007479B0" w:rsidP="00E66785">
            <w:pPr>
              <w:spacing w:before="40" w:after="120"/>
              <w:rPr>
                <w:rFonts w:ascii="Century Gothic" w:hAnsi="Century Gothic"/>
                <w:i/>
                <w:sz w:val="18"/>
                <w:szCs w:val="18"/>
              </w:rPr>
            </w:pPr>
            <w:r w:rsidRPr="008D2B6B">
              <w:rPr>
                <w:rFonts w:ascii="Century Gothic" w:hAnsi="Century Gothic"/>
                <w:color w:val="000000"/>
                <w:sz w:val="18"/>
                <w:szCs w:val="18"/>
              </w:rPr>
              <w:t>Infrastructure deliver</w:t>
            </w:r>
            <w:r>
              <w:rPr>
                <w:rFonts w:ascii="Century Gothic" w:hAnsi="Century Gothic"/>
                <w:color w:val="000000"/>
                <w:sz w:val="18"/>
                <w:szCs w:val="18"/>
              </w:rPr>
              <w:t>y to a portion equivalent to 80 </w:t>
            </w:r>
            <w:r w:rsidRPr="008D2B6B">
              <w:rPr>
                <w:rFonts w:ascii="Century Gothic" w:hAnsi="Century Gothic"/>
                <w:color w:val="000000"/>
                <w:sz w:val="18"/>
                <w:szCs w:val="18"/>
              </w:rPr>
              <w:t>000 ML/d @ Lock 8 targeting river red gum and black box woodland and associated wetlands</w:t>
            </w:r>
          </w:p>
        </w:tc>
        <w:tc>
          <w:tcPr>
            <w:tcW w:w="1541" w:type="dxa"/>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i/>
                <w:sz w:val="18"/>
                <w:szCs w:val="18"/>
              </w:rPr>
            </w:pPr>
          </w:p>
        </w:tc>
        <w:tc>
          <w:tcPr>
            <w:tcW w:w="6116" w:type="dxa"/>
            <w:gridSpan w:val="5"/>
            <w:tcBorders>
              <w:bottom w:val="single" w:sz="4" w:space="0" w:color="auto"/>
            </w:tcBorders>
            <w:shd w:val="clear" w:color="auto" w:fill="auto"/>
          </w:tcPr>
          <w:p w:rsidR="007479B0" w:rsidRPr="008D2B6B" w:rsidRDefault="007479B0" w:rsidP="00E66785">
            <w:pPr>
              <w:spacing w:before="40" w:after="40"/>
              <w:rPr>
                <w:rFonts w:ascii="Century Gothic" w:hAnsi="Century Gothic"/>
                <w:color w:val="000000"/>
                <w:sz w:val="18"/>
                <w:szCs w:val="18"/>
              </w:rPr>
            </w:pPr>
            <w:r>
              <w:rPr>
                <w:rFonts w:ascii="Century Gothic" w:hAnsi="Century Gothic"/>
                <w:i/>
                <w:color w:val="000000"/>
                <w:sz w:val="18"/>
                <w:szCs w:val="18"/>
              </w:rPr>
              <w:t>6</w:t>
            </w:r>
            <w:r w:rsidRPr="008D2B6B">
              <w:rPr>
                <w:rFonts w:ascii="Century Gothic" w:hAnsi="Century Gothic"/>
                <w:i/>
                <w:color w:val="000000"/>
                <w:sz w:val="18"/>
                <w:szCs w:val="18"/>
              </w:rPr>
              <w:t>. Delivery via Lindsay-</w:t>
            </w:r>
            <w:proofErr w:type="spellStart"/>
            <w:r w:rsidRPr="008D2B6B">
              <w:rPr>
                <w:rFonts w:ascii="Century Gothic" w:hAnsi="Century Gothic"/>
                <w:i/>
                <w:color w:val="000000"/>
                <w:sz w:val="18"/>
                <w:szCs w:val="18"/>
              </w:rPr>
              <w:t>Mulcra</w:t>
            </w:r>
            <w:proofErr w:type="spellEnd"/>
            <w:r w:rsidRPr="008D2B6B">
              <w:rPr>
                <w:rFonts w:ascii="Century Gothic" w:hAnsi="Century Gothic"/>
                <w:i/>
                <w:color w:val="000000"/>
                <w:sz w:val="18"/>
                <w:szCs w:val="18"/>
              </w:rPr>
              <w:t>-Wallpolla Floodplain Works</w:t>
            </w:r>
            <w:r w:rsidRPr="008D2B6B">
              <w:rPr>
                <w:rFonts w:ascii="Century Gothic" w:hAnsi="Century Gothic"/>
                <w:i/>
                <w:sz w:val="18"/>
                <w:szCs w:val="18"/>
              </w:rPr>
              <w:t xml:space="preserve">: </w:t>
            </w:r>
            <w:r w:rsidRPr="008D2B6B">
              <w:rPr>
                <w:rFonts w:ascii="Century Gothic" w:hAnsi="Century Gothic"/>
                <w:color w:val="000000"/>
                <w:sz w:val="18"/>
                <w:szCs w:val="18"/>
              </w:rPr>
              <w:t>Contribute flows via works to inundate low lying wetlands and anabranches,  river red gum forest and/or black box woodland</w:t>
            </w:r>
          </w:p>
        </w:tc>
        <w:tc>
          <w:tcPr>
            <w:tcW w:w="1701" w:type="dxa"/>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i/>
                <w:sz w:val="18"/>
                <w:szCs w:val="18"/>
              </w:rPr>
            </w:pPr>
          </w:p>
        </w:tc>
      </w:tr>
      <w:tr w:rsidR="007479B0" w:rsidRPr="008D2B6B" w:rsidTr="00E66785">
        <w:trPr>
          <w:trHeight w:val="832"/>
        </w:trPr>
        <w:tc>
          <w:tcPr>
            <w:tcW w:w="1667" w:type="dxa"/>
            <w:vMerge/>
            <w:tcBorders>
              <w:bottom w:val="single" w:sz="4" w:space="0" w:color="auto"/>
            </w:tcBorders>
          </w:tcPr>
          <w:p w:rsidR="007479B0" w:rsidRPr="008D2B6B" w:rsidRDefault="007479B0" w:rsidP="00E66785">
            <w:pPr>
              <w:spacing w:before="40" w:after="40"/>
              <w:rPr>
                <w:rFonts w:ascii="Century Gothic" w:hAnsi="Century Gothic"/>
                <w:b/>
                <w:sz w:val="18"/>
                <w:szCs w:val="18"/>
              </w:rPr>
            </w:pPr>
          </w:p>
        </w:tc>
        <w:tc>
          <w:tcPr>
            <w:tcW w:w="4534" w:type="dxa"/>
            <w:vMerge/>
          </w:tcPr>
          <w:p w:rsidR="007479B0" w:rsidRPr="008D2B6B" w:rsidRDefault="007479B0" w:rsidP="00E66785">
            <w:pPr>
              <w:spacing w:before="40" w:after="120"/>
              <w:rPr>
                <w:rFonts w:ascii="Century Gothic" w:hAnsi="Century Gothic"/>
                <w:color w:val="000000"/>
                <w:sz w:val="18"/>
                <w:szCs w:val="18"/>
              </w:rPr>
            </w:pPr>
          </w:p>
        </w:tc>
        <w:tc>
          <w:tcPr>
            <w:tcW w:w="9358" w:type="dxa"/>
            <w:gridSpan w:val="7"/>
            <w:tcBorders>
              <w:bottom w:val="single" w:sz="4" w:space="0" w:color="auto"/>
            </w:tcBorders>
            <w:shd w:val="clear" w:color="auto" w:fill="auto"/>
          </w:tcPr>
          <w:p w:rsidR="007479B0" w:rsidRPr="008D2B6B" w:rsidRDefault="007479B0" w:rsidP="00E66785">
            <w:pPr>
              <w:spacing w:before="40" w:after="40"/>
              <w:rPr>
                <w:rFonts w:ascii="Century Gothic" w:hAnsi="Century Gothic"/>
                <w:sz w:val="18"/>
                <w:szCs w:val="18"/>
              </w:rPr>
            </w:pPr>
            <w:r>
              <w:rPr>
                <w:rFonts w:ascii="Century Gothic" w:hAnsi="Century Gothic"/>
                <w:i/>
                <w:color w:val="000000"/>
                <w:sz w:val="18"/>
                <w:szCs w:val="18"/>
              </w:rPr>
              <w:t>7</w:t>
            </w:r>
            <w:r w:rsidRPr="008D2B6B">
              <w:rPr>
                <w:rFonts w:ascii="Century Gothic" w:hAnsi="Century Gothic"/>
                <w:i/>
                <w:color w:val="000000"/>
                <w:sz w:val="18"/>
                <w:szCs w:val="18"/>
              </w:rPr>
              <w:t xml:space="preserve">. Infrastructure Delivery: </w:t>
            </w:r>
            <w:proofErr w:type="spellStart"/>
            <w:r w:rsidRPr="008D2B6B">
              <w:rPr>
                <w:rFonts w:ascii="Century Gothic" w:hAnsi="Century Gothic"/>
                <w:i/>
                <w:color w:val="000000"/>
                <w:sz w:val="18"/>
                <w:szCs w:val="18"/>
              </w:rPr>
              <w:t>Mallee</w:t>
            </w:r>
            <w:proofErr w:type="spellEnd"/>
            <w:r w:rsidRPr="008D2B6B">
              <w:rPr>
                <w:rFonts w:ascii="Century Gothic" w:hAnsi="Century Gothic"/>
                <w:i/>
                <w:color w:val="000000"/>
                <w:sz w:val="18"/>
                <w:szCs w:val="18"/>
              </w:rPr>
              <w:t xml:space="preserve"> Wetlands</w:t>
            </w:r>
            <w:r w:rsidRPr="008D2B6B">
              <w:rPr>
                <w:rFonts w:ascii="Century Gothic" w:hAnsi="Century Gothic"/>
                <w:i/>
                <w:sz w:val="18"/>
                <w:szCs w:val="18"/>
              </w:rPr>
              <w:t xml:space="preserve">: </w:t>
            </w:r>
            <w:r w:rsidRPr="008D2B6B">
              <w:rPr>
                <w:rFonts w:ascii="Century Gothic" w:hAnsi="Century Gothic"/>
                <w:color w:val="000000"/>
                <w:sz w:val="18"/>
                <w:szCs w:val="18"/>
              </w:rPr>
              <w:t xml:space="preserve">Contribute flows via wetland regulators and/or pumping to inundate semi-permanent, temporary and ephemeral wetlands </w:t>
            </w:r>
          </w:p>
        </w:tc>
      </w:tr>
      <w:tr w:rsidR="007479B0" w:rsidRPr="008D2B6B" w:rsidTr="00E66785">
        <w:trPr>
          <w:trHeight w:val="848"/>
        </w:trPr>
        <w:tc>
          <w:tcPr>
            <w:tcW w:w="1667" w:type="dxa"/>
            <w:vMerge/>
            <w:tcBorders>
              <w:bottom w:val="single" w:sz="4" w:space="0" w:color="auto"/>
            </w:tcBorders>
          </w:tcPr>
          <w:p w:rsidR="007479B0" w:rsidRPr="008D2B6B" w:rsidRDefault="007479B0" w:rsidP="00E66785">
            <w:pPr>
              <w:spacing w:before="40" w:after="40"/>
              <w:rPr>
                <w:rFonts w:ascii="Century Gothic" w:hAnsi="Century Gothic"/>
                <w:b/>
                <w:sz w:val="18"/>
                <w:szCs w:val="18"/>
              </w:rPr>
            </w:pPr>
          </w:p>
        </w:tc>
        <w:tc>
          <w:tcPr>
            <w:tcW w:w="4534" w:type="dxa"/>
            <w:vMerge/>
            <w:tcBorders>
              <w:bottom w:val="single" w:sz="4" w:space="0" w:color="auto"/>
            </w:tcBorders>
          </w:tcPr>
          <w:p w:rsidR="007479B0" w:rsidRPr="008D2B6B" w:rsidRDefault="007479B0" w:rsidP="00E66785">
            <w:pPr>
              <w:spacing w:before="40" w:after="120"/>
              <w:rPr>
                <w:rFonts w:ascii="Century Gothic" w:hAnsi="Century Gothic"/>
                <w:color w:val="000000"/>
                <w:sz w:val="18"/>
                <w:szCs w:val="18"/>
              </w:rPr>
            </w:pPr>
          </w:p>
        </w:tc>
        <w:tc>
          <w:tcPr>
            <w:tcW w:w="3254" w:type="dxa"/>
            <w:gridSpan w:val="3"/>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c>
          <w:tcPr>
            <w:tcW w:w="6104" w:type="dxa"/>
            <w:gridSpan w:val="4"/>
            <w:tcBorders>
              <w:bottom w:val="single" w:sz="4" w:space="0" w:color="auto"/>
            </w:tcBorders>
            <w:shd w:val="clear" w:color="auto" w:fill="auto"/>
          </w:tcPr>
          <w:p w:rsidR="007479B0" w:rsidRPr="008D2B6B" w:rsidRDefault="007479B0" w:rsidP="00E66785">
            <w:pPr>
              <w:spacing w:before="40" w:after="40"/>
              <w:rPr>
                <w:rFonts w:ascii="Century Gothic" w:hAnsi="Century Gothic"/>
                <w:sz w:val="18"/>
                <w:szCs w:val="18"/>
              </w:rPr>
            </w:pPr>
            <w:r>
              <w:rPr>
                <w:rFonts w:ascii="Century Gothic" w:hAnsi="Century Gothic"/>
                <w:i/>
                <w:color w:val="000000"/>
                <w:sz w:val="18"/>
                <w:szCs w:val="18"/>
              </w:rPr>
              <w:t>8</w:t>
            </w:r>
            <w:r w:rsidRPr="008D2B6B">
              <w:rPr>
                <w:rFonts w:ascii="Century Gothic" w:hAnsi="Century Gothic"/>
                <w:i/>
                <w:color w:val="000000"/>
                <w:sz w:val="18"/>
                <w:szCs w:val="18"/>
              </w:rPr>
              <w:t>. Contribution to Overbank Flows</w:t>
            </w:r>
            <w:r w:rsidRPr="008D2B6B">
              <w:rPr>
                <w:rFonts w:ascii="Century Gothic" w:hAnsi="Century Gothic"/>
                <w:i/>
                <w:sz w:val="18"/>
                <w:szCs w:val="18"/>
              </w:rPr>
              <w:t xml:space="preserve">: </w:t>
            </w:r>
            <w:r w:rsidRPr="008D2B6B">
              <w:rPr>
                <w:rFonts w:ascii="Century Gothic" w:hAnsi="Century Gothic"/>
                <w:color w:val="000000"/>
                <w:sz w:val="18"/>
                <w:szCs w:val="18"/>
              </w:rPr>
              <w:t xml:space="preserve">Contribute to flows to re-connect river with river red gum forest and lignum </w:t>
            </w:r>
            <w:proofErr w:type="spellStart"/>
            <w:r w:rsidRPr="008D2B6B">
              <w:rPr>
                <w:rFonts w:ascii="Century Gothic" w:hAnsi="Century Gothic"/>
                <w:color w:val="000000"/>
                <w:sz w:val="18"/>
                <w:szCs w:val="18"/>
              </w:rPr>
              <w:t>shrubland</w:t>
            </w:r>
            <w:proofErr w:type="spellEnd"/>
            <w:r w:rsidRPr="008D2B6B">
              <w:rPr>
                <w:rFonts w:ascii="Century Gothic" w:hAnsi="Century Gothic"/>
                <w:color w:val="000000"/>
                <w:sz w:val="18"/>
                <w:szCs w:val="18"/>
              </w:rPr>
              <w:t>, subject to appropriate trigger</w:t>
            </w:r>
          </w:p>
        </w:tc>
      </w:tr>
      <w:tr w:rsidR="007479B0" w:rsidRPr="008D2B6B" w:rsidTr="00E66785">
        <w:trPr>
          <w:trHeight w:val="791"/>
        </w:trPr>
        <w:tc>
          <w:tcPr>
            <w:tcW w:w="1667" w:type="dxa"/>
            <w:vMerge w:val="restart"/>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sz w:val="18"/>
                <w:szCs w:val="18"/>
              </w:rPr>
              <w:lastRenderedPageBreak/>
              <w:t xml:space="preserve">Floodplain and wetlands from South Australian border to </w:t>
            </w:r>
            <w:r>
              <w:rPr>
                <w:rFonts w:ascii="Century Gothic" w:hAnsi="Century Gothic"/>
                <w:b/>
                <w:sz w:val="18"/>
                <w:szCs w:val="18"/>
              </w:rPr>
              <w:t>Lower Lakes</w:t>
            </w:r>
          </w:p>
        </w:tc>
        <w:tc>
          <w:tcPr>
            <w:tcW w:w="4534" w:type="dxa"/>
            <w:vMerge w:val="restart"/>
          </w:tcPr>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40-50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South Australian border for up to 90 days targeting river red gum forest,</w:t>
            </w:r>
            <w:r>
              <w:rPr>
                <w:rFonts w:ascii="Century Gothic" w:hAnsi="Century Gothic"/>
                <w:color w:val="000000"/>
                <w:sz w:val="18"/>
                <w:szCs w:val="18"/>
              </w:rPr>
              <w:t xml:space="preserve"> </w:t>
            </w:r>
            <w:r w:rsidRPr="008D2B6B">
              <w:rPr>
                <w:rFonts w:ascii="Century Gothic" w:hAnsi="Century Gothic"/>
                <w:color w:val="000000"/>
                <w:sz w:val="18"/>
                <w:szCs w:val="18"/>
              </w:rPr>
              <w:t>tea tree, lignum, river cooba and associated wetlands, or portion via infrastructure</w:t>
            </w:r>
          </w:p>
          <w:p w:rsidR="007479B0" w:rsidRPr="008D2B6B" w:rsidRDefault="007479B0" w:rsidP="00E66785">
            <w:pPr>
              <w:spacing w:before="40" w:after="120"/>
              <w:ind w:firstLine="34"/>
              <w:rPr>
                <w:rFonts w:ascii="Century Gothic" w:hAnsi="Century Gothic"/>
                <w:color w:val="000000"/>
                <w:sz w:val="18"/>
                <w:szCs w:val="18"/>
              </w:rPr>
            </w:pPr>
            <w:r>
              <w:rPr>
                <w:rFonts w:ascii="Century Gothic" w:hAnsi="Century Gothic"/>
                <w:color w:val="000000"/>
                <w:sz w:val="18"/>
                <w:szCs w:val="18"/>
              </w:rPr>
              <w:t>50-60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South Australian border for up to 90 days targeting river red gum woodland, black box, cooba, tea tree and lignum and associated wetlands, or portion via infrastructure</w:t>
            </w:r>
          </w:p>
          <w:p w:rsidR="007479B0" w:rsidRPr="008D2B6B" w:rsidRDefault="007479B0" w:rsidP="00E66785">
            <w:pPr>
              <w:spacing w:before="40" w:after="40"/>
              <w:rPr>
                <w:rFonts w:ascii="Century Gothic" w:hAnsi="Century Gothic"/>
                <w:color w:val="000000"/>
                <w:sz w:val="18"/>
                <w:szCs w:val="18"/>
              </w:rPr>
            </w:pPr>
            <w:r w:rsidRPr="008D2B6B">
              <w:rPr>
                <w:rFonts w:ascii="Century Gothic" w:hAnsi="Century Gothic"/>
                <w:color w:val="000000"/>
                <w:sz w:val="18"/>
                <w:szCs w:val="18"/>
              </w:rPr>
              <w:t>Infrastructure delivery t</w:t>
            </w:r>
            <w:r>
              <w:rPr>
                <w:rFonts w:ascii="Century Gothic" w:hAnsi="Century Gothic"/>
                <w:color w:val="000000"/>
                <w:sz w:val="18"/>
                <w:szCs w:val="18"/>
              </w:rPr>
              <w:t>o a portion equivalent to 60-70 </w:t>
            </w:r>
            <w:r w:rsidRPr="008D2B6B">
              <w:rPr>
                <w:rFonts w:ascii="Century Gothic" w:hAnsi="Century Gothic"/>
                <w:color w:val="000000"/>
                <w:sz w:val="18"/>
                <w:szCs w:val="18"/>
              </w:rPr>
              <w:t>000 ML/d</w:t>
            </w:r>
            <w:r>
              <w:rPr>
                <w:rFonts w:ascii="Century Gothic" w:hAnsi="Century Gothic"/>
                <w:color w:val="000000"/>
                <w:sz w:val="18"/>
                <w:szCs w:val="18"/>
              </w:rPr>
              <w:t>ay</w:t>
            </w:r>
            <w:r w:rsidRPr="008D2B6B">
              <w:rPr>
                <w:rFonts w:ascii="Century Gothic" w:hAnsi="Century Gothic"/>
                <w:color w:val="000000"/>
                <w:sz w:val="18"/>
                <w:szCs w:val="18"/>
              </w:rPr>
              <w:t xml:space="preserve"> @ South Australian border targeting black box, cooba, lignum and chenopod and associated wetlands</w:t>
            </w:r>
          </w:p>
        </w:tc>
        <w:tc>
          <w:tcPr>
            <w:tcW w:w="1559" w:type="dxa"/>
            <w:gridSpan w:val="2"/>
            <w:shd w:val="clear" w:color="auto" w:fill="D9D9D9" w:themeFill="background1" w:themeFillShade="D9"/>
          </w:tcPr>
          <w:p w:rsidR="007479B0" w:rsidRPr="008D2B6B" w:rsidRDefault="007479B0" w:rsidP="00E66785">
            <w:pPr>
              <w:spacing w:before="40" w:after="40"/>
              <w:rPr>
                <w:rFonts w:ascii="Century Gothic" w:hAnsi="Century Gothic"/>
                <w:color w:val="000000"/>
                <w:sz w:val="18"/>
                <w:szCs w:val="18"/>
              </w:rPr>
            </w:pPr>
          </w:p>
        </w:tc>
        <w:tc>
          <w:tcPr>
            <w:tcW w:w="6098" w:type="dxa"/>
            <w:gridSpan w:val="4"/>
            <w:shd w:val="clear" w:color="auto" w:fill="auto"/>
          </w:tcPr>
          <w:p w:rsidR="007479B0" w:rsidRPr="008D2B6B" w:rsidRDefault="007479B0" w:rsidP="00E66785">
            <w:pPr>
              <w:spacing w:before="40" w:after="40"/>
              <w:rPr>
                <w:rFonts w:ascii="Century Gothic" w:hAnsi="Century Gothic"/>
                <w:sz w:val="18"/>
                <w:szCs w:val="18"/>
              </w:rPr>
            </w:pPr>
            <w:r>
              <w:rPr>
                <w:rFonts w:ascii="Century Gothic" w:hAnsi="Century Gothic"/>
                <w:i/>
                <w:color w:val="000000"/>
                <w:sz w:val="18"/>
                <w:szCs w:val="18"/>
              </w:rPr>
              <w:t>9</w:t>
            </w:r>
            <w:r w:rsidRPr="008D2B6B">
              <w:rPr>
                <w:rFonts w:ascii="Century Gothic" w:hAnsi="Century Gothic"/>
                <w:i/>
                <w:color w:val="000000"/>
                <w:sz w:val="18"/>
                <w:szCs w:val="18"/>
              </w:rPr>
              <w:t>. Infrastructure Delivery: Chowilla Floodplain</w:t>
            </w:r>
            <w:r w:rsidRPr="008D2B6B">
              <w:rPr>
                <w:rFonts w:ascii="Century Gothic" w:hAnsi="Century Gothic"/>
                <w:i/>
                <w:sz w:val="18"/>
                <w:szCs w:val="18"/>
              </w:rPr>
              <w:t>:</w:t>
            </w:r>
            <w:r w:rsidRPr="008D2B6B">
              <w:rPr>
                <w:rFonts w:ascii="Century Gothic" w:hAnsi="Century Gothic"/>
                <w:sz w:val="18"/>
                <w:szCs w:val="18"/>
              </w:rPr>
              <w:t xml:space="preserve"> </w:t>
            </w:r>
            <w:r w:rsidRPr="008D2B6B">
              <w:rPr>
                <w:rFonts w:ascii="Century Gothic" w:hAnsi="Century Gothic"/>
                <w:color w:val="000000"/>
                <w:sz w:val="18"/>
                <w:szCs w:val="18"/>
              </w:rPr>
              <w:t>Use Chowilla Floodplain infrastructure to deliver pulse flows to creeks and inundate parts of the floodplain</w:t>
            </w:r>
          </w:p>
        </w:tc>
        <w:tc>
          <w:tcPr>
            <w:tcW w:w="1701" w:type="dxa"/>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r>
      <w:tr w:rsidR="007479B0" w:rsidRPr="008D2B6B" w:rsidTr="00E66785">
        <w:trPr>
          <w:trHeight w:val="730"/>
        </w:trPr>
        <w:tc>
          <w:tcPr>
            <w:tcW w:w="1667" w:type="dxa"/>
            <w:vMerge/>
          </w:tcPr>
          <w:p w:rsidR="007479B0" w:rsidRPr="008D2B6B" w:rsidRDefault="007479B0" w:rsidP="00E66785">
            <w:pPr>
              <w:spacing w:before="40" w:after="40"/>
              <w:rPr>
                <w:rFonts w:ascii="Century Gothic" w:hAnsi="Century Gothic"/>
                <w:b/>
                <w:sz w:val="18"/>
                <w:szCs w:val="18"/>
              </w:rPr>
            </w:pPr>
          </w:p>
        </w:tc>
        <w:tc>
          <w:tcPr>
            <w:tcW w:w="4534" w:type="dxa"/>
            <w:vMerge/>
          </w:tcPr>
          <w:p w:rsidR="007479B0" w:rsidRPr="008D2B6B" w:rsidRDefault="007479B0" w:rsidP="00E66785">
            <w:pPr>
              <w:spacing w:before="40" w:after="120"/>
              <w:rPr>
                <w:rFonts w:ascii="Century Gothic" w:hAnsi="Century Gothic"/>
                <w:color w:val="000000"/>
                <w:sz w:val="18"/>
                <w:szCs w:val="18"/>
              </w:rPr>
            </w:pPr>
          </w:p>
        </w:tc>
        <w:tc>
          <w:tcPr>
            <w:tcW w:w="9358" w:type="dxa"/>
            <w:gridSpan w:val="7"/>
            <w:shd w:val="clear" w:color="auto" w:fill="auto"/>
          </w:tcPr>
          <w:p w:rsidR="007479B0" w:rsidRPr="008D2B6B" w:rsidRDefault="007479B0" w:rsidP="00E66785">
            <w:pPr>
              <w:spacing w:before="40" w:after="40"/>
              <w:rPr>
                <w:rFonts w:ascii="Century Gothic" w:hAnsi="Century Gothic"/>
                <w:sz w:val="18"/>
                <w:szCs w:val="18"/>
              </w:rPr>
            </w:pPr>
            <w:r w:rsidRPr="008D2B6B">
              <w:rPr>
                <w:rFonts w:ascii="Century Gothic" w:hAnsi="Century Gothic"/>
                <w:i/>
                <w:color w:val="000000"/>
                <w:sz w:val="18"/>
                <w:szCs w:val="18"/>
              </w:rPr>
              <w:t>1</w:t>
            </w:r>
            <w:r>
              <w:rPr>
                <w:rFonts w:ascii="Century Gothic" w:hAnsi="Century Gothic"/>
                <w:i/>
                <w:color w:val="000000"/>
                <w:sz w:val="18"/>
                <w:szCs w:val="18"/>
              </w:rPr>
              <w:t>0</w:t>
            </w:r>
            <w:r w:rsidRPr="008D2B6B">
              <w:rPr>
                <w:rFonts w:ascii="Century Gothic" w:hAnsi="Century Gothic"/>
                <w:i/>
                <w:color w:val="000000"/>
                <w:sz w:val="18"/>
                <w:szCs w:val="18"/>
              </w:rPr>
              <w:t>. Infrastructure Delivery: Lower Murray Wetlands</w:t>
            </w:r>
            <w:r w:rsidRPr="008D2B6B">
              <w:rPr>
                <w:rFonts w:ascii="Century Gothic" w:hAnsi="Century Gothic"/>
                <w:i/>
                <w:sz w:val="18"/>
                <w:szCs w:val="18"/>
              </w:rPr>
              <w:t xml:space="preserve">: </w:t>
            </w:r>
            <w:r w:rsidRPr="008D2B6B">
              <w:rPr>
                <w:rFonts w:ascii="Century Gothic" w:hAnsi="Century Gothic"/>
                <w:color w:val="000000"/>
                <w:sz w:val="18"/>
                <w:szCs w:val="18"/>
              </w:rPr>
              <w:t xml:space="preserve">Contribute flows via wetland regulators and pumping to inundate semi-permanent, temporary and ephemeral wetlands </w:t>
            </w:r>
          </w:p>
        </w:tc>
      </w:tr>
      <w:tr w:rsidR="007479B0" w:rsidRPr="008D2B6B" w:rsidTr="00E66785">
        <w:trPr>
          <w:trHeight w:val="1080"/>
        </w:trPr>
        <w:tc>
          <w:tcPr>
            <w:tcW w:w="1667" w:type="dxa"/>
            <w:vMerge/>
          </w:tcPr>
          <w:p w:rsidR="007479B0" w:rsidRPr="008D2B6B" w:rsidRDefault="007479B0" w:rsidP="00E66785">
            <w:pPr>
              <w:spacing w:before="40" w:after="40"/>
              <w:rPr>
                <w:rFonts w:ascii="Century Gothic" w:hAnsi="Century Gothic"/>
                <w:b/>
                <w:sz w:val="18"/>
                <w:szCs w:val="18"/>
              </w:rPr>
            </w:pPr>
          </w:p>
        </w:tc>
        <w:tc>
          <w:tcPr>
            <w:tcW w:w="4534" w:type="dxa"/>
            <w:vMerge/>
          </w:tcPr>
          <w:p w:rsidR="007479B0" w:rsidRPr="008D2B6B" w:rsidRDefault="007479B0" w:rsidP="00E66785">
            <w:pPr>
              <w:spacing w:before="40" w:after="120"/>
              <w:rPr>
                <w:rFonts w:ascii="Century Gothic" w:hAnsi="Century Gothic"/>
                <w:color w:val="000000"/>
                <w:sz w:val="18"/>
                <w:szCs w:val="18"/>
              </w:rPr>
            </w:pPr>
          </w:p>
        </w:tc>
        <w:tc>
          <w:tcPr>
            <w:tcW w:w="3254" w:type="dxa"/>
            <w:gridSpan w:val="3"/>
            <w:shd w:val="clear" w:color="auto" w:fill="D9D9D9" w:themeFill="background1" w:themeFillShade="D9"/>
          </w:tcPr>
          <w:p w:rsidR="007479B0" w:rsidRPr="008D2B6B" w:rsidRDefault="007479B0" w:rsidP="00E66785">
            <w:pPr>
              <w:spacing w:before="40" w:after="40"/>
              <w:rPr>
                <w:rFonts w:ascii="Century Gothic" w:hAnsi="Century Gothic"/>
                <w:i/>
                <w:sz w:val="18"/>
                <w:szCs w:val="18"/>
              </w:rPr>
            </w:pPr>
          </w:p>
        </w:tc>
        <w:tc>
          <w:tcPr>
            <w:tcW w:w="4403" w:type="dxa"/>
            <w:gridSpan w:val="3"/>
            <w:shd w:val="clear" w:color="auto" w:fill="auto"/>
          </w:tcPr>
          <w:p w:rsidR="007479B0" w:rsidRPr="008D2B6B" w:rsidRDefault="007479B0" w:rsidP="00E66785">
            <w:pPr>
              <w:spacing w:before="40" w:after="40"/>
              <w:rPr>
                <w:rFonts w:ascii="Century Gothic" w:hAnsi="Century Gothic"/>
                <w:i/>
                <w:color w:val="000000"/>
                <w:sz w:val="18"/>
                <w:szCs w:val="18"/>
              </w:rPr>
            </w:pPr>
            <w:r w:rsidRPr="008D2B6B">
              <w:rPr>
                <w:rFonts w:ascii="Century Gothic" w:hAnsi="Century Gothic"/>
                <w:i/>
                <w:color w:val="000000"/>
                <w:sz w:val="18"/>
                <w:szCs w:val="18"/>
              </w:rPr>
              <w:t>1</w:t>
            </w:r>
            <w:r>
              <w:rPr>
                <w:rFonts w:ascii="Century Gothic" w:hAnsi="Century Gothic"/>
                <w:i/>
                <w:color w:val="000000"/>
                <w:sz w:val="18"/>
                <w:szCs w:val="18"/>
              </w:rPr>
              <w:t>1</w:t>
            </w:r>
            <w:r w:rsidRPr="008D2B6B">
              <w:rPr>
                <w:rFonts w:ascii="Century Gothic" w:hAnsi="Century Gothic"/>
                <w:i/>
                <w:color w:val="000000"/>
                <w:sz w:val="18"/>
                <w:szCs w:val="18"/>
              </w:rPr>
              <w:t>. Contribution to Overbank Flows</w:t>
            </w:r>
            <w:r w:rsidRPr="008D2B6B">
              <w:rPr>
                <w:rFonts w:ascii="Century Gothic" w:hAnsi="Century Gothic"/>
                <w:i/>
                <w:sz w:val="18"/>
                <w:szCs w:val="18"/>
              </w:rPr>
              <w:t xml:space="preserve">: </w:t>
            </w:r>
            <w:r w:rsidRPr="008D2B6B">
              <w:rPr>
                <w:rFonts w:ascii="Century Gothic" w:hAnsi="Century Gothic"/>
                <w:color w:val="000000"/>
                <w:sz w:val="18"/>
                <w:szCs w:val="18"/>
              </w:rPr>
              <w:t xml:space="preserve">Contribute to flows to re-connect river with river red gum forest and lignum </w:t>
            </w:r>
            <w:proofErr w:type="spellStart"/>
            <w:r w:rsidRPr="008D2B6B">
              <w:rPr>
                <w:rFonts w:ascii="Century Gothic" w:hAnsi="Century Gothic"/>
                <w:color w:val="000000"/>
                <w:sz w:val="18"/>
                <w:szCs w:val="18"/>
              </w:rPr>
              <w:t>shrubland</w:t>
            </w:r>
            <w:proofErr w:type="spellEnd"/>
            <w:r w:rsidRPr="008D2B6B">
              <w:rPr>
                <w:rFonts w:ascii="Century Gothic" w:hAnsi="Century Gothic"/>
                <w:color w:val="000000"/>
                <w:sz w:val="18"/>
                <w:szCs w:val="18"/>
              </w:rPr>
              <w:t>, subject to appropriate trigger</w:t>
            </w:r>
          </w:p>
        </w:tc>
        <w:tc>
          <w:tcPr>
            <w:tcW w:w="1701" w:type="dxa"/>
            <w:shd w:val="clear" w:color="auto" w:fill="D9D9D9" w:themeFill="background1" w:themeFillShade="D9"/>
          </w:tcPr>
          <w:p w:rsidR="007479B0" w:rsidRPr="008D2B6B" w:rsidRDefault="007479B0" w:rsidP="00E66785">
            <w:pPr>
              <w:spacing w:before="40" w:after="40"/>
              <w:rPr>
                <w:rFonts w:ascii="Century Gothic" w:hAnsi="Century Gothic"/>
                <w:sz w:val="18"/>
                <w:szCs w:val="18"/>
              </w:rPr>
            </w:pPr>
          </w:p>
        </w:tc>
      </w:tr>
      <w:tr w:rsidR="007479B0" w:rsidRPr="008D2B6B" w:rsidTr="00E66785">
        <w:trPr>
          <w:cantSplit/>
        </w:trPr>
        <w:tc>
          <w:tcPr>
            <w:tcW w:w="1667" w:type="dxa"/>
            <w:vMerge w:val="restart"/>
            <w:tcBorders>
              <w:bottom w:val="single" w:sz="4" w:space="0" w:color="auto"/>
            </w:tcBorders>
          </w:tcPr>
          <w:p w:rsidR="007479B0" w:rsidRPr="008D2B6B" w:rsidRDefault="007479B0" w:rsidP="00E66785">
            <w:pPr>
              <w:spacing w:before="40" w:after="40"/>
              <w:rPr>
                <w:rFonts w:ascii="Century Gothic" w:hAnsi="Century Gothic"/>
                <w:b/>
                <w:color w:val="000000"/>
                <w:sz w:val="18"/>
                <w:szCs w:val="18"/>
              </w:rPr>
            </w:pPr>
            <w:r w:rsidRPr="008D2B6B">
              <w:rPr>
                <w:rFonts w:ascii="Century Gothic" w:hAnsi="Century Gothic"/>
                <w:b/>
                <w:color w:val="000000"/>
                <w:sz w:val="18"/>
                <w:szCs w:val="18"/>
              </w:rPr>
              <w:t>Coorong, Lower lakes and Murray Mouth</w:t>
            </w:r>
          </w:p>
        </w:tc>
        <w:tc>
          <w:tcPr>
            <w:tcW w:w="4534" w:type="dxa"/>
            <w:vMerge w:val="restart"/>
            <w:tcBorders>
              <w:bottom w:val="single" w:sz="4" w:space="0" w:color="auto"/>
            </w:tcBorders>
          </w:tcPr>
          <w:p w:rsidR="007479B0" w:rsidRPr="008D2B6B" w:rsidRDefault="007479B0" w:rsidP="00E66785">
            <w:pPr>
              <w:spacing w:before="40" w:after="120"/>
              <w:rPr>
                <w:rFonts w:ascii="Century Gothic" w:hAnsi="Century Gothic"/>
                <w:color w:val="000000"/>
                <w:sz w:val="18"/>
                <w:szCs w:val="18"/>
              </w:rPr>
            </w:pPr>
            <w:r w:rsidRPr="008D2B6B">
              <w:rPr>
                <w:rFonts w:ascii="Century Gothic" w:hAnsi="Century Gothic"/>
                <w:color w:val="000000"/>
                <w:sz w:val="18"/>
                <w:szCs w:val="18"/>
              </w:rPr>
              <w:t xml:space="preserve">Minimum barrage flow of 650 GL/yr </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Barrage flows of 2 </w:t>
            </w:r>
            <w:r w:rsidRPr="008D2B6B">
              <w:rPr>
                <w:rFonts w:ascii="Century Gothic" w:hAnsi="Century Gothic"/>
                <w:color w:val="000000"/>
                <w:sz w:val="18"/>
                <w:szCs w:val="18"/>
              </w:rPr>
              <w:t>000 GL/yr required to achieve salinity target in Lake Alexandrina</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Barrage flows of at least 2 </w:t>
            </w:r>
            <w:r w:rsidRPr="008D2B6B">
              <w:rPr>
                <w:rFonts w:ascii="Century Gothic" w:hAnsi="Century Gothic"/>
                <w:color w:val="000000"/>
                <w:sz w:val="18"/>
                <w:szCs w:val="18"/>
              </w:rPr>
              <w:t>500 GL over two years to avoid damage and protect habitat conditions within the Coorong</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Barrage flows of 6 </w:t>
            </w:r>
            <w:r w:rsidRPr="008D2B6B">
              <w:rPr>
                <w:rFonts w:ascii="Century Gothic" w:hAnsi="Century Gothic"/>
                <w:color w:val="000000"/>
                <w:sz w:val="18"/>
                <w:szCs w:val="18"/>
              </w:rPr>
              <w:t>000 GL every three years to maintain and improve habitat conditions within the Coorong</w:t>
            </w:r>
          </w:p>
          <w:p w:rsidR="007479B0" w:rsidRPr="008D2B6B" w:rsidRDefault="007479B0" w:rsidP="00E66785">
            <w:pPr>
              <w:spacing w:before="40" w:after="120"/>
              <w:rPr>
                <w:rFonts w:ascii="Century Gothic" w:hAnsi="Century Gothic"/>
                <w:color w:val="000000"/>
                <w:sz w:val="18"/>
                <w:szCs w:val="18"/>
              </w:rPr>
            </w:pPr>
            <w:r>
              <w:rPr>
                <w:rFonts w:ascii="Century Gothic" w:hAnsi="Century Gothic"/>
                <w:color w:val="000000"/>
                <w:sz w:val="18"/>
                <w:szCs w:val="18"/>
              </w:rPr>
              <w:t>Barrage flows of 10 </w:t>
            </w:r>
            <w:r w:rsidRPr="008D2B6B">
              <w:rPr>
                <w:rFonts w:ascii="Century Gothic" w:hAnsi="Century Gothic"/>
                <w:color w:val="000000"/>
                <w:sz w:val="18"/>
                <w:szCs w:val="18"/>
              </w:rPr>
              <w:t>000 GL every seven years to improve habitat conditions within the Coorong</w:t>
            </w:r>
          </w:p>
        </w:tc>
        <w:tc>
          <w:tcPr>
            <w:tcW w:w="3254" w:type="dxa"/>
            <w:gridSpan w:val="3"/>
            <w:tcBorders>
              <w:bottom w:val="single" w:sz="4" w:space="0" w:color="auto"/>
            </w:tcBorders>
          </w:tcPr>
          <w:p w:rsidR="007479B0" w:rsidRPr="008D2B6B" w:rsidRDefault="007479B0" w:rsidP="00E66785">
            <w:pPr>
              <w:spacing w:before="40" w:after="40"/>
              <w:rPr>
                <w:rFonts w:ascii="Century Gothic" w:hAnsi="Century Gothic"/>
                <w:color w:val="000000"/>
                <w:sz w:val="18"/>
                <w:szCs w:val="18"/>
              </w:rPr>
            </w:pPr>
            <w:r w:rsidRPr="008D2B6B">
              <w:rPr>
                <w:rFonts w:ascii="Century Gothic" w:hAnsi="Century Gothic"/>
                <w:i/>
                <w:color w:val="000000"/>
                <w:sz w:val="18"/>
                <w:szCs w:val="18"/>
              </w:rPr>
              <w:t>1</w:t>
            </w:r>
            <w:r>
              <w:rPr>
                <w:rFonts w:ascii="Century Gothic" w:hAnsi="Century Gothic"/>
                <w:i/>
                <w:color w:val="000000"/>
                <w:sz w:val="18"/>
                <w:szCs w:val="18"/>
              </w:rPr>
              <w:t>2</w:t>
            </w:r>
            <w:r w:rsidRPr="008D2B6B">
              <w:rPr>
                <w:rFonts w:ascii="Century Gothic" w:hAnsi="Century Gothic"/>
                <w:i/>
                <w:color w:val="000000"/>
                <w:sz w:val="18"/>
                <w:szCs w:val="18"/>
              </w:rPr>
              <w:t xml:space="preserve">a. Seasonal Lake Level Variation: </w:t>
            </w:r>
            <w:r w:rsidRPr="008D2B6B">
              <w:rPr>
                <w:rFonts w:ascii="Century Gothic" w:hAnsi="Century Gothic"/>
                <w:color w:val="000000"/>
                <w:sz w:val="18"/>
                <w:szCs w:val="18"/>
              </w:rPr>
              <w:t>Between 0.40 m AHD and 0.70 m AHD annually.</w:t>
            </w:r>
          </w:p>
          <w:p w:rsidR="007479B0" w:rsidRPr="008D2B6B" w:rsidRDefault="007479B0" w:rsidP="00E66785">
            <w:pPr>
              <w:spacing w:before="40" w:after="40"/>
              <w:rPr>
                <w:rFonts w:ascii="Century Gothic" w:hAnsi="Century Gothic"/>
                <w:i/>
                <w:color w:val="000000"/>
                <w:sz w:val="18"/>
                <w:szCs w:val="18"/>
              </w:rPr>
            </w:pPr>
            <w:proofErr w:type="spellStart"/>
            <w:r w:rsidRPr="008D2B6B">
              <w:rPr>
                <w:rFonts w:ascii="Century Gothic" w:hAnsi="Century Gothic"/>
                <w:i/>
                <w:color w:val="000000"/>
                <w:sz w:val="18"/>
                <w:szCs w:val="18"/>
              </w:rPr>
              <w:t>Fishway</w:t>
            </w:r>
            <w:proofErr w:type="spellEnd"/>
            <w:r w:rsidRPr="008D2B6B">
              <w:rPr>
                <w:rFonts w:ascii="Century Gothic" w:hAnsi="Century Gothic"/>
                <w:i/>
                <w:color w:val="000000"/>
                <w:sz w:val="18"/>
                <w:szCs w:val="18"/>
              </w:rPr>
              <w:t xml:space="preserve"> Flows: </w:t>
            </w:r>
            <w:r w:rsidRPr="008D2B6B">
              <w:rPr>
                <w:rFonts w:ascii="Century Gothic" w:hAnsi="Century Gothic"/>
                <w:color w:val="000000"/>
                <w:sz w:val="18"/>
                <w:szCs w:val="18"/>
              </w:rPr>
              <w:t xml:space="preserve">Maintain minimum </w:t>
            </w:r>
            <w:proofErr w:type="spellStart"/>
            <w:r w:rsidRPr="008D2B6B">
              <w:rPr>
                <w:rFonts w:ascii="Century Gothic" w:hAnsi="Century Gothic"/>
                <w:color w:val="000000"/>
                <w:sz w:val="18"/>
                <w:szCs w:val="18"/>
              </w:rPr>
              <w:t>fishway</w:t>
            </w:r>
            <w:proofErr w:type="spellEnd"/>
            <w:r w:rsidRPr="008D2B6B">
              <w:rPr>
                <w:rFonts w:ascii="Century Gothic" w:hAnsi="Century Gothic"/>
                <w:color w:val="000000"/>
                <w:sz w:val="18"/>
                <w:szCs w:val="18"/>
              </w:rPr>
              <w:t xml:space="preserve"> flows.</w:t>
            </w:r>
          </w:p>
          <w:p w:rsidR="007479B0" w:rsidRPr="008D2B6B" w:rsidRDefault="007479B0" w:rsidP="00E66785">
            <w:pPr>
              <w:spacing w:before="40" w:after="40"/>
              <w:rPr>
                <w:rFonts w:ascii="Century Gothic" w:hAnsi="Century Gothic"/>
                <w:i/>
                <w:sz w:val="18"/>
                <w:szCs w:val="18"/>
              </w:rPr>
            </w:pPr>
            <w:r w:rsidRPr="008D2B6B">
              <w:rPr>
                <w:rFonts w:ascii="Century Gothic" w:hAnsi="Century Gothic"/>
                <w:i/>
                <w:color w:val="000000"/>
                <w:sz w:val="18"/>
                <w:szCs w:val="18"/>
              </w:rPr>
              <w:t xml:space="preserve">Differential Barrage Releases: </w:t>
            </w:r>
            <w:r w:rsidRPr="008D2B6B">
              <w:rPr>
                <w:rFonts w:ascii="Century Gothic" w:hAnsi="Century Gothic"/>
                <w:color w:val="000000"/>
                <w:sz w:val="18"/>
                <w:szCs w:val="18"/>
              </w:rPr>
              <w:t>To provide for seasonally appropriate water levels in the Coorong and connectivity between the Lower Lakes and the Murray Mouth.</w:t>
            </w:r>
          </w:p>
        </w:tc>
        <w:tc>
          <w:tcPr>
            <w:tcW w:w="6104" w:type="dxa"/>
            <w:gridSpan w:val="4"/>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i/>
                <w:sz w:val="18"/>
                <w:szCs w:val="18"/>
              </w:rPr>
            </w:pPr>
          </w:p>
        </w:tc>
      </w:tr>
      <w:tr w:rsidR="007479B0" w:rsidRPr="008D2B6B" w:rsidTr="00E66785">
        <w:trPr>
          <w:trHeight w:val="1387"/>
        </w:trPr>
        <w:tc>
          <w:tcPr>
            <w:tcW w:w="1667" w:type="dxa"/>
            <w:vMerge/>
            <w:tcBorders>
              <w:bottom w:val="single" w:sz="4" w:space="0" w:color="auto"/>
            </w:tcBorders>
          </w:tcPr>
          <w:p w:rsidR="007479B0" w:rsidRPr="008D2B6B" w:rsidRDefault="007479B0" w:rsidP="00E66785">
            <w:pPr>
              <w:spacing w:before="40" w:after="40"/>
              <w:rPr>
                <w:rFonts w:ascii="Century Gothic" w:hAnsi="Century Gothic"/>
                <w:color w:val="000000"/>
                <w:sz w:val="18"/>
                <w:szCs w:val="18"/>
              </w:rPr>
            </w:pPr>
          </w:p>
        </w:tc>
        <w:tc>
          <w:tcPr>
            <w:tcW w:w="4534" w:type="dxa"/>
            <w:vMerge/>
            <w:tcBorders>
              <w:bottom w:val="single" w:sz="4" w:space="0" w:color="auto"/>
            </w:tcBorders>
          </w:tcPr>
          <w:p w:rsidR="007479B0" w:rsidRPr="008D2B6B" w:rsidRDefault="007479B0" w:rsidP="00E66785">
            <w:pPr>
              <w:spacing w:before="40" w:after="120"/>
              <w:rPr>
                <w:rFonts w:ascii="Century Gothic" w:hAnsi="Century Gothic"/>
                <w:color w:val="000000"/>
                <w:sz w:val="18"/>
                <w:szCs w:val="18"/>
              </w:rPr>
            </w:pPr>
          </w:p>
        </w:tc>
        <w:tc>
          <w:tcPr>
            <w:tcW w:w="3254" w:type="dxa"/>
            <w:gridSpan w:val="3"/>
            <w:tcBorders>
              <w:bottom w:val="single" w:sz="4" w:space="0" w:color="auto"/>
            </w:tcBorders>
            <w:shd w:val="clear" w:color="auto" w:fill="D9D9D9" w:themeFill="background1" w:themeFillShade="D9"/>
          </w:tcPr>
          <w:p w:rsidR="007479B0" w:rsidRPr="008D2B6B" w:rsidRDefault="007479B0" w:rsidP="00E66785">
            <w:pPr>
              <w:spacing w:before="40" w:after="40"/>
              <w:rPr>
                <w:rFonts w:ascii="Century Gothic" w:hAnsi="Century Gothic"/>
                <w:i/>
                <w:sz w:val="18"/>
                <w:szCs w:val="18"/>
              </w:rPr>
            </w:pPr>
          </w:p>
        </w:tc>
        <w:tc>
          <w:tcPr>
            <w:tcW w:w="6104" w:type="dxa"/>
            <w:gridSpan w:val="4"/>
            <w:tcBorders>
              <w:bottom w:val="single" w:sz="4" w:space="0" w:color="auto"/>
            </w:tcBorders>
            <w:shd w:val="clear" w:color="auto" w:fill="auto"/>
          </w:tcPr>
          <w:p w:rsidR="007479B0" w:rsidRPr="008D2B6B" w:rsidRDefault="007479B0" w:rsidP="00E66785">
            <w:pPr>
              <w:spacing w:before="40" w:after="40"/>
              <w:rPr>
                <w:rFonts w:ascii="Century Gothic" w:hAnsi="Century Gothic"/>
                <w:color w:val="000000"/>
                <w:sz w:val="18"/>
                <w:szCs w:val="18"/>
              </w:rPr>
            </w:pPr>
            <w:r w:rsidRPr="008D2B6B">
              <w:rPr>
                <w:rFonts w:ascii="Century Gothic" w:hAnsi="Century Gothic"/>
                <w:i/>
                <w:color w:val="000000"/>
                <w:sz w:val="18"/>
                <w:szCs w:val="18"/>
              </w:rPr>
              <w:t>1</w:t>
            </w:r>
            <w:r>
              <w:rPr>
                <w:rFonts w:ascii="Century Gothic" w:hAnsi="Century Gothic"/>
                <w:i/>
                <w:color w:val="000000"/>
                <w:sz w:val="18"/>
                <w:szCs w:val="18"/>
              </w:rPr>
              <w:t>2</w:t>
            </w:r>
            <w:r w:rsidRPr="008D2B6B">
              <w:rPr>
                <w:rFonts w:ascii="Century Gothic" w:hAnsi="Century Gothic"/>
                <w:i/>
                <w:color w:val="000000"/>
                <w:sz w:val="18"/>
                <w:szCs w:val="18"/>
              </w:rPr>
              <w:t xml:space="preserve">b. Seasonal Lake Level Variation: </w:t>
            </w:r>
            <w:r w:rsidRPr="008D2B6B">
              <w:rPr>
                <w:rFonts w:ascii="Century Gothic" w:hAnsi="Century Gothic"/>
                <w:color w:val="000000"/>
                <w:sz w:val="18"/>
                <w:szCs w:val="18"/>
              </w:rPr>
              <w:t>Between 0.50 m AHD and 0.85 m AHD one in three years.</w:t>
            </w:r>
          </w:p>
          <w:p w:rsidR="007479B0" w:rsidRPr="008D2B6B" w:rsidRDefault="007479B0" w:rsidP="00E66785">
            <w:pPr>
              <w:spacing w:before="40" w:after="40"/>
              <w:rPr>
                <w:rFonts w:ascii="Century Gothic" w:hAnsi="Century Gothic"/>
                <w:i/>
                <w:color w:val="000000"/>
                <w:sz w:val="18"/>
                <w:szCs w:val="18"/>
              </w:rPr>
            </w:pPr>
            <w:proofErr w:type="spellStart"/>
            <w:r w:rsidRPr="008D2B6B">
              <w:rPr>
                <w:rFonts w:ascii="Century Gothic" w:hAnsi="Century Gothic"/>
                <w:i/>
                <w:color w:val="000000"/>
                <w:sz w:val="18"/>
                <w:szCs w:val="18"/>
              </w:rPr>
              <w:t>Fishway</w:t>
            </w:r>
            <w:proofErr w:type="spellEnd"/>
            <w:r w:rsidRPr="008D2B6B">
              <w:rPr>
                <w:rFonts w:ascii="Century Gothic" w:hAnsi="Century Gothic"/>
                <w:i/>
                <w:color w:val="000000"/>
                <w:sz w:val="18"/>
                <w:szCs w:val="18"/>
              </w:rPr>
              <w:t xml:space="preserve"> Flows: </w:t>
            </w:r>
            <w:r w:rsidRPr="008D2B6B">
              <w:rPr>
                <w:rFonts w:ascii="Century Gothic" w:hAnsi="Century Gothic"/>
                <w:color w:val="000000"/>
                <w:sz w:val="18"/>
                <w:szCs w:val="18"/>
              </w:rPr>
              <w:t xml:space="preserve">Maintain minimum </w:t>
            </w:r>
            <w:proofErr w:type="spellStart"/>
            <w:r w:rsidRPr="008D2B6B">
              <w:rPr>
                <w:rFonts w:ascii="Century Gothic" w:hAnsi="Century Gothic"/>
                <w:color w:val="000000"/>
                <w:sz w:val="18"/>
                <w:szCs w:val="18"/>
              </w:rPr>
              <w:t>fishway</w:t>
            </w:r>
            <w:proofErr w:type="spellEnd"/>
            <w:r w:rsidRPr="008D2B6B">
              <w:rPr>
                <w:rFonts w:ascii="Century Gothic" w:hAnsi="Century Gothic"/>
                <w:color w:val="000000"/>
                <w:sz w:val="18"/>
                <w:szCs w:val="18"/>
              </w:rPr>
              <w:t xml:space="preserve"> flows.</w:t>
            </w:r>
          </w:p>
          <w:p w:rsidR="007479B0" w:rsidRPr="008D2B6B" w:rsidRDefault="007479B0" w:rsidP="00E66785">
            <w:pPr>
              <w:spacing w:before="40" w:after="40"/>
              <w:rPr>
                <w:rFonts w:ascii="Century Gothic" w:hAnsi="Century Gothic"/>
                <w:i/>
                <w:sz w:val="18"/>
                <w:szCs w:val="18"/>
              </w:rPr>
            </w:pPr>
            <w:r w:rsidRPr="008D2B6B">
              <w:rPr>
                <w:rFonts w:ascii="Century Gothic" w:hAnsi="Century Gothic"/>
                <w:i/>
                <w:color w:val="000000"/>
                <w:sz w:val="18"/>
                <w:szCs w:val="18"/>
              </w:rPr>
              <w:t xml:space="preserve">Differential barrage releases: </w:t>
            </w:r>
            <w:r w:rsidRPr="008D2B6B">
              <w:rPr>
                <w:rFonts w:ascii="Century Gothic" w:hAnsi="Century Gothic"/>
                <w:color w:val="000000"/>
                <w:sz w:val="18"/>
                <w:szCs w:val="18"/>
              </w:rPr>
              <w:t>To provide for seasonally appropriate water levels in the Coorong and connectivity between the Lower Lakes and the Murray Mouth.</w:t>
            </w:r>
          </w:p>
        </w:tc>
      </w:tr>
    </w:tbl>
    <w:p w:rsidR="007479B0" w:rsidRPr="007479B0" w:rsidRDefault="007479B0" w:rsidP="00060C7A">
      <w:pPr>
        <w:pStyle w:val="Heading1"/>
        <w:numPr>
          <w:ilvl w:val="0"/>
          <w:numId w:val="0"/>
        </w:numPr>
        <w:spacing w:before="0"/>
        <w:ind w:left="567"/>
        <w:jc w:val="left"/>
        <w:rPr>
          <w:rFonts w:ascii="Century Gothic" w:hAnsi="Century Gothic"/>
          <w:b w:val="0"/>
          <w:color w:val="5F497A" w:themeColor="accent4" w:themeShade="BF"/>
          <w:lang w:val="en-AU"/>
        </w:rPr>
        <w:sectPr w:rsidR="007479B0" w:rsidRPr="007479B0" w:rsidSect="007479B0">
          <w:pgSz w:w="16839" w:h="11907" w:orient="landscape" w:code="9"/>
          <w:pgMar w:top="851" w:right="821" w:bottom="993" w:left="851" w:header="425" w:footer="267" w:gutter="0"/>
          <w:cols w:space="708"/>
          <w:titlePg/>
          <w:docGrid w:linePitch="360"/>
        </w:sectPr>
      </w:pPr>
      <w:r w:rsidRPr="007479B0">
        <w:rPr>
          <w:rFonts w:ascii="Century Gothic" w:hAnsi="Century Gothic"/>
          <w:b w:val="0"/>
          <w:sz w:val="20"/>
        </w:rPr>
        <w:t>Information sourced from:</w:t>
      </w:r>
      <w:r w:rsidRPr="007479B0">
        <w:rPr>
          <w:rFonts w:ascii="Century Gothic" w:hAnsi="Century Gothic"/>
          <w:b w:val="0"/>
          <w:color w:val="FF0000"/>
          <w:sz w:val="20"/>
        </w:rPr>
        <w:t xml:space="preserve"> </w:t>
      </w:r>
      <w:r w:rsidRPr="007479B0">
        <w:rPr>
          <w:rFonts w:ascii="Century Gothic" w:hAnsi="Century Gothic"/>
          <w:b w:val="0"/>
          <w:sz w:val="20"/>
        </w:rPr>
        <w:t>MDBA 2014; Department of the Environment 2014; Department of the Environment 2011 and unpublished; MDBA 2013 (a-</w:t>
      </w:r>
      <w:proofErr w:type="spellStart"/>
      <w:r w:rsidRPr="007479B0">
        <w:rPr>
          <w:rFonts w:ascii="Century Gothic" w:hAnsi="Century Gothic"/>
          <w:b w:val="0"/>
          <w:sz w:val="20"/>
        </w:rPr>
        <w:t>i</w:t>
      </w:r>
      <w:proofErr w:type="spellEnd"/>
      <w:r w:rsidRPr="007479B0">
        <w:rPr>
          <w:rFonts w:ascii="Century Gothic" w:hAnsi="Century Gothic"/>
          <w:b w:val="0"/>
          <w:sz w:val="20"/>
        </w:rPr>
        <w:t xml:space="preserve">); Wallace </w:t>
      </w:r>
      <w:r w:rsidRPr="007479B0">
        <w:rPr>
          <w:rFonts w:ascii="Century Gothic" w:hAnsi="Century Gothic"/>
          <w:b w:val="0"/>
          <w:i/>
          <w:sz w:val="20"/>
        </w:rPr>
        <w:t xml:space="preserve">et al. </w:t>
      </w:r>
      <w:r w:rsidRPr="007479B0">
        <w:rPr>
          <w:rFonts w:ascii="Century Gothic" w:hAnsi="Century Gothic"/>
          <w:b w:val="0"/>
          <w:sz w:val="20"/>
        </w:rPr>
        <w:t>2014, Ecological Associates 2015, Ecological Associates 2010</w:t>
      </w:r>
    </w:p>
    <w:p w:rsidR="00060C7A" w:rsidRPr="008D2B6B" w:rsidRDefault="00060C7A" w:rsidP="00060C7A">
      <w:pPr>
        <w:pStyle w:val="Heading2"/>
        <w:spacing w:before="0"/>
        <w:ind w:left="851" w:hanging="851"/>
        <w:rPr>
          <w:rFonts w:ascii="Century Gothic" w:hAnsi="Century Gothic"/>
          <w:color w:val="5F497A" w:themeColor="accent4" w:themeShade="BF"/>
          <w:lang w:val="en-AU"/>
        </w:rPr>
      </w:pPr>
      <w:bookmarkStart w:id="26" w:name="_Toc422406867"/>
      <w:r w:rsidRPr="008D2B6B">
        <w:rPr>
          <w:rFonts w:ascii="Century Gothic" w:hAnsi="Century Gothic"/>
          <w:color w:val="5F497A" w:themeColor="accent4" w:themeShade="BF"/>
          <w:lang w:val="en-AU"/>
        </w:rPr>
        <w:lastRenderedPageBreak/>
        <w:t>Potential watering actions – standard operational considerations</w:t>
      </w:r>
      <w:bookmarkEnd w:id="26"/>
    </w:p>
    <w:p w:rsidR="00060C7A" w:rsidRPr="0027713D" w:rsidRDefault="00060C7A" w:rsidP="00060C7A">
      <w:pPr>
        <w:spacing w:after="240"/>
        <w:rPr>
          <w:rFonts w:ascii="Century Gothic" w:hAnsi="Century Gothic" w:cs="Arial"/>
          <w:noProof/>
          <w:sz w:val="20"/>
          <w:szCs w:val="20"/>
        </w:rPr>
      </w:pPr>
      <w:r w:rsidRPr="0027713D">
        <w:rPr>
          <w:rFonts w:ascii="Century Gothic" w:hAnsi="Century Gothic" w:cs="Arial"/>
          <w:noProof/>
          <w:sz w:val="20"/>
          <w:szCs w:val="20"/>
        </w:rPr>
        <w:t xml:space="preserve">Table 6 above identifies the range of potential watering actions in </w:t>
      </w:r>
      <w:r>
        <w:rPr>
          <w:rFonts w:ascii="Century Gothic" w:hAnsi="Century Gothic" w:cs="Arial"/>
          <w:noProof/>
          <w:sz w:val="20"/>
          <w:szCs w:val="20"/>
        </w:rPr>
        <w:t xml:space="preserve">the </w:t>
      </w:r>
      <w:r w:rsidRPr="0027713D">
        <w:rPr>
          <w:rFonts w:ascii="Century Gothic" w:hAnsi="Century Gothic" w:cs="Arial"/>
          <w:noProof/>
          <w:color w:val="000000" w:themeColor="text1"/>
          <w:sz w:val="20"/>
          <w:szCs w:val="20"/>
        </w:rPr>
        <w:t>Lower Murray</w:t>
      </w:r>
      <w:r>
        <w:rPr>
          <w:rFonts w:ascii="Century Gothic" w:hAnsi="Century Gothic" w:cs="Arial"/>
          <w:noProof/>
          <w:color w:val="000000" w:themeColor="text1"/>
          <w:sz w:val="20"/>
          <w:szCs w:val="20"/>
        </w:rPr>
        <w:t>-</w:t>
      </w:r>
      <w:r w:rsidRPr="0027713D">
        <w:rPr>
          <w:rFonts w:ascii="Century Gothic" w:hAnsi="Century Gothic" w:cs="Arial"/>
          <w:noProof/>
          <w:color w:val="000000" w:themeColor="text1"/>
          <w:sz w:val="20"/>
          <w:szCs w:val="20"/>
        </w:rPr>
        <w:t xml:space="preserve">Darling </w:t>
      </w:r>
      <w:r w:rsidRPr="0027713D">
        <w:rPr>
          <w:rFonts w:ascii="Century Gothic" w:hAnsi="Century Gothic" w:cs="Arial"/>
          <w:noProof/>
          <w:sz w:val="20"/>
          <w:szCs w:val="20"/>
        </w:rPr>
        <w:t xml:space="preserve">that give effect to the long-term demands and flow regime identified as being in scope for the Office to contribute environmental water to in any given year. </w:t>
      </w:r>
      <w:r>
        <w:rPr>
          <w:rFonts w:ascii="Century Gothic" w:hAnsi="Century Gothic" w:cs="Arial"/>
          <w:noProof/>
          <w:sz w:val="20"/>
          <w:szCs w:val="20"/>
        </w:rPr>
        <w:t xml:space="preserve">Some of the </w:t>
      </w:r>
      <w:r w:rsidRPr="0027713D">
        <w:rPr>
          <w:rFonts w:ascii="Century Gothic" w:hAnsi="Century Gothic" w:cs="Arial"/>
          <w:noProof/>
          <w:sz w:val="20"/>
          <w:szCs w:val="20"/>
        </w:rPr>
        <w:t>standard considerations associated with these actions are set out below.</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t>Watering action 1:</w:t>
      </w:r>
      <w:r w:rsidRPr="0027713D">
        <w:rPr>
          <w:rFonts w:ascii="Century Gothic" w:hAnsi="Century Gothic" w:cs="Arial"/>
          <w:i/>
          <w:noProof/>
          <w:color w:val="000000" w:themeColor="text1"/>
          <w:sz w:val="20"/>
          <w:szCs w:val="20"/>
        </w:rPr>
        <w:t xml:space="preserve"> </w:t>
      </w:r>
      <w:r w:rsidRPr="0027713D">
        <w:rPr>
          <w:rFonts w:ascii="Century Gothic" w:hAnsi="Century Gothic" w:cs="Arial"/>
          <w:noProof/>
          <w:color w:val="000000" w:themeColor="text1"/>
          <w:sz w:val="20"/>
          <w:szCs w:val="20"/>
        </w:rPr>
        <w:t xml:space="preserve">Lower Darling </w:t>
      </w:r>
      <w:r>
        <w:rPr>
          <w:rFonts w:ascii="Century Gothic" w:hAnsi="Century Gothic" w:cs="Arial"/>
          <w:noProof/>
          <w:color w:val="000000" w:themeColor="text1"/>
          <w:sz w:val="20"/>
          <w:szCs w:val="20"/>
        </w:rPr>
        <w:t>River f</w:t>
      </w:r>
      <w:r w:rsidRPr="0027713D">
        <w:rPr>
          <w:rFonts w:ascii="Century Gothic" w:hAnsi="Century Gothic" w:cs="Arial"/>
          <w:noProof/>
          <w:color w:val="000000" w:themeColor="text1"/>
          <w:sz w:val="20"/>
          <w:szCs w:val="20"/>
        </w:rPr>
        <w:t>lows</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37242">
        <w:rPr>
          <w:rFonts w:ascii="Century Gothic" w:hAnsi="Century Gothic" w:cs="Arial"/>
          <w:noProof/>
          <w:color w:val="000000" w:themeColor="text1"/>
        </w:rPr>
        <w:t xml:space="preserve">Commonwealth environmental water may be provided to contribute to baseflows and freshes in the Lower Darling River or to contribute water to the recession of higher flow events in this system and in the River Murray. The contribution of environmental water to augment high River Murray flows </w:t>
      </w:r>
      <w:r>
        <w:rPr>
          <w:rFonts w:ascii="Century Gothic" w:hAnsi="Century Gothic" w:cs="Arial"/>
          <w:noProof/>
          <w:color w:val="000000" w:themeColor="text1"/>
        </w:rPr>
        <w:t xml:space="preserve">will have regard to other operational releases, </w:t>
      </w:r>
      <w:r w:rsidRPr="00237242">
        <w:rPr>
          <w:rFonts w:ascii="Century Gothic" w:hAnsi="Century Gothic" w:cs="Arial"/>
          <w:noProof/>
          <w:color w:val="000000" w:themeColor="text1"/>
        </w:rPr>
        <w:t xml:space="preserve">storage management and </w:t>
      </w:r>
      <w:r>
        <w:rPr>
          <w:rFonts w:ascii="Century Gothic" w:hAnsi="Century Gothic" w:cs="Arial"/>
          <w:noProof/>
          <w:color w:val="000000" w:themeColor="text1"/>
        </w:rPr>
        <w:t>delivery arrangements.</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The magnitude, duration and timing of environmental releases will be dependent on </w:t>
      </w:r>
      <w:r>
        <w:rPr>
          <w:rFonts w:ascii="Century Gothic" w:hAnsi="Century Gothic" w:cs="Arial"/>
          <w:noProof/>
          <w:color w:val="000000" w:themeColor="text1"/>
        </w:rPr>
        <w:t xml:space="preserve">available </w:t>
      </w:r>
      <w:r w:rsidRPr="0027713D">
        <w:rPr>
          <w:rFonts w:ascii="Century Gothic" w:hAnsi="Century Gothic" w:cs="Arial"/>
          <w:noProof/>
          <w:color w:val="000000" w:themeColor="text1"/>
        </w:rPr>
        <w:t xml:space="preserve">environmental water </w:t>
      </w:r>
      <w:r>
        <w:rPr>
          <w:rFonts w:ascii="Century Gothic" w:hAnsi="Century Gothic" w:cs="Arial"/>
          <w:noProof/>
          <w:color w:val="000000" w:themeColor="text1"/>
        </w:rPr>
        <w:t xml:space="preserve">allocations within the water resource area </w:t>
      </w:r>
      <w:r w:rsidRPr="0027713D">
        <w:rPr>
          <w:rFonts w:ascii="Century Gothic" w:hAnsi="Century Gothic" w:cs="Arial"/>
          <w:noProof/>
          <w:color w:val="000000" w:themeColor="text1"/>
        </w:rPr>
        <w:t xml:space="preserve">and </w:t>
      </w:r>
      <w:r>
        <w:rPr>
          <w:rFonts w:ascii="Century Gothic" w:hAnsi="Century Gothic" w:cs="Arial"/>
          <w:noProof/>
          <w:color w:val="000000" w:themeColor="text1"/>
        </w:rPr>
        <w:t>guided by natural</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flow </w:t>
      </w:r>
      <w:r w:rsidRPr="0027713D">
        <w:rPr>
          <w:rFonts w:ascii="Century Gothic" w:hAnsi="Century Gothic" w:cs="Arial"/>
          <w:noProof/>
          <w:color w:val="000000" w:themeColor="text1"/>
        </w:rPr>
        <w:t>cues upstream</w:t>
      </w:r>
      <w:r>
        <w:rPr>
          <w:rFonts w:ascii="Century Gothic" w:hAnsi="Century Gothic" w:cs="Arial"/>
          <w:noProof/>
          <w:color w:val="000000" w:themeColor="text1"/>
        </w:rPr>
        <w:t xml:space="preserve"> of the Menindee Lakes</w:t>
      </w:r>
      <w:r w:rsidRPr="0027713D">
        <w:rPr>
          <w:rFonts w:ascii="Century Gothic" w:hAnsi="Century Gothic" w:cs="Arial"/>
          <w:noProof/>
          <w:color w:val="000000" w:themeColor="text1"/>
        </w:rPr>
        <w:t xml:space="preserve">. </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When Menindee Lakes storage levels are low (&lt;480 GL) </w:t>
      </w:r>
      <w:r>
        <w:rPr>
          <w:rFonts w:ascii="Century Gothic" w:hAnsi="Century Gothic" w:cs="Arial"/>
          <w:noProof/>
          <w:color w:val="000000" w:themeColor="text1"/>
        </w:rPr>
        <w:t>resources within the</w:t>
      </w:r>
      <w:r w:rsidRPr="0027713D">
        <w:rPr>
          <w:rFonts w:ascii="Century Gothic" w:hAnsi="Century Gothic" w:cs="Arial"/>
          <w:noProof/>
          <w:color w:val="000000" w:themeColor="text1"/>
        </w:rPr>
        <w:t xml:space="preserve"> lakes are managed by New South Wales for critical </w:t>
      </w:r>
      <w:r>
        <w:rPr>
          <w:rFonts w:ascii="Century Gothic" w:hAnsi="Century Gothic" w:cs="Arial"/>
          <w:noProof/>
          <w:color w:val="000000" w:themeColor="text1"/>
        </w:rPr>
        <w:t xml:space="preserve">human </w:t>
      </w:r>
      <w:r w:rsidRPr="0027713D">
        <w:rPr>
          <w:rFonts w:ascii="Century Gothic" w:hAnsi="Century Gothic" w:cs="Arial"/>
          <w:noProof/>
          <w:color w:val="000000" w:themeColor="text1"/>
        </w:rPr>
        <w:t>needs</w:t>
      </w:r>
      <w:r>
        <w:rPr>
          <w:rFonts w:ascii="Century Gothic" w:hAnsi="Century Gothic" w:cs="Arial"/>
          <w:noProof/>
          <w:color w:val="000000" w:themeColor="text1"/>
        </w:rPr>
        <w:t>.</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Under these conditions o</w:t>
      </w:r>
      <w:r w:rsidRPr="0027713D">
        <w:rPr>
          <w:rFonts w:ascii="Century Gothic" w:hAnsi="Century Gothic" w:cs="Arial"/>
          <w:noProof/>
          <w:color w:val="000000" w:themeColor="text1"/>
        </w:rPr>
        <w:t xml:space="preserve">ptions for environmental watering </w:t>
      </w:r>
      <w:r>
        <w:rPr>
          <w:rFonts w:ascii="Century Gothic" w:hAnsi="Century Gothic" w:cs="Arial"/>
          <w:noProof/>
          <w:color w:val="000000" w:themeColor="text1"/>
        </w:rPr>
        <w:t>are likely to</w:t>
      </w:r>
      <w:r w:rsidRPr="0027713D">
        <w:rPr>
          <w:rFonts w:ascii="Century Gothic" w:hAnsi="Century Gothic" w:cs="Arial"/>
          <w:noProof/>
          <w:color w:val="000000" w:themeColor="text1"/>
        </w:rPr>
        <w:t xml:space="preserve"> be </w:t>
      </w:r>
      <w:r>
        <w:rPr>
          <w:rFonts w:ascii="Century Gothic" w:hAnsi="Century Gothic" w:cs="Arial"/>
          <w:noProof/>
          <w:color w:val="000000" w:themeColor="text1"/>
        </w:rPr>
        <w:t>limited.</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Due to the low volume of entitlements held in the Lower Darling, Commonwealth environmental water held elsewhere in the southern connected basin needs to be transferred for this action to be feasible.</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 xml:space="preserve">Typical extent: </w:t>
      </w:r>
      <w:r w:rsidRPr="0027713D">
        <w:rPr>
          <w:rFonts w:ascii="Century Gothic" w:hAnsi="Century Gothic" w:cs="Arial"/>
          <w:noProof/>
          <w:color w:val="000000" w:themeColor="text1"/>
          <w:sz w:val="20"/>
          <w:szCs w:val="20"/>
        </w:rPr>
        <w:t>Lower Darling River (</w:t>
      </w:r>
      <w:r>
        <w:rPr>
          <w:rFonts w:ascii="Century Gothic" w:hAnsi="Century Gothic" w:cs="Arial"/>
          <w:noProof/>
          <w:color w:val="000000" w:themeColor="text1"/>
          <w:sz w:val="20"/>
          <w:szCs w:val="20"/>
        </w:rPr>
        <w:t xml:space="preserve">in-channel </w:t>
      </w:r>
      <w:r w:rsidRPr="0027713D">
        <w:rPr>
          <w:rFonts w:ascii="Century Gothic" w:hAnsi="Century Gothic" w:cs="Arial"/>
          <w:noProof/>
          <w:color w:val="000000" w:themeColor="text1"/>
          <w:sz w:val="20"/>
          <w:szCs w:val="20"/>
        </w:rPr>
        <w:t>channel</w:t>
      </w:r>
      <w:r>
        <w:rPr>
          <w:rFonts w:ascii="Century Gothic" w:hAnsi="Century Gothic" w:cs="Arial"/>
          <w:noProof/>
          <w:color w:val="000000" w:themeColor="text1"/>
          <w:sz w:val="20"/>
          <w:szCs w:val="20"/>
        </w:rPr>
        <w:t xml:space="preserve"> flow</w:t>
      </w:r>
      <w:r w:rsidRPr="0027713D">
        <w:rPr>
          <w:rFonts w:ascii="Century Gothic" w:hAnsi="Century Gothic" w:cs="Arial"/>
          <w:noProof/>
          <w:color w:val="000000" w:themeColor="text1"/>
          <w:sz w:val="20"/>
          <w:szCs w:val="20"/>
        </w:rPr>
        <w:t xml:space="preserve">) from Menindee Lakes to </w:t>
      </w:r>
      <w:r>
        <w:rPr>
          <w:rFonts w:ascii="Century Gothic" w:hAnsi="Century Gothic" w:cs="Arial"/>
          <w:noProof/>
          <w:color w:val="000000" w:themeColor="text1"/>
          <w:sz w:val="20"/>
          <w:szCs w:val="20"/>
        </w:rPr>
        <w:t xml:space="preserve">the </w:t>
      </w:r>
      <w:r w:rsidRPr="0027713D">
        <w:rPr>
          <w:rFonts w:ascii="Century Gothic" w:hAnsi="Century Gothic" w:cs="Arial"/>
          <w:noProof/>
          <w:color w:val="000000" w:themeColor="text1"/>
          <w:sz w:val="20"/>
          <w:szCs w:val="20"/>
        </w:rPr>
        <w:t>confluence with River Murray.</w:t>
      </w:r>
    </w:p>
    <w:p w:rsidR="00060C7A" w:rsidRPr="007F183C" w:rsidRDefault="00060C7A" w:rsidP="00060C7A">
      <w:pPr>
        <w:spacing w:after="240"/>
        <w:rPr>
          <w:rFonts w:ascii="Century Gothic" w:hAnsi="Century Gothic" w:cs="Arial"/>
          <w:noProof/>
          <w:color w:val="000000" w:themeColor="text1"/>
          <w:sz w:val="20"/>
          <w:szCs w:val="20"/>
        </w:rPr>
      </w:pPr>
      <w:r w:rsidRPr="0027713D">
        <w:rPr>
          <w:rFonts w:ascii="Century Gothic" w:hAnsi="Century Gothic" w:cs="Arial"/>
          <w:i/>
          <w:noProof/>
          <w:color w:val="000000" w:themeColor="text1"/>
          <w:sz w:val="20"/>
          <w:szCs w:val="20"/>
        </w:rPr>
        <w:t>Approvals:</w:t>
      </w:r>
      <w:r w:rsidRPr="0027713D">
        <w:rPr>
          <w:rFonts w:ascii="Century Gothic" w:hAnsi="Century Gothic" w:cs="Arial"/>
          <w:noProof/>
          <w:color w:val="000000" w:themeColor="text1"/>
          <w:sz w:val="20"/>
          <w:szCs w:val="20"/>
        </w:rPr>
        <w:t xml:space="preserve"> </w:t>
      </w:r>
      <w:r w:rsidRPr="007F183C">
        <w:rPr>
          <w:rFonts w:ascii="Century Gothic" w:hAnsi="Century Gothic" w:cs="Arial"/>
          <w:noProof/>
          <w:color w:val="000000" w:themeColor="text1"/>
          <w:sz w:val="20"/>
          <w:szCs w:val="20"/>
        </w:rPr>
        <w:t xml:space="preserve">This option would be implemented with </w:t>
      </w:r>
      <w:r>
        <w:rPr>
          <w:rFonts w:ascii="Century Gothic" w:hAnsi="Century Gothic" w:cs="Arial"/>
          <w:noProof/>
          <w:color w:val="000000" w:themeColor="text1"/>
          <w:sz w:val="20"/>
          <w:szCs w:val="20"/>
        </w:rPr>
        <w:t>state and regional authorities</w:t>
      </w:r>
      <w:r w:rsidRPr="007F183C">
        <w:rPr>
          <w:rFonts w:ascii="Century Gothic" w:hAnsi="Century Gothic" w:cs="Arial"/>
          <w:noProof/>
          <w:color w:val="000000" w:themeColor="text1"/>
          <w:sz w:val="20"/>
          <w:szCs w:val="20"/>
        </w:rPr>
        <w:t xml:space="preserve"> who will play a key role in</w:t>
      </w:r>
      <w:r>
        <w:rPr>
          <w:rFonts w:ascii="Century Gothic" w:hAnsi="Century Gothic" w:cs="Arial"/>
          <w:noProof/>
          <w:color w:val="000000" w:themeColor="text1"/>
          <w:sz w:val="20"/>
          <w:szCs w:val="20"/>
        </w:rPr>
        <w:t xml:space="preserve"> liaising with local landholders and water resource managers, and undertaking the relevant approvals to</w:t>
      </w:r>
      <w:r w:rsidRPr="007F183C">
        <w:rPr>
          <w:rFonts w:ascii="Century Gothic" w:hAnsi="Century Gothic" w:cs="Arial"/>
          <w:noProof/>
          <w:color w:val="000000" w:themeColor="text1"/>
          <w:sz w:val="20"/>
          <w:szCs w:val="20"/>
        </w:rPr>
        <w:t xml:space="preserve"> implement the </w:t>
      </w:r>
      <w:r>
        <w:rPr>
          <w:rFonts w:ascii="Century Gothic" w:hAnsi="Century Gothic" w:cs="Arial"/>
          <w:noProof/>
          <w:color w:val="000000" w:themeColor="text1"/>
          <w:sz w:val="20"/>
          <w:szCs w:val="20"/>
        </w:rPr>
        <w:t>watering action</w:t>
      </w:r>
      <w:r w:rsidRPr="007F183C">
        <w:rPr>
          <w:rFonts w:ascii="Century Gothic" w:hAnsi="Century Gothic" w:cs="Arial"/>
          <w:noProof/>
          <w:color w:val="000000" w:themeColor="text1"/>
          <w:sz w:val="20"/>
          <w:szCs w:val="20"/>
        </w:rPr>
        <w:t xml:space="preserve">. </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t>Watering action 2:</w:t>
      </w:r>
      <w:r w:rsidRPr="0027713D">
        <w:rPr>
          <w:rFonts w:ascii="Century Gothic" w:hAnsi="Century Gothic" w:cs="Arial"/>
          <w:i/>
          <w:noProof/>
          <w:color w:val="000000" w:themeColor="text1"/>
          <w:sz w:val="20"/>
          <w:szCs w:val="20"/>
        </w:rPr>
        <w:t xml:space="preserve"> </w:t>
      </w:r>
      <w:r w:rsidRPr="0027713D">
        <w:rPr>
          <w:rFonts w:ascii="Century Gothic" w:hAnsi="Century Gothic" w:cs="Arial"/>
          <w:noProof/>
          <w:color w:val="000000" w:themeColor="text1"/>
          <w:sz w:val="20"/>
          <w:szCs w:val="20"/>
        </w:rPr>
        <w:t xml:space="preserve">Great Darling Anabranch </w:t>
      </w:r>
      <w:r>
        <w:rPr>
          <w:rFonts w:ascii="Century Gothic" w:hAnsi="Century Gothic" w:cs="Arial"/>
          <w:noProof/>
          <w:color w:val="000000" w:themeColor="text1"/>
          <w:sz w:val="20"/>
          <w:szCs w:val="20"/>
        </w:rPr>
        <w:t>f</w:t>
      </w:r>
      <w:r w:rsidRPr="0027713D">
        <w:rPr>
          <w:rFonts w:ascii="Century Gothic" w:hAnsi="Century Gothic" w:cs="Arial"/>
          <w:noProof/>
          <w:color w:val="000000" w:themeColor="text1"/>
          <w:sz w:val="20"/>
          <w:szCs w:val="20"/>
        </w:rPr>
        <w:t>lows</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Commonwealth environmental water may be provided to contribute to baseflows and freshes</w:t>
      </w:r>
      <w:r>
        <w:rPr>
          <w:rFonts w:ascii="Century Gothic" w:hAnsi="Century Gothic" w:cs="Arial"/>
          <w:noProof/>
          <w:color w:val="000000" w:themeColor="text1"/>
        </w:rPr>
        <w:t xml:space="preserve"> </w:t>
      </w:r>
      <w:r w:rsidRPr="0027713D">
        <w:rPr>
          <w:rFonts w:ascii="Century Gothic" w:hAnsi="Century Gothic" w:cs="Arial"/>
          <w:noProof/>
          <w:color w:val="000000" w:themeColor="text1"/>
        </w:rPr>
        <w:t>in</w:t>
      </w:r>
      <w:r>
        <w:rPr>
          <w:rFonts w:ascii="Century Gothic" w:hAnsi="Century Gothic" w:cs="Arial"/>
          <w:noProof/>
          <w:color w:val="000000" w:themeColor="text1"/>
        </w:rPr>
        <w:t xml:space="preserve"> the Great Darling Anabranch providing connectivity between </w:t>
      </w:r>
      <w:r w:rsidRPr="0027713D">
        <w:rPr>
          <w:rFonts w:ascii="Century Gothic" w:hAnsi="Century Gothic" w:cs="Arial"/>
          <w:noProof/>
          <w:color w:val="000000" w:themeColor="text1"/>
        </w:rPr>
        <w:t>the Anabranch channel and the River Murray</w:t>
      </w:r>
      <w:r>
        <w:rPr>
          <w:rFonts w:ascii="Century Gothic" w:hAnsi="Century Gothic" w:cs="Arial"/>
          <w:noProof/>
          <w:color w:val="000000" w:themeColor="text1"/>
        </w:rPr>
        <w:t>, and between the Anabranch and its lakes</w:t>
      </w:r>
      <w:r w:rsidRPr="0027713D">
        <w:rPr>
          <w:rFonts w:ascii="Century Gothic" w:hAnsi="Century Gothic" w:cs="Arial"/>
          <w:noProof/>
          <w:color w:val="000000" w:themeColor="text1"/>
        </w:rPr>
        <w:t xml:space="preserve">. </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Planning the timing and magnitude of watering actions needs to consider risks associated with water quality and potential adverse environmental impacts. </w:t>
      </w:r>
      <w:r w:rsidRPr="0027713D">
        <w:rPr>
          <w:rFonts w:ascii="Century Gothic" w:hAnsi="Century Gothic" w:cs="Arial"/>
          <w:noProof/>
          <w:color w:val="000000" w:themeColor="text1"/>
        </w:rPr>
        <w:t xml:space="preserve">Delivery channel capacity limitations and potential third party impacts may limit flows </w:t>
      </w:r>
      <w:r>
        <w:rPr>
          <w:rFonts w:ascii="Century Gothic" w:hAnsi="Century Gothic" w:cs="Arial"/>
          <w:noProof/>
          <w:color w:val="000000" w:themeColor="text1"/>
        </w:rPr>
        <w:t>to</w:t>
      </w:r>
      <w:r w:rsidRPr="0027713D">
        <w:rPr>
          <w:rFonts w:ascii="Century Gothic" w:hAnsi="Century Gothic" w:cs="Arial"/>
          <w:noProof/>
          <w:color w:val="000000" w:themeColor="text1"/>
        </w:rPr>
        <w:t xml:space="preserve"> the Anabranch channel.</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Operational considerational as for Action 1.</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 xml:space="preserve">Typical extent: </w:t>
      </w:r>
      <w:r>
        <w:rPr>
          <w:rFonts w:ascii="Century Gothic" w:hAnsi="Century Gothic" w:cs="Arial"/>
          <w:noProof/>
          <w:color w:val="000000" w:themeColor="text1"/>
          <w:sz w:val="20"/>
          <w:szCs w:val="20"/>
        </w:rPr>
        <w:t>Anabranch channel</w:t>
      </w:r>
      <w:r w:rsidRPr="0027713D">
        <w:rPr>
          <w:rFonts w:ascii="Century Gothic" w:hAnsi="Century Gothic" w:cs="Arial"/>
          <w:noProof/>
          <w:color w:val="000000" w:themeColor="text1"/>
          <w:sz w:val="20"/>
          <w:szCs w:val="20"/>
        </w:rPr>
        <w:t xml:space="preserve"> from Lake Cawndilla (via Tandou Creek, Packer’s Crossing Regulator and Redbank Creek) to the confluence with River Murray. </w:t>
      </w:r>
    </w:p>
    <w:p w:rsidR="00060C7A" w:rsidRPr="0027713D" w:rsidRDefault="00060C7A" w:rsidP="00060C7A">
      <w:pPr>
        <w:spacing w:after="240"/>
        <w:rPr>
          <w:rFonts w:ascii="Century Gothic" w:hAnsi="Century Gothic" w:cs="Arial"/>
          <w:noProof/>
          <w:color w:val="000000" w:themeColor="text1"/>
          <w:sz w:val="20"/>
          <w:szCs w:val="20"/>
        </w:rPr>
      </w:pPr>
      <w:r w:rsidRPr="0027713D">
        <w:rPr>
          <w:rFonts w:ascii="Century Gothic" w:hAnsi="Century Gothic" w:cs="Arial"/>
          <w:i/>
          <w:noProof/>
          <w:color w:val="000000" w:themeColor="text1"/>
          <w:sz w:val="20"/>
          <w:szCs w:val="20"/>
        </w:rPr>
        <w:t>Approvals:</w:t>
      </w:r>
      <w:r w:rsidRPr="0027713D">
        <w:rPr>
          <w:rFonts w:ascii="Century Gothic" w:hAnsi="Century Gothic" w:cs="Arial"/>
          <w:noProof/>
          <w:color w:val="000000" w:themeColor="text1"/>
          <w:sz w:val="20"/>
          <w:szCs w:val="20"/>
        </w:rPr>
        <w:t xml:space="preserve"> </w:t>
      </w:r>
      <w:r w:rsidRPr="007F183C">
        <w:rPr>
          <w:rFonts w:ascii="Century Gothic" w:hAnsi="Century Gothic" w:cs="Arial"/>
          <w:noProof/>
          <w:color w:val="000000" w:themeColor="text1"/>
          <w:sz w:val="20"/>
          <w:szCs w:val="20"/>
        </w:rPr>
        <w:t xml:space="preserve">This option would be implemented with </w:t>
      </w:r>
      <w:r>
        <w:rPr>
          <w:rFonts w:ascii="Century Gothic" w:hAnsi="Century Gothic" w:cs="Arial"/>
          <w:noProof/>
          <w:color w:val="000000" w:themeColor="text1"/>
          <w:sz w:val="20"/>
          <w:szCs w:val="20"/>
        </w:rPr>
        <w:t>state and regional authorities</w:t>
      </w:r>
      <w:r w:rsidRPr="007F183C">
        <w:rPr>
          <w:rFonts w:ascii="Century Gothic" w:hAnsi="Century Gothic" w:cs="Arial"/>
          <w:noProof/>
          <w:color w:val="000000" w:themeColor="text1"/>
          <w:sz w:val="20"/>
          <w:szCs w:val="20"/>
        </w:rPr>
        <w:t xml:space="preserve"> who will play a key role in</w:t>
      </w:r>
      <w:r>
        <w:rPr>
          <w:rFonts w:ascii="Century Gothic" w:hAnsi="Century Gothic" w:cs="Arial"/>
          <w:noProof/>
          <w:color w:val="000000" w:themeColor="text1"/>
          <w:sz w:val="20"/>
          <w:szCs w:val="20"/>
        </w:rPr>
        <w:t xml:space="preserve"> liaising with local landholders and water resource managers, and undertaking the relevant approvals to</w:t>
      </w:r>
      <w:r w:rsidRPr="007F183C">
        <w:rPr>
          <w:rFonts w:ascii="Century Gothic" w:hAnsi="Century Gothic" w:cs="Arial"/>
          <w:noProof/>
          <w:color w:val="000000" w:themeColor="text1"/>
          <w:sz w:val="20"/>
          <w:szCs w:val="20"/>
        </w:rPr>
        <w:t xml:space="preserve"> implement the </w:t>
      </w:r>
      <w:r>
        <w:rPr>
          <w:rFonts w:ascii="Century Gothic" w:hAnsi="Century Gothic" w:cs="Arial"/>
          <w:noProof/>
          <w:color w:val="000000" w:themeColor="text1"/>
          <w:sz w:val="20"/>
          <w:szCs w:val="20"/>
        </w:rPr>
        <w:t>watering action</w:t>
      </w:r>
      <w:r w:rsidRPr="007F183C">
        <w:rPr>
          <w:rFonts w:ascii="Century Gothic" w:hAnsi="Century Gothic" w:cs="Arial"/>
          <w:noProof/>
          <w:color w:val="000000" w:themeColor="text1"/>
          <w:sz w:val="20"/>
          <w:szCs w:val="20"/>
        </w:rPr>
        <w:t xml:space="preserve">. </w:t>
      </w:r>
    </w:p>
    <w:p w:rsidR="00060C7A" w:rsidRPr="0027713D" w:rsidRDefault="00060C7A" w:rsidP="00060C7A">
      <w:pPr>
        <w:keepNext/>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lastRenderedPageBreak/>
        <w:t>Watering action 3:</w:t>
      </w:r>
      <w:r w:rsidRPr="0027713D">
        <w:rPr>
          <w:rFonts w:ascii="Century Gothic" w:hAnsi="Century Gothic" w:cs="Arial"/>
          <w:i/>
          <w:noProof/>
          <w:color w:val="000000" w:themeColor="text1"/>
          <w:sz w:val="20"/>
          <w:szCs w:val="20"/>
        </w:rPr>
        <w:t xml:space="preserve"> </w:t>
      </w:r>
      <w:r w:rsidRPr="0027713D">
        <w:rPr>
          <w:rFonts w:ascii="Century Gothic" w:hAnsi="Century Gothic" w:cs="Arial"/>
          <w:noProof/>
          <w:color w:val="000000" w:themeColor="text1"/>
          <w:sz w:val="20"/>
          <w:szCs w:val="20"/>
        </w:rPr>
        <w:t xml:space="preserve">River Murray </w:t>
      </w:r>
      <w:r>
        <w:rPr>
          <w:rFonts w:ascii="Century Gothic" w:hAnsi="Century Gothic" w:cs="Arial"/>
          <w:noProof/>
          <w:color w:val="000000" w:themeColor="text1"/>
          <w:sz w:val="20"/>
          <w:szCs w:val="20"/>
        </w:rPr>
        <w:t>channel f</w:t>
      </w:r>
      <w:r w:rsidRPr="0027713D">
        <w:rPr>
          <w:rFonts w:ascii="Century Gothic" w:hAnsi="Century Gothic" w:cs="Arial"/>
          <w:noProof/>
          <w:color w:val="000000" w:themeColor="text1"/>
          <w:sz w:val="20"/>
          <w:szCs w:val="20"/>
        </w:rPr>
        <w:t>lows</w:t>
      </w:r>
    </w:p>
    <w:p w:rsidR="00060C7A" w:rsidRPr="0027713D" w:rsidRDefault="00060C7A" w:rsidP="00060C7A">
      <w:pPr>
        <w:keepNext/>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194962" w:rsidRDefault="00060C7A" w:rsidP="00060C7A">
      <w:pPr>
        <w:pStyle w:val="ListBullet"/>
        <w:keepNext/>
        <w:spacing w:after="240"/>
        <w:contextualSpacing w:val="0"/>
        <w:jc w:val="left"/>
        <w:rPr>
          <w:rFonts w:ascii="Century Gothic" w:hAnsi="Century Gothic" w:cs="Arial"/>
          <w:noProof/>
          <w:color w:val="000000" w:themeColor="text1"/>
        </w:rPr>
      </w:pPr>
      <w:r w:rsidRPr="00194962">
        <w:rPr>
          <w:rFonts w:ascii="Century Gothic" w:hAnsi="Century Gothic" w:cs="Arial"/>
          <w:noProof/>
          <w:color w:val="000000" w:themeColor="text1"/>
        </w:rPr>
        <w:t xml:space="preserve">Environmental water will contribute to providing higher base flows and freshes to support in-stream aquatic communities, increase the export of salt and nutrients, contribute to hydrological connectivity with fringing wetlands and support habitat conditions within the Coorong and Lower Lakes. </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Benefits that can be achieved from environmental flows within the river channel can be enhanced through the seasonally appropriate operation of river, wetland and floodplain infrastructure. Complementary operations may include the manipulation of weir pools, wetland regulators and barrage operations.</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This </w:t>
      </w:r>
      <w:r>
        <w:rPr>
          <w:rFonts w:ascii="Century Gothic" w:hAnsi="Century Gothic" w:cs="Arial"/>
          <w:noProof/>
          <w:color w:val="000000" w:themeColor="text1"/>
        </w:rPr>
        <w:t>action</w:t>
      </w:r>
      <w:r w:rsidRPr="0027713D">
        <w:rPr>
          <w:rFonts w:ascii="Century Gothic" w:hAnsi="Century Gothic" w:cs="Arial"/>
          <w:noProof/>
          <w:color w:val="000000" w:themeColor="text1"/>
        </w:rPr>
        <w:t xml:space="preserve"> would typically source water from upstream storages and tributaries, subject to operational feasibility and opportunities to achieve multiple benefits using Commonwealth environmental water across the Southern Connected Basin.</w:t>
      </w:r>
    </w:p>
    <w:p w:rsidR="00060C7A" w:rsidRPr="0027713D" w:rsidRDefault="00060C7A" w:rsidP="00060C7A">
      <w:pPr>
        <w:pStyle w:val="ListBullet"/>
        <w:numPr>
          <w:ilvl w:val="0"/>
          <w:numId w:val="0"/>
        </w:numPr>
        <w:spacing w:after="240"/>
        <w:contextualSpacing w:val="0"/>
        <w:jc w:val="left"/>
        <w:rPr>
          <w:rFonts w:ascii="Century Gothic" w:hAnsi="Century Gothic" w:cs="Arial"/>
          <w:noProof/>
          <w:color w:val="000000" w:themeColor="text1"/>
        </w:rPr>
      </w:pPr>
      <w:r w:rsidRPr="0027713D">
        <w:rPr>
          <w:rFonts w:ascii="Century Gothic" w:hAnsi="Century Gothic" w:cs="Arial"/>
          <w:i/>
          <w:noProof/>
          <w:color w:val="000000" w:themeColor="text1"/>
        </w:rPr>
        <w:t xml:space="preserve">Typical extent: </w:t>
      </w:r>
      <w:r w:rsidRPr="0027713D">
        <w:rPr>
          <w:rFonts w:ascii="Century Gothic" w:hAnsi="Century Gothic" w:cs="Arial"/>
          <w:noProof/>
          <w:color w:val="000000" w:themeColor="text1"/>
        </w:rPr>
        <w:t xml:space="preserve">River Murray from Euston to the Lower Lakes, up to </w:t>
      </w:r>
      <w:r>
        <w:rPr>
          <w:rFonts w:ascii="Century Gothic" w:hAnsi="Century Gothic" w:cs="Arial"/>
          <w:noProof/>
          <w:color w:val="000000" w:themeColor="text1"/>
        </w:rPr>
        <w:t xml:space="preserve">a flow rate within </w:t>
      </w:r>
      <w:r w:rsidRPr="0027713D">
        <w:rPr>
          <w:rFonts w:ascii="Century Gothic" w:hAnsi="Century Gothic" w:cs="Arial"/>
          <w:noProof/>
          <w:color w:val="000000" w:themeColor="text1"/>
        </w:rPr>
        <w:t>the operational constraints identified in Figure 4</w:t>
      </w:r>
      <w:r>
        <w:rPr>
          <w:rFonts w:ascii="Century Gothic" w:hAnsi="Century Gothic" w:cs="Arial"/>
          <w:noProof/>
          <w:color w:val="000000" w:themeColor="text1"/>
        </w:rPr>
        <w:t xml:space="preserve"> to avoid impacting landholders on the Lower Darling and at Morgan in South Australia</w:t>
      </w:r>
      <w:r w:rsidRPr="0027713D">
        <w:rPr>
          <w:rFonts w:ascii="Century Gothic" w:hAnsi="Century Gothic" w:cs="Arial"/>
          <w:noProof/>
          <w:color w:val="000000" w:themeColor="text1"/>
        </w:rPr>
        <w:t>. This option can also contribute to the Coorong, Lower Lakes and Murray Mouth (Actions 13-15)</w:t>
      </w:r>
      <w:r>
        <w:rPr>
          <w:rFonts w:ascii="Century Gothic" w:hAnsi="Century Gothic" w:cs="Arial"/>
          <w:noProof/>
          <w:color w:val="000000" w:themeColor="text1"/>
        </w:rPr>
        <w:t xml:space="preserve">. </w:t>
      </w:r>
      <w:r w:rsidRPr="0027713D">
        <w:rPr>
          <w:rFonts w:ascii="Century Gothic" w:hAnsi="Century Gothic" w:cs="Arial"/>
          <w:noProof/>
          <w:color w:val="000000" w:themeColor="text1"/>
        </w:rPr>
        <w:t>Regulators  may also be used to allow flows to enter low lying anabranches and fringing wetlands (Actions 8 and 11).</w:t>
      </w:r>
    </w:p>
    <w:p w:rsidR="00060C7A" w:rsidRPr="007F183C" w:rsidRDefault="00060C7A" w:rsidP="00060C7A">
      <w:pPr>
        <w:spacing w:after="240"/>
        <w:rPr>
          <w:rFonts w:ascii="Century Gothic" w:hAnsi="Century Gothic" w:cs="Arial"/>
          <w:noProof/>
          <w:color w:val="000000" w:themeColor="text1"/>
          <w:sz w:val="20"/>
          <w:szCs w:val="20"/>
        </w:rPr>
      </w:pPr>
      <w:r w:rsidRPr="0027713D">
        <w:rPr>
          <w:rFonts w:ascii="Century Gothic" w:hAnsi="Century Gothic" w:cs="Arial"/>
          <w:i/>
          <w:noProof/>
          <w:color w:val="000000" w:themeColor="text1"/>
          <w:sz w:val="20"/>
          <w:szCs w:val="20"/>
        </w:rPr>
        <w:t>Approvals:</w:t>
      </w:r>
      <w:r w:rsidRPr="0027713D">
        <w:rPr>
          <w:rFonts w:ascii="Century Gothic" w:hAnsi="Century Gothic" w:cs="Arial"/>
          <w:noProof/>
          <w:color w:val="000000" w:themeColor="text1"/>
          <w:sz w:val="20"/>
          <w:szCs w:val="20"/>
        </w:rPr>
        <w:t xml:space="preserve"> </w:t>
      </w:r>
      <w:r w:rsidRPr="007F183C">
        <w:rPr>
          <w:rFonts w:ascii="Century Gothic" w:hAnsi="Century Gothic" w:cs="Arial"/>
          <w:noProof/>
          <w:color w:val="000000" w:themeColor="text1"/>
          <w:sz w:val="20"/>
          <w:szCs w:val="20"/>
        </w:rPr>
        <w:t xml:space="preserve">This option would be implemented with local delivery partners, who will play a key role in engaging with the local community and third parties and implementing the </w:t>
      </w:r>
      <w:r>
        <w:rPr>
          <w:rFonts w:ascii="Century Gothic" w:hAnsi="Century Gothic" w:cs="Arial"/>
          <w:noProof/>
          <w:color w:val="000000" w:themeColor="text1"/>
          <w:sz w:val="20"/>
          <w:szCs w:val="20"/>
        </w:rPr>
        <w:t>action</w:t>
      </w:r>
      <w:r w:rsidRPr="007F183C">
        <w:rPr>
          <w:rFonts w:ascii="Century Gothic" w:hAnsi="Century Gothic" w:cs="Arial"/>
          <w:noProof/>
          <w:color w:val="000000" w:themeColor="text1"/>
          <w:sz w:val="20"/>
          <w:szCs w:val="20"/>
        </w:rPr>
        <w:t xml:space="preserve">. As this option may be constrained by other demands in the system, the Office will seek advice from river operators on the timing, magnitude and duration of a proposed </w:t>
      </w:r>
      <w:r>
        <w:rPr>
          <w:rFonts w:ascii="Century Gothic" w:hAnsi="Century Gothic" w:cs="Arial"/>
          <w:noProof/>
          <w:color w:val="000000" w:themeColor="text1"/>
          <w:sz w:val="20"/>
          <w:szCs w:val="20"/>
        </w:rPr>
        <w:t>action</w:t>
      </w:r>
      <w:r w:rsidRPr="007F183C">
        <w:rPr>
          <w:rFonts w:ascii="Century Gothic" w:hAnsi="Century Gothic" w:cs="Arial"/>
          <w:noProof/>
          <w:color w:val="000000" w:themeColor="text1"/>
          <w:sz w:val="20"/>
          <w:szCs w:val="20"/>
        </w:rPr>
        <w:t>.</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t xml:space="preserve">Watering action </w:t>
      </w:r>
      <w:r>
        <w:rPr>
          <w:rFonts w:ascii="Century Gothic" w:hAnsi="Century Gothic" w:cs="Arial"/>
          <w:i/>
          <w:noProof/>
          <w:color w:val="000000" w:themeColor="text1"/>
          <w:sz w:val="20"/>
          <w:szCs w:val="20"/>
          <w:u w:val="single"/>
        </w:rPr>
        <w:t>4</w:t>
      </w:r>
      <w:r w:rsidRPr="0027713D">
        <w:rPr>
          <w:rFonts w:ascii="Century Gothic" w:hAnsi="Century Gothic" w:cs="Arial"/>
          <w:i/>
          <w:noProof/>
          <w:color w:val="000000" w:themeColor="text1"/>
          <w:sz w:val="20"/>
          <w:szCs w:val="20"/>
          <w:u w:val="single"/>
        </w:rPr>
        <w:t>:</w:t>
      </w:r>
      <w:r w:rsidRPr="0027713D">
        <w:rPr>
          <w:rFonts w:ascii="Century Gothic" w:hAnsi="Century Gothic" w:cs="Arial"/>
          <w:i/>
          <w:noProof/>
          <w:color w:val="000000" w:themeColor="text1"/>
          <w:sz w:val="20"/>
          <w:szCs w:val="20"/>
        </w:rPr>
        <w:t xml:space="preserve"> </w:t>
      </w:r>
      <w:r w:rsidRPr="0027713D">
        <w:rPr>
          <w:rFonts w:ascii="Century Gothic" w:hAnsi="Century Gothic" w:cs="Arial"/>
          <w:noProof/>
          <w:color w:val="000000" w:themeColor="text1"/>
          <w:sz w:val="20"/>
          <w:szCs w:val="20"/>
        </w:rPr>
        <w:t xml:space="preserve">Infrastructure Delivery to Hattah Lakes </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The pump station supplying water to the Hattah Lakes and Lake Kramen only operates when the River Murray water level is </w:t>
      </w:r>
      <w:r>
        <w:rPr>
          <w:rFonts w:ascii="Century Gothic" w:hAnsi="Century Gothic" w:cs="Arial"/>
          <w:noProof/>
          <w:color w:val="000000" w:themeColor="text1"/>
        </w:rPr>
        <w:t>greater than 38.3 m AHD (above 5 </w:t>
      </w:r>
      <w:r w:rsidRPr="0027713D">
        <w:rPr>
          <w:rFonts w:ascii="Century Gothic" w:hAnsi="Century Gothic" w:cs="Arial"/>
          <w:noProof/>
          <w:color w:val="000000" w:themeColor="text1"/>
        </w:rPr>
        <w:t xml:space="preserve">000 ML/day at Euston). Any </w:t>
      </w:r>
      <w:r w:rsidRPr="0027713D">
        <w:rPr>
          <w:rFonts w:ascii="Century Gothic" w:hAnsi="Century Gothic"/>
        </w:rPr>
        <w:t xml:space="preserve">impending or ongoing pumping into the Hattah complex would need to be postponed or suspended if River Murray water levels fall below this limit. </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The recently commissioned environmental works (i.e. pumping infrastructure)</w:t>
      </w:r>
      <w:r>
        <w:rPr>
          <w:rFonts w:ascii="Century Gothic" w:hAnsi="Century Gothic" w:cs="Arial"/>
          <w:noProof/>
          <w:color w:val="000000" w:themeColor="text1"/>
        </w:rPr>
        <w:t xml:space="preserve"> </w:t>
      </w:r>
      <w:r w:rsidRPr="0027713D">
        <w:rPr>
          <w:rFonts w:ascii="Century Gothic" w:hAnsi="Century Gothic" w:cs="Arial"/>
          <w:noProof/>
          <w:color w:val="000000" w:themeColor="text1"/>
        </w:rPr>
        <w:t>can acheive a maximum inundation of 45 m AHD. Any inundation beyond this level would need to be via natural flooding.</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Return flows from Hattah Lakes to the River Murray can be faciliated via two regulators located on north and south Chalka Creeks. Adaptive management of return flows will be important to maintain acceptable water quality in Hattah Lakes and provide additional environmental benefit downstream.  </w:t>
      </w:r>
    </w:p>
    <w:p w:rsidR="00060C7A" w:rsidRPr="0027713D" w:rsidRDefault="00060C7A" w:rsidP="00060C7A">
      <w:pPr>
        <w:spacing w:before="40" w:after="120"/>
        <w:rPr>
          <w:rFonts w:ascii="Century Gothic" w:hAnsi="Century Gothic"/>
          <w:color w:val="000000"/>
          <w:sz w:val="20"/>
          <w:szCs w:val="20"/>
        </w:rPr>
      </w:pPr>
      <w:r w:rsidRPr="0027713D">
        <w:rPr>
          <w:rFonts w:ascii="Century Gothic" w:hAnsi="Century Gothic" w:cs="Arial"/>
          <w:i/>
          <w:noProof/>
          <w:color w:val="000000" w:themeColor="text1"/>
          <w:sz w:val="20"/>
          <w:szCs w:val="20"/>
        </w:rPr>
        <w:t xml:space="preserve">Typical extent: </w:t>
      </w:r>
      <w:r w:rsidRPr="0027713D">
        <w:rPr>
          <w:rFonts w:ascii="Century Gothic" w:hAnsi="Century Gothic" w:cs="Arial"/>
          <w:noProof/>
          <w:color w:val="000000" w:themeColor="text1"/>
          <w:sz w:val="20"/>
          <w:szCs w:val="20"/>
        </w:rPr>
        <w:t xml:space="preserve">Infrastructure allows for simulated natural watering actions of higher magntiude, requiring lower volumes of environmental flow contribution. Small scale </w:t>
      </w:r>
      <w:r w:rsidRPr="0027713D">
        <w:rPr>
          <w:rFonts w:ascii="Century Gothic" w:hAnsi="Century Gothic"/>
          <w:color w:val="000000"/>
          <w:sz w:val="20"/>
          <w:szCs w:val="20"/>
        </w:rPr>
        <w:t>temporary wetland inundation to 42-43 m AHD in winter/spring requiring up to 22 000 ML is possible via infrastructure, equivalent to a natural event of 40</w:t>
      </w:r>
      <w:r>
        <w:rPr>
          <w:rFonts w:ascii="Century Gothic" w:hAnsi="Century Gothic"/>
          <w:color w:val="000000"/>
          <w:sz w:val="20"/>
          <w:szCs w:val="20"/>
        </w:rPr>
        <w:t> 000</w:t>
      </w:r>
      <w:r w:rsidRPr="0027713D">
        <w:rPr>
          <w:rFonts w:ascii="Century Gothic" w:hAnsi="Century Gothic"/>
          <w:color w:val="000000"/>
          <w:sz w:val="20"/>
          <w:szCs w:val="20"/>
        </w:rPr>
        <w:t>-50 000 ML/d</w:t>
      </w:r>
      <w:r>
        <w:rPr>
          <w:rFonts w:ascii="Century Gothic" w:hAnsi="Century Gothic"/>
          <w:color w:val="000000"/>
          <w:sz w:val="20"/>
          <w:szCs w:val="20"/>
        </w:rPr>
        <w:t>ay</w:t>
      </w:r>
      <w:r w:rsidRPr="0027713D">
        <w:rPr>
          <w:rFonts w:ascii="Century Gothic" w:hAnsi="Century Gothic"/>
          <w:color w:val="000000"/>
          <w:sz w:val="20"/>
          <w:szCs w:val="20"/>
        </w:rPr>
        <w:t xml:space="preserve"> at Euston for 26-60 days. Moderate inundation targeting wetlands and fringing river red gums with inundation to 43.5 m AHD for 90 days in winter/spring requiring up to 40 000 ML is possible via infrastructure, equivalent to a natural event of 85 000 ML/d</w:t>
      </w:r>
      <w:r>
        <w:rPr>
          <w:rFonts w:ascii="Century Gothic" w:hAnsi="Century Gothic"/>
          <w:color w:val="000000"/>
          <w:sz w:val="20"/>
          <w:szCs w:val="20"/>
        </w:rPr>
        <w:t>ay</w:t>
      </w:r>
      <w:r w:rsidRPr="0027713D">
        <w:rPr>
          <w:rFonts w:ascii="Century Gothic" w:hAnsi="Century Gothic"/>
          <w:color w:val="000000"/>
          <w:sz w:val="20"/>
          <w:szCs w:val="20"/>
        </w:rPr>
        <w:t xml:space="preserve"> at Euston for 30 days. Large-scale inundation targeting wetlands and river red gum/black box woodlands on the floodplain with inundation to 45 m AHD for 90 days, requiring up to120 000 ML is possible via infrastructure, equivalent to a natural event of 150 000 ML/d</w:t>
      </w:r>
      <w:r>
        <w:rPr>
          <w:rFonts w:ascii="Century Gothic" w:hAnsi="Century Gothic"/>
          <w:color w:val="000000"/>
          <w:sz w:val="20"/>
          <w:szCs w:val="20"/>
        </w:rPr>
        <w:t>ay</w:t>
      </w:r>
      <w:r w:rsidRPr="0027713D">
        <w:rPr>
          <w:rFonts w:ascii="Century Gothic" w:hAnsi="Century Gothic"/>
          <w:color w:val="000000"/>
          <w:sz w:val="20"/>
          <w:szCs w:val="20"/>
        </w:rPr>
        <w:t xml:space="preserve"> @ Euston for 7 days anytime in the year.</w:t>
      </w:r>
    </w:p>
    <w:p w:rsidR="00060C7A" w:rsidRPr="0027713D" w:rsidRDefault="00060C7A" w:rsidP="00060C7A">
      <w:pPr>
        <w:pStyle w:val="Para0"/>
        <w:spacing w:after="240" w:line="240" w:lineRule="auto"/>
        <w:jc w:val="left"/>
        <w:rPr>
          <w:rFonts w:ascii="Century Gothic" w:hAnsi="Century Gothic"/>
          <w:b/>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This option would be implemented with local delivery partners, who will play a key role in engaging with the local community and third parties and implementing the </w:t>
      </w:r>
      <w:r>
        <w:rPr>
          <w:rFonts w:ascii="Century Gothic" w:hAnsi="Century Gothic" w:cs="Arial"/>
          <w:noProof/>
          <w:color w:val="000000" w:themeColor="text1"/>
          <w:lang w:val="en-AU"/>
        </w:rPr>
        <w:t>action</w:t>
      </w:r>
      <w:r w:rsidRPr="0027713D">
        <w:rPr>
          <w:rFonts w:ascii="Century Gothic" w:hAnsi="Century Gothic" w:cs="Arial"/>
          <w:noProof/>
          <w:color w:val="000000" w:themeColor="text1"/>
          <w:lang w:val="en-AU"/>
        </w:rPr>
        <w:t>.</w:t>
      </w:r>
    </w:p>
    <w:p w:rsidR="00060C7A" w:rsidRPr="0027713D" w:rsidRDefault="00060C7A" w:rsidP="00060C7A">
      <w:pPr>
        <w:spacing w:after="240"/>
        <w:rPr>
          <w:rFonts w:ascii="Century Gothic" w:hAnsi="Century Gothic" w:cs="Arial"/>
          <w:i/>
          <w:noProof/>
          <w:color w:val="000000" w:themeColor="text1"/>
          <w:sz w:val="20"/>
          <w:szCs w:val="20"/>
        </w:rPr>
      </w:pPr>
      <w:r>
        <w:rPr>
          <w:rFonts w:ascii="Century Gothic" w:hAnsi="Century Gothic" w:cs="Arial"/>
          <w:i/>
          <w:noProof/>
          <w:color w:val="000000" w:themeColor="text1"/>
          <w:sz w:val="20"/>
          <w:szCs w:val="20"/>
          <w:u w:val="single"/>
        </w:rPr>
        <w:br w:type="column"/>
      </w:r>
      <w:r w:rsidRPr="0027713D">
        <w:rPr>
          <w:rFonts w:ascii="Century Gothic" w:hAnsi="Century Gothic" w:cs="Arial"/>
          <w:i/>
          <w:noProof/>
          <w:color w:val="000000" w:themeColor="text1"/>
          <w:sz w:val="20"/>
          <w:szCs w:val="20"/>
          <w:u w:val="single"/>
        </w:rPr>
        <w:lastRenderedPageBreak/>
        <w:t>Watering action</w:t>
      </w:r>
      <w:r>
        <w:rPr>
          <w:rFonts w:ascii="Century Gothic" w:hAnsi="Century Gothic" w:cs="Arial"/>
          <w:i/>
          <w:noProof/>
          <w:color w:val="000000" w:themeColor="text1"/>
          <w:sz w:val="20"/>
          <w:szCs w:val="20"/>
          <w:u w:val="single"/>
        </w:rPr>
        <w:t>s</w:t>
      </w:r>
      <w:r w:rsidRPr="0027713D">
        <w:rPr>
          <w:rFonts w:ascii="Century Gothic" w:hAnsi="Century Gothic" w:cs="Arial"/>
          <w:i/>
          <w:noProof/>
          <w:color w:val="000000" w:themeColor="text1"/>
          <w:sz w:val="20"/>
          <w:szCs w:val="20"/>
          <w:u w:val="single"/>
        </w:rPr>
        <w:t xml:space="preserve"> </w:t>
      </w:r>
      <w:r>
        <w:rPr>
          <w:rFonts w:ascii="Century Gothic" w:hAnsi="Century Gothic" w:cs="Arial"/>
          <w:i/>
          <w:noProof/>
          <w:color w:val="000000" w:themeColor="text1"/>
          <w:sz w:val="20"/>
          <w:szCs w:val="20"/>
          <w:u w:val="single"/>
        </w:rPr>
        <w:t>5, 8 and 11</w:t>
      </w:r>
      <w:r w:rsidRPr="0027713D">
        <w:rPr>
          <w:rFonts w:ascii="Century Gothic" w:hAnsi="Century Gothic" w:cs="Arial"/>
          <w:i/>
          <w:noProof/>
          <w:color w:val="000000" w:themeColor="text1"/>
          <w:sz w:val="20"/>
          <w:szCs w:val="20"/>
        </w:rPr>
        <w:t xml:space="preserve">: </w:t>
      </w:r>
      <w:r w:rsidRPr="0027713D">
        <w:rPr>
          <w:rFonts w:ascii="Century Gothic" w:hAnsi="Century Gothic"/>
          <w:i/>
          <w:color w:val="000000"/>
          <w:sz w:val="20"/>
          <w:szCs w:val="20"/>
        </w:rPr>
        <w:t>Contribution to Overbank Flows</w:t>
      </w:r>
      <w:r>
        <w:rPr>
          <w:rFonts w:ascii="Century Gothic" w:hAnsi="Century Gothic"/>
          <w:i/>
          <w:color w:val="000000"/>
          <w:sz w:val="20"/>
          <w:szCs w:val="20"/>
        </w:rPr>
        <w:t xml:space="preserve"> (within constraints)</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Environmental water may be contributed to channel flows to connect the River Murray with areas of floodplain from Euston through to Wellington</w:t>
      </w:r>
      <w:r>
        <w:rPr>
          <w:rFonts w:ascii="Century Gothic" w:hAnsi="Century Gothic" w:cs="Arial"/>
          <w:noProof/>
          <w:color w:val="000000" w:themeColor="text1"/>
        </w:rPr>
        <w:t xml:space="preserve"> (subject to flow constraints at Figure 3)</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Elevated natural </w:t>
      </w:r>
      <w:r w:rsidRPr="0027713D">
        <w:rPr>
          <w:rFonts w:ascii="Century Gothic" w:hAnsi="Century Gothic" w:cs="Arial"/>
          <w:noProof/>
          <w:color w:val="000000" w:themeColor="text1"/>
        </w:rPr>
        <w:t>flow</w:t>
      </w:r>
      <w:r>
        <w:rPr>
          <w:rFonts w:ascii="Century Gothic" w:hAnsi="Century Gothic" w:cs="Arial"/>
          <w:noProof/>
          <w:color w:val="000000" w:themeColor="text1"/>
        </w:rPr>
        <w:t>s</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are</w:t>
      </w:r>
      <w:r w:rsidRPr="0027713D">
        <w:rPr>
          <w:rFonts w:ascii="Century Gothic" w:hAnsi="Century Gothic" w:cs="Arial"/>
          <w:noProof/>
          <w:color w:val="000000" w:themeColor="text1"/>
        </w:rPr>
        <w:t xml:space="preserve"> required for environmental water to piggy-back on and resource availability may often be a limiting factor.</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Environmental water delivery may be constrained by other demands on the system, especially during </w:t>
      </w:r>
      <w:r>
        <w:rPr>
          <w:rFonts w:ascii="Century Gothic" w:hAnsi="Century Gothic" w:cs="Arial"/>
          <w:noProof/>
          <w:color w:val="000000" w:themeColor="text1"/>
        </w:rPr>
        <w:t>periods of limited channel capacity</w:t>
      </w:r>
      <w:r w:rsidRPr="0027713D">
        <w:rPr>
          <w:rFonts w:ascii="Century Gothic" w:hAnsi="Century Gothic" w:cs="Arial"/>
          <w:noProof/>
          <w:color w:val="000000" w:themeColor="text1"/>
        </w:rPr>
        <w:t xml:space="preserve">, and </w:t>
      </w:r>
      <w:r>
        <w:rPr>
          <w:rFonts w:ascii="Century Gothic" w:hAnsi="Century Gothic" w:cs="Arial"/>
          <w:noProof/>
          <w:color w:val="000000" w:themeColor="text1"/>
        </w:rPr>
        <w:t>the ability</w:t>
      </w:r>
      <w:r w:rsidRPr="0027713D">
        <w:rPr>
          <w:rFonts w:ascii="Century Gothic" w:hAnsi="Century Gothic" w:cs="Arial"/>
          <w:noProof/>
          <w:color w:val="000000" w:themeColor="text1"/>
        </w:rPr>
        <w:t xml:space="preserve"> to release and coordinate releases from multiple storages. </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T</w:t>
      </w:r>
      <w:r w:rsidRPr="0027713D">
        <w:rPr>
          <w:rFonts w:ascii="Century Gothic" w:hAnsi="Century Gothic" w:cs="Arial"/>
          <w:noProof/>
          <w:color w:val="000000" w:themeColor="text1"/>
        </w:rPr>
        <w:t xml:space="preserve">his option </w:t>
      </w:r>
      <w:r>
        <w:rPr>
          <w:rFonts w:ascii="Century Gothic" w:hAnsi="Century Gothic" w:cs="Arial"/>
          <w:noProof/>
          <w:color w:val="000000" w:themeColor="text1"/>
        </w:rPr>
        <w:t>will be managed</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by river operators to avoid unacceptable impacts </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on land managers and other water users. </w:t>
      </w:r>
    </w:p>
    <w:p w:rsidR="00060C7A" w:rsidRPr="0027713D" w:rsidRDefault="00060C7A" w:rsidP="00060C7A">
      <w:pPr>
        <w:pStyle w:val="ListBullet"/>
        <w:numPr>
          <w:ilvl w:val="0"/>
          <w:numId w:val="0"/>
        </w:numPr>
        <w:spacing w:after="240"/>
        <w:contextualSpacing w:val="0"/>
        <w:jc w:val="left"/>
        <w:rPr>
          <w:rFonts w:ascii="Century Gothic" w:hAnsi="Century Gothic" w:cs="Arial"/>
          <w:i/>
          <w:noProof/>
          <w:color w:val="000000" w:themeColor="text1"/>
        </w:rPr>
      </w:pPr>
      <w:r w:rsidRPr="0027713D">
        <w:rPr>
          <w:rFonts w:ascii="Century Gothic" w:hAnsi="Century Gothic" w:cs="Arial"/>
          <w:i/>
          <w:noProof/>
          <w:color w:val="000000" w:themeColor="text1"/>
        </w:rPr>
        <w:t xml:space="preserve">Typical extent: </w:t>
      </w:r>
      <w:r w:rsidRPr="0027713D">
        <w:rPr>
          <w:rFonts w:ascii="Century Gothic" w:hAnsi="Century Gothic" w:cs="Arial"/>
          <w:noProof/>
          <w:color w:val="000000" w:themeColor="text1"/>
        </w:rPr>
        <w:t xml:space="preserve">Low lying parts of the </w:t>
      </w:r>
      <w:r>
        <w:rPr>
          <w:rFonts w:ascii="Century Gothic" w:hAnsi="Century Gothic" w:cs="Arial"/>
          <w:noProof/>
          <w:color w:val="000000" w:themeColor="text1"/>
        </w:rPr>
        <w:t>l</w:t>
      </w:r>
      <w:r w:rsidRPr="0027713D">
        <w:rPr>
          <w:rFonts w:ascii="Century Gothic" w:hAnsi="Century Gothic" w:cs="Arial"/>
          <w:noProof/>
          <w:color w:val="000000" w:themeColor="text1"/>
        </w:rPr>
        <w:t xml:space="preserve">ower </w:t>
      </w:r>
      <w:r>
        <w:rPr>
          <w:rFonts w:ascii="Century Gothic" w:hAnsi="Century Gothic" w:cs="Arial"/>
          <w:noProof/>
          <w:color w:val="000000" w:themeColor="text1"/>
        </w:rPr>
        <w:t xml:space="preserve">River </w:t>
      </w:r>
      <w:r w:rsidRPr="0027713D">
        <w:rPr>
          <w:rFonts w:ascii="Century Gothic" w:hAnsi="Century Gothic" w:cs="Arial"/>
          <w:noProof/>
          <w:color w:val="000000" w:themeColor="text1"/>
        </w:rPr>
        <w:t xml:space="preserve">Murray </w:t>
      </w:r>
      <w:r>
        <w:rPr>
          <w:rFonts w:ascii="Century Gothic" w:hAnsi="Century Gothic" w:cs="Arial"/>
          <w:noProof/>
          <w:color w:val="000000" w:themeColor="text1"/>
        </w:rPr>
        <w:t>f</w:t>
      </w:r>
      <w:r w:rsidRPr="0027713D">
        <w:rPr>
          <w:rFonts w:ascii="Century Gothic" w:hAnsi="Century Gothic" w:cs="Arial"/>
          <w:noProof/>
          <w:color w:val="000000" w:themeColor="text1"/>
        </w:rPr>
        <w:t xml:space="preserve">loodplain that can be inundated by </w:t>
      </w:r>
      <w:r>
        <w:rPr>
          <w:rFonts w:ascii="Century Gothic" w:hAnsi="Century Gothic" w:cs="Arial"/>
          <w:noProof/>
          <w:color w:val="000000" w:themeColor="text1"/>
        </w:rPr>
        <w:t xml:space="preserve">managed </w:t>
      </w:r>
      <w:r w:rsidRPr="0027713D">
        <w:rPr>
          <w:rFonts w:ascii="Century Gothic" w:hAnsi="Century Gothic" w:cs="Arial"/>
          <w:noProof/>
          <w:color w:val="000000" w:themeColor="text1"/>
        </w:rPr>
        <w:t>flow</w:t>
      </w:r>
      <w:r>
        <w:rPr>
          <w:rFonts w:ascii="Century Gothic" w:hAnsi="Century Gothic" w:cs="Arial"/>
          <w:noProof/>
          <w:color w:val="000000" w:themeColor="text1"/>
        </w:rPr>
        <w:t>s</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and </w:t>
      </w:r>
      <w:r w:rsidRPr="0027713D">
        <w:rPr>
          <w:rFonts w:ascii="Century Gothic" w:hAnsi="Century Gothic" w:cs="Arial"/>
          <w:noProof/>
          <w:color w:val="000000" w:themeColor="text1"/>
        </w:rPr>
        <w:t xml:space="preserve">that do not create unacceptable third party impacts. Overbank flow </w:t>
      </w:r>
      <w:r>
        <w:rPr>
          <w:rFonts w:ascii="Century Gothic" w:hAnsi="Century Gothic" w:cs="Arial"/>
          <w:noProof/>
          <w:color w:val="000000" w:themeColor="text1"/>
        </w:rPr>
        <w:t>action</w:t>
      </w:r>
      <w:r w:rsidRPr="0027713D">
        <w:rPr>
          <w:rFonts w:ascii="Century Gothic" w:hAnsi="Century Gothic" w:cs="Arial"/>
          <w:noProof/>
          <w:color w:val="000000" w:themeColor="text1"/>
        </w:rPr>
        <w:t xml:space="preserve">s are managed within the flow constraints identified in Figure 4. Actions </w:t>
      </w:r>
      <w:r>
        <w:rPr>
          <w:rFonts w:ascii="Century Gothic" w:hAnsi="Century Gothic" w:cs="Arial"/>
          <w:noProof/>
          <w:color w:val="000000" w:themeColor="text1"/>
        </w:rPr>
        <w:t xml:space="preserve">4, 6, </w:t>
      </w:r>
      <w:r w:rsidRPr="0027713D">
        <w:rPr>
          <w:rFonts w:ascii="Century Gothic" w:hAnsi="Century Gothic" w:cs="Arial"/>
          <w:noProof/>
          <w:color w:val="000000" w:themeColor="text1"/>
        </w:rPr>
        <w:t xml:space="preserve">7, </w:t>
      </w:r>
      <w:r>
        <w:rPr>
          <w:rFonts w:ascii="Century Gothic" w:hAnsi="Century Gothic" w:cs="Arial"/>
          <w:noProof/>
          <w:color w:val="000000" w:themeColor="text1"/>
        </w:rPr>
        <w:t xml:space="preserve">9 and </w:t>
      </w:r>
      <w:r w:rsidRPr="0027713D">
        <w:rPr>
          <w:rFonts w:ascii="Century Gothic" w:hAnsi="Century Gothic" w:cs="Arial"/>
          <w:noProof/>
          <w:color w:val="000000" w:themeColor="text1"/>
        </w:rPr>
        <w:t>1</w:t>
      </w:r>
      <w:r>
        <w:rPr>
          <w:rFonts w:ascii="Century Gothic" w:hAnsi="Century Gothic" w:cs="Arial"/>
          <w:noProof/>
          <w:color w:val="000000" w:themeColor="text1"/>
        </w:rPr>
        <w:t>0</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can use infrastructure to provide i</w:t>
      </w:r>
      <w:r w:rsidRPr="0027713D">
        <w:rPr>
          <w:rFonts w:ascii="Century Gothic" w:hAnsi="Century Gothic" w:cs="Arial"/>
          <w:noProof/>
          <w:color w:val="000000" w:themeColor="text1"/>
        </w:rPr>
        <w:t xml:space="preserve">nundation </w:t>
      </w:r>
      <w:r>
        <w:rPr>
          <w:rFonts w:ascii="Century Gothic" w:hAnsi="Century Gothic" w:cs="Arial"/>
          <w:noProof/>
          <w:color w:val="000000" w:themeColor="text1"/>
        </w:rPr>
        <w:t>of</w:t>
      </w:r>
      <w:r w:rsidRPr="0027713D">
        <w:rPr>
          <w:rFonts w:ascii="Century Gothic" w:hAnsi="Century Gothic" w:cs="Arial"/>
          <w:noProof/>
          <w:color w:val="000000" w:themeColor="text1"/>
        </w:rPr>
        <w:t xml:space="preserve"> higher </w:t>
      </w:r>
      <w:r>
        <w:rPr>
          <w:rFonts w:ascii="Century Gothic" w:hAnsi="Century Gothic" w:cs="Arial"/>
          <w:noProof/>
          <w:color w:val="000000" w:themeColor="text1"/>
        </w:rPr>
        <w:t xml:space="preserve">elevation areas </w:t>
      </w:r>
      <w:r w:rsidRPr="0027713D">
        <w:rPr>
          <w:rFonts w:ascii="Century Gothic" w:hAnsi="Century Gothic" w:cs="Arial"/>
          <w:noProof/>
          <w:color w:val="000000" w:themeColor="text1"/>
        </w:rPr>
        <w:t>on the floodplain</w:t>
      </w:r>
      <w:r>
        <w:rPr>
          <w:rFonts w:ascii="Century Gothic" w:hAnsi="Century Gothic" w:cs="Arial"/>
          <w:noProof/>
          <w:color w:val="000000" w:themeColor="text1"/>
        </w:rPr>
        <w:t xml:space="preserve"> that are not currently achieveable by overbank flows within current operational constraints</w:t>
      </w:r>
      <w:r w:rsidRPr="0027713D">
        <w:rPr>
          <w:rFonts w:ascii="Century Gothic" w:hAnsi="Century Gothic" w:cs="Arial"/>
          <w:noProof/>
          <w:color w:val="000000" w:themeColor="text1"/>
        </w:rPr>
        <w:t>.</w:t>
      </w:r>
    </w:p>
    <w:p w:rsidR="00060C7A" w:rsidRPr="0027713D" w:rsidRDefault="00060C7A" w:rsidP="00060C7A">
      <w:pPr>
        <w:pStyle w:val="Para0"/>
        <w:spacing w:after="240" w:line="240" w:lineRule="auto"/>
        <w:jc w:val="left"/>
        <w:rPr>
          <w:rFonts w:ascii="Century Gothic" w:hAnsi="Century Gothic" w:cs="Arial"/>
          <w:noProof/>
          <w:color w:val="000000" w:themeColor="text1"/>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This option would be implemented </w:t>
      </w:r>
      <w:r>
        <w:rPr>
          <w:rFonts w:ascii="Century Gothic" w:hAnsi="Century Gothic" w:cs="Arial"/>
          <w:noProof/>
          <w:color w:val="000000" w:themeColor="text1"/>
          <w:lang w:val="en-AU"/>
        </w:rPr>
        <w:t xml:space="preserve">by river operators, with </w:t>
      </w:r>
      <w:r w:rsidRPr="0027713D">
        <w:rPr>
          <w:rFonts w:ascii="Century Gothic" w:hAnsi="Century Gothic" w:cs="Arial"/>
          <w:noProof/>
          <w:color w:val="000000" w:themeColor="text1"/>
          <w:lang w:val="en-AU"/>
        </w:rPr>
        <w:t xml:space="preserve">local delivery partners </w:t>
      </w:r>
      <w:r>
        <w:rPr>
          <w:rFonts w:ascii="Century Gothic" w:hAnsi="Century Gothic" w:cs="Arial"/>
          <w:noProof/>
          <w:color w:val="000000" w:themeColor="text1"/>
          <w:lang w:val="en-AU"/>
        </w:rPr>
        <w:t>performing</w:t>
      </w:r>
      <w:r w:rsidRPr="0027713D">
        <w:rPr>
          <w:rFonts w:ascii="Century Gothic" w:hAnsi="Century Gothic" w:cs="Arial"/>
          <w:noProof/>
          <w:color w:val="000000" w:themeColor="text1"/>
          <w:lang w:val="en-AU"/>
        </w:rPr>
        <w:t xml:space="preserve"> a key role in engaging with the local community and </w:t>
      </w:r>
      <w:r>
        <w:rPr>
          <w:rFonts w:ascii="Century Gothic" w:hAnsi="Century Gothic" w:cs="Arial"/>
          <w:noProof/>
          <w:color w:val="000000" w:themeColor="text1"/>
          <w:lang w:val="en-AU"/>
        </w:rPr>
        <w:t>private landholders</w:t>
      </w:r>
      <w:r w:rsidRPr="0027713D">
        <w:rPr>
          <w:rFonts w:ascii="Century Gothic" w:hAnsi="Century Gothic" w:cs="Arial"/>
          <w:noProof/>
          <w:color w:val="000000" w:themeColor="text1"/>
          <w:lang w:val="en-AU"/>
        </w:rPr>
        <w:t xml:space="preserve"> </w:t>
      </w:r>
      <w:r>
        <w:rPr>
          <w:rFonts w:ascii="Century Gothic" w:hAnsi="Century Gothic" w:cs="Arial"/>
          <w:noProof/>
          <w:color w:val="000000" w:themeColor="text1"/>
          <w:lang w:val="en-AU"/>
        </w:rPr>
        <w:t>to</w:t>
      </w:r>
      <w:r w:rsidRPr="0027713D">
        <w:rPr>
          <w:rFonts w:ascii="Century Gothic" w:hAnsi="Century Gothic" w:cs="Arial"/>
          <w:noProof/>
          <w:color w:val="000000" w:themeColor="text1"/>
          <w:lang w:val="en-AU"/>
        </w:rPr>
        <w:t xml:space="preserve"> implement </w:t>
      </w:r>
      <w:r>
        <w:rPr>
          <w:rFonts w:ascii="Century Gothic" w:hAnsi="Century Gothic" w:cs="Arial"/>
          <w:noProof/>
          <w:color w:val="000000" w:themeColor="text1"/>
          <w:lang w:val="en-AU"/>
        </w:rPr>
        <w:t>a high flow action</w:t>
      </w:r>
      <w:r w:rsidRPr="0027713D">
        <w:rPr>
          <w:rFonts w:ascii="Century Gothic" w:hAnsi="Century Gothic" w:cs="Arial"/>
          <w:noProof/>
          <w:color w:val="000000" w:themeColor="text1"/>
          <w:lang w:val="en-AU"/>
        </w:rPr>
        <w:t>.</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t xml:space="preserve">Watering action </w:t>
      </w:r>
      <w:r>
        <w:rPr>
          <w:rFonts w:ascii="Century Gothic" w:hAnsi="Century Gothic" w:cs="Arial"/>
          <w:i/>
          <w:noProof/>
          <w:color w:val="000000" w:themeColor="text1"/>
          <w:sz w:val="20"/>
          <w:szCs w:val="20"/>
          <w:u w:val="single"/>
        </w:rPr>
        <w:t>6</w:t>
      </w:r>
      <w:r w:rsidRPr="0027713D">
        <w:rPr>
          <w:rFonts w:ascii="Century Gothic" w:hAnsi="Century Gothic" w:cs="Arial"/>
          <w:i/>
          <w:noProof/>
          <w:color w:val="000000" w:themeColor="text1"/>
          <w:sz w:val="20"/>
          <w:szCs w:val="20"/>
        </w:rPr>
        <w:t xml:space="preserve">: </w:t>
      </w:r>
      <w:r w:rsidRPr="0027713D">
        <w:rPr>
          <w:rFonts w:ascii="Century Gothic" w:hAnsi="Century Gothic"/>
          <w:i/>
          <w:color w:val="000000"/>
          <w:sz w:val="20"/>
          <w:szCs w:val="20"/>
        </w:rPr>
        <w:t>Delivery via Lindsay-</w:t>
      </w:r>
      <w:proofErr w:type="spellStart"/>
      <w:r w:rsidRPr="0027713D">
        <w:rPr>
          <w:rFonts w:ascii="Century Gothic" w:hAnsi="Century Gothic"/>
          <w:i/>
          <w:color w:val="000000"/>
          <w:sz w:val="20"/>
          <w:szCs w:val="20"/>
        </w:rPr>
        <w:t>Mulcra</w:t>
      </w:r>
      <w:proofErr w:type="spellEnd"/>
      <w:r w:rsidRPr="0027713D">
        <w:rPr>
          <w:rFonts w:ascii="Century Gothic" w:hAnsi="Century Gothic"/>
          <w:i/>
          <w:color w:val="000000"/>
          <w:sz w:val="20"/>
          <w:szCs w:val="20"/>
        </w:rPr>
        <w:t>-Wallpolla Floodplain works</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In addition to </w:t>
      </w:r>
      <w:r w:rsidRPr="0027713D">
        <w:rPr>
          <w:rFonts w:ascii="Century Gothic" w:hAnsi="Century Gothic" w:cs="Arial"/>
          <w:noProof/>
          <w:color w:val="000000" w:themeColor="text1"/>
        </w:rPr>
        <w:t xml:space="preserve">large floods (via high River Murray flows influenced by upper Murray tributaries and flows in the Darling River), permanent infrastructure, weir pool manipulation and temporary pumping can facilitate delivery of environmental water to </w:t>
      </w:r>
      <w:r w:rsidRPr="0027713D">
        <w:rPr>
          <w:rFonts w:ascii="Century Gothic" w:hAnsi="Century Gothic"/>
          <w:color w:val="000000"/>
        </w:rPr>
        <w:t xml:space="preserve">Lindsay, </w:t>
      </w:r>
      <w:proofErr w:type="spellStart"/>
      <w:r w:rsidRPr="0027713D">
        <w:rPr>
          <w:rFonts w:ascii="Century Gothic" w:hAnsi="Century Gothic"/>
          <w:color w:val="000000"/>
        </w:rPr>
        <w:t>Mulcra</w:t>
      </w:r>
      <w:proofErr w:type="spellEnd"/>
      <w:r w:rsidRPr="0027713D">
        <w:rPr>
          <w:rFonts w:ascii="Century Gothic" w:hAnsi="Century Gothic"/>
          <w:color w:val="000000"/>
        </w:rPr>
        <w:t xml:space="preserve"> and Wallpolla islands. </w:t>
      </w:r>
    </w:p>
    <w:p w:rsidR="00060C7A" w:rsidRPr="0085160F" w:rsidRDefault="00060C7A" w:rsidP="00060C7A">
      <w:pPr>
        <w:pStyle w:val="ListBullet"/>
        <w:spacing w:after="240"/>
        <w:contextualSpacing w:val="0"/>
        <w:jc w:val="left"/>
        <w:rPr>
          <w:rFonts w:ascii="Century Gothic" w:hAnsi="Century Gothic" w:cs="Arial"/>
          <w:noProof/>
        </w:rPr>
      </w:pPr>
      <w:r w:rsidRPr="0027713D">
        <w:rPr>
          <w:rFonts w:ascii="Century Gothic" w:hAnsi="Century Gothic" w:cs="Arial"/>
          <w:noProof/>
        </w:rPr>
        <w:t xml:space="preserve">Specific flow rates and </w:t>
      </w:r>
      <w:r>
        <w:rPr>
          <w:rFonts w:ascii="Century Gothic" w:hAnsi="Century Gothic" w:cs="Arial"/>
          <w:noProof/>
        </w:rPr>
        <w:t>weir pool levels</w:t>
      </w:r>
      <w:r w:rsidRPr="0027713D">
        <w:rPr>
          <w:rFonts w:ascii="Century Gothic" w:hAnsi="Century Gothic" w:cs="Arial"/>
          <w:noProof/>
        </w:rPr>
        <w:t xml:space="preserve"> in the River Murray are required to facilitate environmental watering to </w:t>
      </w:r>
      <w:r w:rsidRPr="0027713D">
        <w:rPr>
          <w:rFonts w:ascii="Century Gothic" w:hAnsi="Century Gothic"/>
        </w:rPr>
        <w:t xml:space="preserve">Lindsay, </w:t>
      </w:r>
      <w:proofErr w:type="spellStart"/>
      <w:r w:rsidRPr="0027713D">
        <w:rPr>
          <w:rFonts w:ascii="Century Gothic" w:hAnsi="Century Gothic"/>
        </w:rPr>
        <w:t>Mulcra</w:t>
      </w:r>
      <w:proofErr w:type="spellEnd"/>
      <w:r w:rsidRPr="0027713D">
        <w:rPr>
          <w:rFonts w:ascii="Century Gothic" w:hAnsi="Century Gothic"/>
        </w:rPr>
        <w:t xml:space="preserve"> and Wallpolla islands. </w:t>
      </w:r>
    </w:p>
    <w:p w:rsidR="00060C7A" w:rsidRPr="0085160F" w:rsidRDefault="00060C7A" w:rsidP="00060C7A">
      <w:pPr>
        <w:pStyle w:val="ListBullet"/>
        <w:spacing w:after="240"/>
        <w:contextualSpacing w:val="0"/>
        <w:jc w:val="left"/>
        <w:rPr>
          <w:rFonts w:ascii="Century Gothic" w:hAnsi="Century Gothic" w:cs="Arial"/>
          <w:noProof/>
          <w:color w:val="000000" w:themeColor="text1"/>
        </w:rPr>
      </w:pPr>
      <w:r w:rsidRPr="0085160F">
        <w:rPr>
          <w:rFonts w:ascii="Century Gothic" w:hAnsi="Century Gothic" w:cs="Arial"/>
          <w:noProof/>
          <w:color w:val="000000" w:themeColor="text1"/>
        </w:rPr>
        <w:t xml:space="preserve">Some </w:t>
      </w:r>
      <w:r>
        <w:rPr>
          <w:rFonts w:ascii="Century Gothic" w:hAnsi="Century Gothic" w:cs="Arial"/>
          <w:noProof/>
          <w:color w:val="000000" w:themeColor="text1"/>
        </w:rPr>
        <w:t xml:space="preserve">floodplain </w:t>
      </w:r>
      <w:r w:rsidRPr="0085160F">
        <w:rPr>
          <w:rFonts w:ascii="Century Gothic" w:hAnsi="Century Gothic" w:cs="Arial"/>
          <w:noProof/>
          <w:color w:val="000000" w:themeColor="text1"/>
        </w:rPr>
        <w:t>wetland watering may occur in conjunction with weir pool manipulation to provide wetland inundation in conjunction with higher river water levels and to contribute to fast flowing fish habitat.</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Typical extent: Lindsay Island -</w:t>
      </w:r>
      <w:r w:rsidRPr="0027713D">
        <w:rPr>
          <w:rFonts w:ascii="Century Gothic" w:hAnsi="Century Gothic" w:cs="Arial"/>
          <w:noProof/>
          <w:color w:val="000000" w:themeColor="text1"/>
          <w:sz w:val="20"/>
          <w:szCs w:val="20"/>
        </w:rPr>
        <w:t xml:space="preserve"> to provide flowing water habitat for fish spawning,</w:t>
      </w:r>
      <w:r w:rsidRPr="0027713D">
        <w:rPr>
          <w:rFonts w:ascii="Century Gothic" w:hAnsi="Century Gothic" w:cs="Arial"/>
          <w:i/>
          <w:noProof/>
          <w:color w:val="000000" w:themeColor="text1"/>
          <w:sz w:val="20"/>
          <w:szCs w:val="20"/>
        </w:rPr>
        <w:t xml:space="preserve"> w</w:t>
      </w:r>
      <w:r w:rsidRPr="0027713D">
        <w:rPr>
          <w:rFonts w:ascii="Century Gothic" w:hAnsi="Century Gothic" w:cs="Arial"/>
          <w:noProof/>
          <w:color w:val="000000" w:themeColor="text1"/>
          <w:sz w:val="20"/>
          <w:szCs w:val="20"/>
        </w:rPr>
        <w:t xml:space="preserve">inter/spring freshening flows to Lindsay River and Mullaroo Creek would be accomplished by targeting a raising of Lock 7 up to 500 mm above normal operating height during winter. </w:t>
      </w:r>
      <w:r w:rsidRPr="0027713D">
        <w:rPr>
          <w:rFonts w:ascii="Century Gothic" w:hAnsi="Century Gothic" w:cs="Arial"/>
          <w:i/>
          <w:noProof/>
          <w:color w:val="000000" w:themeColor="text1"/>
          <w:sz w:val="20"/>
          <w:szCs w:val="20"/>
        </w:rPr>
        <w:t xml:space="preserve">Wallpolla Island - </w:t>
      </w:r>
      <w:r w:rsidRPr="0027713D">
        <w:rPr>
          <w:rFonts w:ascii="Century Gothic" w:hAnsi="Century Gothic" w:cs="Arial"/>
          <w:noProof/>
          <w:color w:val="000000" w:themeColor="text1"/>
          <w:sz w:val="20"/>
          <w:szCs w:val="20"/>
        </w:rPr>
        <w:t>to promote wetland condition and aquatic plant diversity,</w:t>
      </w:r>
      <w:r w:rsidRPr="0027713D">
        <w:rPr>
          <w:rFonts w:ascii="Century Gothic" w:hAnsi="Century Gothic" w:cs="Arial"/>
          <w:i/>
          <w:noProof/>
          <w:color w:val="000000" w:themeColor="text1"/>
          <w:sz w:val="20"/>
          <w:szCs w:val="20"/>
        </w:rPr>
        <w:t xml:space="preserve"> </w:t>
      </w:r>
      <w:r w:rsidRPr="0027713D">
        <w:rPr>
          <w:rFonts w:ascii="Century Gothic" w:hAnsi="Century Gothic" w:cs="Arial"/>
          <w:noProof/>
          <w:color w:val="000000" w:themeColor="text1"/>
          <w:sz w:val="20"/>
          <w:szCs w:val="20"/>
        </w:rPr>
        <w:t>spring inundation of Wallpolla Horseshoe and Finnigans Creek would be accomplished by targeting a raising of Lock 9 up to 500 mm above normal operating height and provision of inflows during September to October.</w:t>
      </w:r>
      <w:r w:rsidRPr="0027713D">
        <w:rPr>
          <w:rFonts w:ascii="Century Gothic" w:hAnsi="Century Gothic" w:cs="Arial"/>
          <w:i/>
          <w:noProof/>
          <w:color w:val="000000" w:themeColor="text1"/>
          <w:sz w:val="20"/>
          <w:szCs w:val="20"/>
        </w:rPr>
        <w:t xml:space="preserve"> Mulcra Island - </w:t>
      </w:r>
      <w:r w:rsidRPr="0027713D">
        <w:rPr>
          <w:rFonts w:ascii="Century Gothic" w:hAnsi="Century Gothic" w:cs="Arial"/>
          <w:noProof/>
          <w:color w:val="000000" w:themeColor="text1"/>
          <w:sz w:val="20"/>
          <w:szCs w:val="20"/>
        </w:rPr>
        <w:t xml:space="preserve">to restore linkages between river and floodplain habitats, and support lignum communities, winter inundation of Mulcra Island would be accomplished by surcharging Lock 8 up to 800 mm above full supply level during July to August. </w:t>
      </w:r>
    </w:p>
    <w:p w:rsidR="00060C7A" w:rsidRPr="0027713D" w:rsidRDefault="00060C7A" w:rsidP="00060C7A">
      <w:pPr>
        <w:pStyle w:val="Para0"/>
        <w:spacing w:after="240" w:line="240" w:lineRule="auto"/>
        <w:jc w:val="left"/>
        <w:rPr>
          <w:rFonts w:ascii="Century Gothic" w:hAnsi="Century Gothic"/>
          <w:b/>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This option would be implemented </w:t>
      </w:r>
      <w:r>
        <w:rPr>
          <w:rFonts w:ascii="Century Gothic" w:hAnsi="Century Gothic" w:cs="Arial"/>
          <w:noProof/>
          <w:color w:val="000000" w:themeColor="text1"/>
          <w:lang w:val="en-AU"/>
        </w:rPr>
        <w:t>by regional authorities and water managers</w:t>
      </w:r>
      <w:r w:rsidRPr="0027713D">
        <w:rPr>
          <w:rFonts w:ascii="Century Gothic" w:hAnsi="Century Gothic" w:cs="Arial"/>
          <w:noProof/>
          <w:color w:val="000000" w:themeColor="text1"/>
          <w:lang w:val="en-AU"/>
        </w:rPr>
        <w:t xml:space="preserve">, who will play a key role in engaging with the local community and third parties and implementing the </w:t>
      </w:r>
      <w:r>
        <w:rPr>
          <w:rFonts w:ascii="Century Gothic" w:hAnsi="Century Gothic" w:cs="Arial"/>
          <w:noProof/>
          <w:color w:val="000000" w:themeColor="text1"/>
          <w:lang w:val="en-AU"/>
        </w:rPr>
        <w:t>action</w:t>
      </w:r>
      <w:r w:rsidRPr="0027713D">
        <w:rPr>
          <w:rFonts w:ascii="Century Gothic" w:hAnsi="Century Gothic" w:cs="Arial"/>
          <w:noProof/>
          <w:color w:val="000000" w:themeColor="text1"/>
          <w:lang w:val="en-AU"/>
        </w:rPr>
        <w:t>. Potentially affected landholders (as a result of inundation of private land or access tracks, or on pumping infrastructure that relies on the weir pools) are consulted as part of weir pool mainpulation activities.</w:t>
      </w:r>
    </w:p>
    <w:p w:rsidR="00060C7A" w:rsidRPr="0027713D" w:rsidRDefault="00060C7A" w:rsidP="00060C7A">
      <w:pPr>
        <w:spacing w:after="240"/>
        <w:rPr>
          <w:rFonts w:ascii="Century Gothic" w:hAnsi="Century Gothic"/>
          <w:i/>
          <w:sz w:val="20"/>
          <w:szCs w:val="20"/>
        </w:rPr>
      </w:pPr>
      <w:r>
        <w:rPr>
          <w:rFonts w:ascii="Century Gothic" w:hAnsi="Century Gothic" w:cs="Arial"/>
          <w:i/>
          <w:noProof/>
          <w:color w:val="000000" w:themeColor="text1"/>
          <w:sz w:val="20"/>
          <w:szCs w:val="20"/>
          <w:u w:val="single"/>
        </w:rPr>
        <w:br w:type="column"/>
      </w:r>
      <w:r w:rsidRPr="0027713D">
        <w:rPr>
          <w:rFonts w:ascii="Century Gothic" w:hAnsi="Century Gothic" w:cs="Arial"/>
          <w:i/>
          <w:noProof/>
          <w:color w:val="000000" w:themeColor="text1"/>
          <w:sz w:val="20"/>
          <w:szCs w:val="20"/>
          <w:u w:val="single"/>
        </w:rPr>
        <w:lastRenderedPageBreak/>
        <w:t>Watering action</w:t>
      </w:r>
      <w:r>
        <w:rPr>
          <w:rFonts w:ascii="Century Gothic" w:hAnsi="Century Gothic" w:cs="Arial"/>
          <w:i/>
          <w:noProof/>
          <w:color w:val="000000" w:themeColor="text1"/>
          <w:sz w:val="20"/>
          <w:szCs w:val="20"/>
          <w:u w:val="single"/>
        </w:rPr>
        <w:t>s</w:t>
      </w:r>
      <w:r w:rsidRPr="0027713D">
        <w:rPr>
          <w:rFonts w:ascii="Century Gothic" w:hAnsi="Century Gothic" w:cs="Arial"/>
          <w:i/>
          <w:noProof/>
          <w:color w:val="000000" w:themeColor="text1"/>
          <w:sz w:val="20"/>
          <w:szCs w:val="20"/>
          <w:u w:val="single"/>
        </w:rPr>
        <w:t xml:space="preserve"> </w:t>
      </w:r>
      <w:r>
        <w:rPr>
          <w:rFonts w:ascii="Century Gothic" w:hAnsi="Century Gothic" w:cs="Arial"/>
          <w:i/>
          <w:noProof/>
          <w:color w:val="000000" w:themeColor="text1"/>
          <w:sz w:val="20"/>
          <w:szCs w:val="20"/>
          <w:u w:val="single"/>
        </w:rPr>
        <w:t>7 and 10</w:t>
      </w:r>
      <w:r w:rsidRPr="0027713D">
        <w:rPr>
          <w:rFonts w:ascii="Century Gothic" w:hAnsi="Century Gothic" w:cs="Arial"/>
          <w:i/>
          <w:noProof/>
          <w:color w:val="000000" w:themeColor="text1"/>
          <w:sz w:val="20"/>
          <w:szCs w:val="20"/>
        </w:rPr>
        <w:t xml:space="preserve">: </w:t>
      </w:r>
      <w:r w:rsidRPr="0027713D">
        <w:rPr>
          <w:rFonts w:ascii="Century Gothic" w:hAnsi="Century Gothic"/>
          <w:i/>
          <w:color w:val="000000"/>
          <w:sz w:val="20"/>
          <w:szCs w:val="20"/>
        </w:rPr>
        <w:t xml:space="preserve">Infrastructure Delivery: </w:t>
      </w:r>
      <w:proofErr w:type="spellStart"/>
      <w:r w:rsidRPr="0027713D">
        <w:rPr>
          <w:rFonts w:ascii="Century Gothic" w:hAnsi="Century Gothic"/>
          <w:i/>
          <w:color w:val="000000"/>
          <w:sz w:val="20"/>
          <w:szCs w:val="20"/>
        </w:rPr>
        <w:t>Mallee</w:t>
      </w:r>
      <w:proofErr w:type="spellEnd"/>
      <w:r w:rsidRPr="0027713D">
        <w:rPr>
          <w:rFonts w:ascii="Century Gothic" w:hAnsi="Century Gothic"/>
          <w:i/>
          <w:color w:val="000000"/>
          <w:sz w:val="20"/>
          <w:szCs w:val="20"/>
        </w:rPr>
        <w:t xml:space="preserve"> Wetlands</w:t>
      </w:r>
      <w:r>
        <w:rPr>
          <w:rFonts w:ascii="Century Gothic" w:hAnsi="Century Gothic"/>
          <w:i/>
          <w:color w:val="000000"/>
          <w:sz w:val="20"/>
          <w:szCs w:val="20"/>
        </w:rPr>
        <w:t xml:space="preserve"> and Lower Murray Wetlands</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194962" w:rsidRDefault="00060C7A" w:rsidP="00060C7A">
      <w:pPr>
        <w:pStyle w:val="ListBullet"/>
        <w:spacing w:after="240"/>
        <w:contextualSpacing w:val="0"/>
        <w:jc w:val="left"/>
        <w:rPr>
          <w:rFonts w:ascii="Century Gothic" w:hAnsi="Century Gothic" w:cs="Arial"/>
          <w:noProof/>
          <w:color w:val="000000" w:themeColor="text1"/>
        </w:rPr>
      </w:pPr>
      <w:r w:rsidRPr="00194962">
        <w:rPr>
          <w:rFonts w:ascii="Century Gothic" w:hAnsi="Century Gothic" w:cs="Arial"/>
          <w:noProof/>
          <w:color w:val="000000" w:themeColor="text1"/>
        </w:rPr>
        <w:t xml:space="preserve">Commonwealth environmental water is delivered to wetlands in the New South Wales and Victorian Mallee in partnership with the Mallee Catchment Management Authority, Victorian Environmental Water Holder, New South Wales Office of Environment and Heritage and Murray-Darling Wetlands Working Group. </w:t>
      </w:r>
      <w:r>
        <w:rPr>
          <w:rFonts w:ascii="Century Gothic" w:hAnsi="Century Gothic" w:cs="Arial"/>
          <w:noProof/>
          <w:color w:val="000000" w:themeColor="text1"/>
        </w:rPr>
        <w:t xml:space="preserve">In South Australia, water is delivered via </w:t>
      </w:r>
      <w:r w:rsidRPr="00194962">
        <w:rPr>
          <w:rFonts w:ascii="Century Gothic" w:hAnsi="Century Gothic" w:cs="Arial"/>
          <w:noProof/>
          <w:color w:val="000000" w:themeColor="text1"/>
        </w:rPr>
        <w:t>Natural Resources South Australian Murray-Darling Basin</w:t>
      </w:r>
      <w:r>
        <w:rPr>
          <w:rFonts w:ascii="Century Gothic" w:hAnsi="Century Gothic" w:cs="Arial"/>
          <w:noProof/>
          <w:color w:val="000000" w:themeColor="text1"/>
        </w:rPr>
        <w:t xml:space="preserve">, </w:t>
      </w:r>
      <w:r w:rsidRPr="00194962">
        <w:rPr>
          <w:rFonts w:ascii="Century Gothic" w:hAnsi="Century Gothic" w:cs="Arial"/>
          <w:noProof/>
          <w:color w:val="000000" w:themeColor="text1"/>
        </w:rPr>
        <w:t xml:space="preserve"> the Nature Foundation South Australia</w:t>
      </w:r>
      <w:r>
        <w:rPr>
          <w:rFonts w:ascii="Century Gothic" w:hAnsi="Century Gothic" w:cs="Arial"/>
          <w:noProof/>
          <w:color w:val="000000" w:themeColor="text1"/>
        </w:rPr>
        <w:t xml:space="preserve"> and </w:t>
      </w:r>
      <w:r w:rsidRPr="00194962">
        <w:rPr>
          <w:rFonts w:ascii="Century Gothic" w:hAnsi="Century Gothic" w:cs="Arial"/>
          <w:noProof/>
          <w:color w:val="000000" w:themeColor="text1"/>
        </w:rPr>
        <w:t>site managers (e.g. Banrock Station).</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Key operational considerations including the infrastru</w:t>
      </w:r>
      <w:r>
        <w:rPr>
          <w:rFonts w:ascii="Century Gothic" w:hAnsi="Century Gothic" w:cs="Arial"/>
          <w:noProof/>
          <w:color w:val="000000" w:themeColor="text1"/>
        </w:rPr>
        <w:t>c</w:t>
      </w:r>
      <w:r w:rsidRPr="0027713D">
        <w:rPr>
          <w:rFonts w:ascii="Century Gothic" w:hAnsi="Century Gothic" w:cs="Arial"/>
          <w:noProof/>
          <w:color w:val="000000" w:themeColor="text1"/>
        </w:rPr>
        <w:t>ture required to del</w:t>
      </w:r>
      <w:r>
        <w:rPr>
          <w:rFonts w:ascii="Century Gothic" w:hAnsi="Century Gothic" w:cs="Arial"/>
          <w:noProof/>
          <w:color w:val="000000" w:themeColor="text1"/>
        </w:rPr>
        <w:t xml:space="preserve">iver water, access arrangements, </w:t>
      </w:r>
      <w:r w:rsidRPr="0027713D">
        <w:rPr>
          <w:rFonts w:ascii="Century Gothic" w:hAnsi="Century Gothic" w:cs="Arial"/>
          <w:noProof/>
          <w:color w:val="000000" w:themeColor="text1"/>
        </w:rPr>
        <w:t>required approvals</w:t>
      </w:r>
      <w:r>
        <w:rPr>
          <w:rFonts w:ascii="Century Gothic" w:hAnsi="Century Gothic" w:cs="Arial"/>
          <w:noProof/>
          <w:color w:val="000000" w:themeColor="text1"/>
        </w:rPr>
        <w:t xml:space="preserve"> and delivery costs (i.e. cost effectiveness)</w:t>
      </w:r>
      <w:r w:rsidRPr="0027713D">
        <w:rPr>
          <w:rFonts w:ascii="Century Gothic" w:hAnsi="Century Gothic" w:cs="Arial"/>
          <w:noProof/>
          <w:color w:val="000000" w:themeColor="text1"/>
        </w:rPr>
        <w:t>.</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Watering may be in conjunction with weir pool manipulation </w:t>
      </w:r>
      <w:r w:rsidRPr="0027713D">
        <w:rPr>
          <w:rFonts w:ascii="Century Gothic" w:hAnsi="Century Gothic"/>
        </w:rPr>
        <w:t>to provide wetland inundation in conjunction with higher river water levels and to contribute to fast flowing fish habitat</w:t>
      </w:r>
      <w:r w:rsidRPr="0027713D">
        <w:rPr>
          <w:rFonts w:ascii="Century Gothic" w:hAnsi="Century Gothic" w:cs="Arial"/>
          <w:noProof/>
          <w:color w:val="000000" w:themeColor="text1"/>
        </w:rPr>
        <w:t>.</w:t>
      </w:r>
    </w:p>
    <w:p w:rsidR="00060C7A" w:rsidRPr="0085160F" w:rsidRDefault="00060C7A" w:rsidP="00060C7A">
      <w:pPr>
        <w:pStyle w:val="ListBullet"/>
        <w:spacing w:after="240"/>
        <w:contextualSpacing w:val="0"/>
        <w:jc w:val="left"/>
        <w:rPr>
          <w:rFonts w:ascii="Century Gothic" w:hAnsi="Century Gothic" w:cs="Arial"/>
          <w:noProof/>
          <w:color w:val="000000" w:themeColor="text1"/>
        </w:rPr>
      </w:pPr>
      <w:r w:rsidRPr="0085160F">
        <w:rPr>
          <w:rFonts w:ascii="Century Gothic" w:hAnsi="Century Gothic" w:cs="Arial"/>
          <w:noProof/>
          <w:color w:val="000000" w:themeColor="text1"/>
        </w:rPr>
        <w:t xml:space="preserve">Drying cycles are a natural characteristic of floodplain wetlands along the River Murray. The watering of wetlands may be undertaken in relation to seasonal conditions. </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Saline water discharged from Mallee sites will need to be carefully monitored </w:t>
      </w:r>
      <w:r>
        <w:rPr>
          <w:rFonts w:ascii="Century Gothic" w:hAnsi="Century Gothic" w:cs="Arial"/>
          <w:noProof/>
          <w:color w:val="000000" w:themeColor="text1"/>
        </w:rPr>
        <w:t xml:space="preserve">as per the water quality and salinity management plan (Basin Plan Chapter 9) </w:t>
      </w:r>
      <w:r w:rsidRPr="0027713D">
        <w:rPr>
          <w:rFonts w:ascii="Century Gothic" w:hAnsi="Century Gothic" w:cs="Arial"/>
          <w:noProof/>
          <w:color w:val="000000" w:themeColor="text1"/>
        </w:rPr>
        <w:t xml:space="preserve">and any potential adverse impacts </w:t>
      </w:r>
      <w:r>
        <w:rPr>
          <w:rFonts w:ascii="Century Gothic" w:hAnsi="Century Gothic" w:cs="Arial"/>
          <w:noProof/>
          <w:color w:val="000000" w:themeColor="text1"/>
        </w:rPr>
        <w:t xml:space="preserve">on river water quality </w:t>
      </w:r>
      <w:r w:rsidRPr="0027713D">
        <w:rPr>
          <w:rFonts w:ascii="Century Gothic" w:hAnsi="Century Gothic" w:cs="Arial"/>
          <w:noProof/>
          <w:color w:val="000000" w:themeColor="text1"/>
        </w:rPr>
        <w:t xml:space="preserve">mitigated by coordination with adequate dilution flows in the River Murray (including possibly from other environmental watering actions). </w:t>
      </w:r>
      <w:r>
        <w:rPr>
          <w:rFonts w:ascii="Century Gothic" w:hAnsi="Century Gothic" w:cs="Arial"/>
          <w:noProof/>
          <w:color w:val="000000" w:themeColor="text1"/>
        </w:rPr>
        <w:t xml:space="preserve"> The Murray-Darling Basin Authority has salinity forecasting tools available to assist.</w:t>
      </w:r>
    </w:p>
    <w:p w:rsidR="00060C7A"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Acid sulphate soils and potential groundwater influences are important considerations.</w:t>
      </w:r>
    </w:p>
    <w:p w:rsidR="00060C7A" w:rsidRPr="0027713D" w:rsidRDefault="00060C7A" w:rsidP="00060C7A">
      <w:pPr>
        <w:spacing w:after="240"/>
        <w:rPr>
          <w:rFonts w:ascii="Century Gothic" w:hAnsi="Century Gothic" w:cs="Arial"/>
          <w:noProof/>
          <w:color w:val="000000" w:themeColor="text1"/>
          <w:sz w:val="20"/>
          <w:szCs w:val="20"/>
        </w:rPr>
      </w:pPr>
      <w:r w:rsidRPr="0027713D">
        <w:rPr>
          <w:rFonts w:ascii="Century Gothic" w:hAnsi="Century Gothic" w:cs="Arial"/>
          <w:i/>
          <w:noProof/>
          <w:color w:val="000000" w:themeColor="text1"/>
          <w:sz w:val="20"/>
          <w:szCs w:val="20"/>
        </w:rPr>
        <w:t xml:space="preserve">Typical extent: </w:t>
      </w:r>
      <w:r w:rsidRPr="0027713D">
        <w:rPr>
          <w:rFonts w:ascii="Century Gothic" w:hAnsi="Century Gothic" w:cs="Arial"/>
          <w:noProof/>
          <w:color w:val="000000" w:themeColor="text1"/>
          <w:sz w:val="20"/>
          <w:szCs w:val="20"/>
        </w:rPr>
        <w:t xml:space="preserve">Individual wetland sites </w:t>
      </w:r>
      <w:r>
        <w:rPr>
          <w:rFonts w:ascii="Century Gothic" w:hAnsi="Century Gothic" w:cs="Arial"/>
          <w:noProof/>
          <w:color w:val="000000" w:themeColor="text1"/>
          <w:sz w:val="20"/>
          <w:szCs w:val="20"/>
        </w:rPr>
        <w:t xml:space="preserve">in the Mallee region and </w:t>
      </w:r>
      <w:r w:rsidRPr="0027713D">
        <w:rPr>
          <w:rFonts w:ascii="Century Gothic" w:hAnsi="Century Gothic" w:cs="Arial"/>
          <w:noProof/>
          <w:color w:val="000000" w:themeColor="text1"/>
          <w:sz w:val="20"/>
          <w:szCs w:val="20"/>
        </w:rPr>
        <w:t>from the South Australian border to and adjoining the Lower Lakes.</w:t>
      </w:r>
      <w:r>
        <w:rPr>
          <w:rFonts w:ascii="Century Gothic" w:hAnsi="Century Gothic" w:cs="Arial"/>
          <w:noProof/>
          <w:color w:val="000000" w:themeColor="text1"/>
          <w:sz w:val="20"/>
          <w:szCs w:val="20"/>
        </w:rPr>
        <w:t xml:space="preserve"> </w:t>
      </w:r>
    </w:p>
    <w:p w:rsidR="00060C7A" w:rsidRPr="0027713D" w:rsidRDefault="00060C7A" w:rsidP="00060C7A">
      <w:pPr>
        <w:pStyle w:val="Para0"/>
        <w:spacing w:after="240" w:line="240" w:lineRule="auto"/>
        <w:jc w:val="left"/>
        <w:rPr>
          <w:rFonts w:ascii="Century Gothic" w:hAnsi="Century Gothic"/>
          <w:b/>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Wetland watering occurs on a range of public and private land and input and/or consent of landholders, community groups and other agencies is important.</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t xml:space="preserve">Watering action </w:t>
      </w:r>
      <w:r>
        <w:rPr>
          <w:rFonts w:ascii="Century Gothic" w:hAnsi="Century Gothic" w:cs="Arial"/>
          <w:i/>
          <w:noProof/>
          <w:color w:val="000000" w:themeColor="text1"/>
          <w:sz w:val="20"/>
          <w:szCs w:val="20"/>
          <w:u w:val="single"/>
        </w:rPr>
        <w:t>9</w:t>
      </w:r>
      <w:r w:rsidRPr="0027713D">
        <w:rPr>
          <w:rFonts w:ascii="Century Gothic" w:hAnsi="Century Gothic" w:cs="Arial"/>
          <w:i/>
          <w:noProof/>
          <w:color w:val="000000" w:themeColor="text1"/>
          <w:sz w:val="20"/>
          <w:szCs w:val="20"/>
        </w:rPr>
        <w:t xml:space="preserve">: </w:t>
      </w:r>
      <w:r w:rsidRPr="0027713D">
        <w:rPr>
          <w:rFonts w:ascii="Century Gothic" w:hAnsi="Century Gothic"/>
          <w:i/>
          <w:color w:val="000000"/>
          <w:sz w:val="20"/>
          <w:szCs w:val="20"/>
        </w:rPr>
        <w:t>Infrastructure Delivery: Chowilla Floodplain</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Pr="00B15A20"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olor w:val="000000"/>
        </w:rPr>
        <w:t xml:space="preserve">Water can be delivered to a portion of the Chowilla Floodplain using infrastructure such as recently constructed regulators, </w:t>
      </w:r>
      <w:proofErr w:type="spellStart"/>
      <w:r w:rsidRPr="0027713D">
        <w:rPr>
          <w:rFonts w:ascii="Century Gothic" w:hAnsi="Century Gothic"/>
          <w:color w:val="000000"/>
        </w:rPr>
        <w:t>fishways</w:t>
      </w:r>
      <w:proofErr w:type="spellEnd"/>
      <w:r w:rsidRPr="0027713D">
        <w:rPr>
          <w:rFonts w:ascii="Century Gothic" w:hAnsi="Century Gothic"/>
          <w:color w:val="000000"/>
        </w:rPr>
        <w:t xml:space="preserve"> and upgraded weirs. </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The </w:t>
      </w:r>
      <w:r>
        <w:rPr>
          <w:rFonts w:ascii="Century Gothic" w:hAnsi="Century Gothic" w:cs="Arial"/>
          <w:noProof/>
          <w:color w:val="000000" w:themeColor="text1"/>
        </w:rPr>
        <w:t>action</w:t>
      </w:r>
      <w:r w:rsidRPr="0027713D">
        <w:rPr>
          <w:rFonts w:ascii="Century Gothic" w:hAnsi="Century Gothic" w:cs="Arial"/>
          <w:noProof/>
          <w:color w:val="000000" w:themeColor="text1"/>
        </w:rPr>
        <w:t xml:space="preserve"> needs to be managed in consideration of Action 3 in particular, to ensure there are adequate flows within the river channel to operate the infrastrcture and mitigate water quality issues as flows return from the floodplain to the river.</w:t>
      </w:r>
    </w:p>
    <w:p w:rsidR="00060C7A"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Infrastructure needs to be operated in conjunction with Lock 6 weir pool.</w:t>
      </w:r>
    </w:p>
    <w:p w:rsidR="00060C7A"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Adequate flows need to be maintained through fishways to ensure suitable velocities for effective operation.</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Saline water will need to be carefully monitored </w:t>
      </w:r>
      <w:r>
        <w:rPr>
          <w:rFonts w:ascii="Century Gothic" w:hAnsi="Century Gothic" w:cs="Arial"/>
          <w:noProof/>
          <w:color w:val="000000" w:themeColor="text1"/>
        </w:rPr>
        <w:t>(as per action 7 above).</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 xml:space="preserve">Typical extent: </w:t>
      </w:r>
      <w:r w:rsidRPr="0027713D">
        <w:rPr>
          <w:rFonts w:ascii="Century Gothic" w:hAnsi="Century Gothic"/>
          <w:color w:val="000000"/>
          <w:sz w:val="20"/>
          <w:szCs w:val="20"/>
        </w:rPr>
        <w:t xml:space="preserve">The infrastructure can be operated in a range of ways, including </w:t>
      </w:r>
      <w:proofErr w:type="gramStart"/>
      <w:r w:rsidRPr="0027713D">
        <w:rPr>
          <w:rFonts w:ascii="Century Gothic" w:hAnsi="Century Gothic"/>
          <w:color w:val="000000"/>
          <w:sz w:val="20"/>
          <w:szCs w:val="20"/>
        </w:rPr>
        <w:t>to vary</w:t>
      </w:r>
      <w:proofErr w:type="gramEnd"/>
      <w:r w:rsidRPr="0027713D">
        <w:rPr>
          <w:rFonts w:ascii="Century Gothic" w:hAnsi="Century Gothic"/>
          <w:color w:val="000000"/>
          <w:sz w:val="20"/>
          <w:szCs w:val="20"/>
        </w:rPr>
        <w:t xml:space="preserve"> water levels in anabranches and creeks through to </w:t>
      </w:r>
      <w:r>
        <w:rPr>
          <w:rFonts w:ascii="Century Gothic" w:hAnsi="Century Gothic"/>
          <w:color w:val="000000"/>
          <w:sz w:val="20"/>
          <w:szCs w:val="20"/>
        </w:rPr>
        <w:t>supporting the inundation of</w:t>
      </w:r>
      <w:r w:rsidRPr="0027713D">
        <w:rPr>
          <w:rFonts w:ascii="Century Gothic" w:hAnsi="Century Gothic"/>
          <w:color w:val="000000"/>
          <w:sz w:val="20"/>
          <w:szCs w:val="20"/>
        </w:rPr>
        <w:t xml:space="preserve"> large areas of floodplain and </w:t>
      </w:r>
      <w:r>
        <w:rPr>
          <w:rFonts w:ascii="Century Gothic" w:hAnsi="Century Gothic"/>
          <w:color w:val="000000"/>
          <w:sz w:val="20"/>
          <w:szCs w:val="20"/>
        </w:rPr>
        <w:t xml:space="preserve">high elevation </w:t>
      </w:r>
      <w:r w:rsidRPr="0027713D">
        <w:rPr>
          <w:rFonts w:ascii="Century Gothic" w:hAnsi="Century Gothic"/>
          <w:color w:val="000000"/>
          <w:sz w:val="20"/>
          <w:szCs w:val="20"/>
        </w:rPr>
        <w:t>wetlands.</w:t>
      </w:r>
    </w:p>
    <w:p w:rsidR="00060C7A" w:rsidRPr="0027713D" w:rsidRDefault="00060C7A" w:rsidP="00060C7A">
      <w:pPr>
        <w:pStyle w:val="Para0"/>
        <w:spacing w:after="240" w:line="240" w:lineRule="auto"/>
        <w:jc w:val="left"/>
        <w:rPr>
          <w:rFonts w:ascii="Century Gothic" w:hAnsi="Century Gothic"/>
          <w:b/>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This option would be implemented with local delivery partners, who will play a key role in engaging with the local community and </w:t>
      </w:r>
      <w:r>
        <w:rPr>
          <w:rFonts w:ascii="Century Gothic" w:hAnsi="Century Gothic" w:cs="Arial"/>
          <w:noProof/>
          <w:color w:val="000000" w:themeColor="text1"/>
          <w:lang w:val="en-AU"/>
        </w:rPr>
        <w:t xml:space="preserve">other </w:t>
      </w:r>
      <w:r w:rsidRPr="0027713D">
        <w:rPr>
          <w:rFonts w:ascii="Century Gothic" w:hAnsi="Century Gothic" w:cs="Arial"/>
          <w:noProof/>
          <w:color w:val="000000" w:themeColor="text1"/>
          <w:lang w:val="en-AU"/>
        </w:rPr>
        <w:t xml:space="preserve">third parties </w:t>
      </w:r>
      <w:r>
        <w:rPr>
          <w:rFonts w:ascii="Century Gothic" w:hAnsi="Century Gothic" w:cs="Arial"/>
          <w:noProof/>
          <w:color w:val="000000" w:themeColor="text1"/>
          <w:lang w:val="en-AU"/>
        </w:rPr>
        <w:t>to</w:t>
      </w:r>
      <w:r w:rsidRPr="0027713D">
        <w:rPr>
          <w:rFonts w:ascii="Century Gothic" w:hAnsi="Century Gothic" w:cs="Arial"/>
          <w:noProof/>
          <w:color w:val="000000" w:themeColor="text1"/>
          <w:lang w:val="en-AU"/>
        </w:rPr>
        <w:t xml:space="preserve"> implement </w:t>
      </w:r>
      <w:r>
        <w:rPr>
          <w:rFonts w:ascii="Century Gothic" w:hAnsi="Century Gothic" w:cs="Arial"/>
          <w:noProof/>
          <w:color w:val="000000" w:themeColor="text1"/>
          <w:lang w:val="en-AU"/>
        </w:rPr>
        <w:t>a watering</w:t>
      </w:r>
      <w:r w:rsidRPr="0027713D">
        <w:rPr>
          <w:rFonts w:ascii="Century Gothic" w:hAnsi="Century Gothic" w:cs="Arial"/>
          <w:noProof/>
          <w:color w:val="000000" w:themeColor="text1"/>
          <w:lang w:val="en-AU"/>
        </w:rPr>
        <w:t xml:space="preserve"> </w:t>
      </w:r>
      <w:r>
        <w:rPr>
          <w:rFonts w:ascii="Century Gothic" w:hAnsi="Century Gothic" w:cs="Arial"/>
          <w:noProof/>
          <w:color w:val="000000" w:themeColor="text1"/>
          <w:lang w:val="en-AU"/>
        </w:rPr>
        <w:t>action</w:t>
      </w:r>
      <w:r w:rsidRPr="0027713D">
        <w:rPr>
          <w:rFonts w:ascii="Century Gothic" w:hAnsi="Century Gothic" w:cs="Arial"/>
          <w:noProof/>
          <w:color w:val="000000" w:themeColor="text1"/>
          <w:lang w:val="en-AU"/>
        </w:rPr>
        <w:t xml:space="preserve">. </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u w:val="single"/>
        </w:rPr>
        <w:lastRenderedPageBreak/>
        <w:t>Watering action 1</w:t>
      </w:r>
      <w:r>
        <w:rPr>
          <w:rFonts w:ascii="Century Gothic" w:hAnsi="Century Gothic" w:cs="Arial"/>
          <w:i/>
          <w:noProof/>
          <w:color w:val="000000" w:themeColor="text1"/>
          <w:sz w:val="20"/>
          <w:szCs w:val="20"/>
          <w:u w:val="single"/>
        </w:rPr>
        <w:t>2</w:t>
      </w:r>
      <w:r w:rsidRPr="0027713D">
        <w:rPr>
          <w:rFonts w:ascii="Century Gothic" w:hAnsi="Century Gothic" w:cs="Arial"/>
          <w:i/>
          <w:noProof/>
          <w:color w:val="000000" w:themeColor="text1"/>
          <w:sz w:val="20"/>
          <w:szCs w:val="20"/>
          <w:u w:val="single"/>
        </w:rPr>
        <w:t>:</w:t>
      </w:r>
      <w:r>
        <w:rPr>
          <w:rFonts w:ascii="Century Gothic" w:hAnsi="Century Gothic" w:cs="Arial"/>
          <w:i/>
          <w:noProof/>
          <w:color w:val="000000" w:themeColor="text1"/>
          <w:sz w:val="20"/>
          <w:szCs w:val="20"/>
        </w:rPr>
        <w:t xml:space="preserve"> S</w:t>
      </w:r>
      <w:r w:rsidRPr="0027713D">
        <w:rPr>
          <w:rFonts w:ascii="Century Gothic" w:hAnsi="Century Gothic" w:cs="Arial"/>
          <w:i/>
          <w:noProof/>
          <w:color w:val="000000" w:themeColor="text1"/>
          <w:sz w:val="20"/>
          <w:szCs w:val="20"/>
        </w:rPr>
        <w:t>easonal lake level variation, differential barrage releases including fishway flows</w:t>
      </w:r>
      <w:r>
        <w:rPr>
          <w:rFonts w:ascii="Century Gothic" w:hAnsi="Century Gothic" w:cs="Arial"/>
          <w:i/>
          <w:noProof/>
          <w:color w:val="000000" w:themeColor="text1"/>
          <w:sz w:val="20"/>
          <w:szCs w:val="20"/>
        </w:rPr>
        <w:t xml:space="preserve"> – Coorong, Lower Lakes and Murray Mouth </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Standard operational considerations</w:t>
      </w:r>
    </w:p>
    <w:p w:rsidR="00060C7A"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Commonwealth environmental water is delivered to the Lower Lakes for </w:t>
      </w:r>
      <w:r>
        <w:rPr>
          <w:rFonts w:ascii="Century Gothic" w:hAnsi="Century Gothic" w:cs="Arial"/>
          <w:noProof/>
          <w:color w:val="000000" w:themeColor="text1"/>
        </w:rPr>
        <w:t>supporting outcomes</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within the lakes and the </w:t>
      </w:r>
      <w:r w:rsidRPr="0027713D">
        <w:rPr>
          <w:rFonts w:ascii="Century Gothic" w:hAnsi="Century Gothic" w:cs="Arial"/>
          <w:noProof/>
          <w:color w:val="000000" w:themeColor="text1"/>
        </w:rPr>
        <w:t>Coorong</w:t>
      </w:r>
      <w:r>
        <w:rPr>
          <w:rFonts w:ascii="Century Gothic" w:hAnsi="Century Gothic" w:cs="Arial"/>
          <w:noProof/>
          <w:color w:val="000000" w:themeColor="text1"/>
        </w:rPr>
        <w:t>.</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The </w:t>
      </w:r>
      <w:r w:rsidRPr="0027713D">
        <w:rPr>
          <w:rFonts w:ascii="Century Gothic" w:hAnsi="Century Gothic" w:cs="Arial"/>
          <w:noProof/>
          <w:color w:val="000000" w:themeColor="text1"/>
        </w:rPr>
        <w:t xml:space="preserve">water levels of the Lower Lakes and barrage operations </w:t>
      </w:r>
      <w:r>
        <w:rPr>
          <w:rFonts w:ascii="Century Gothic" w:hAnsi="Century Gothic" w:cs="Arial"/>
          <w:noProof/>
          <w:color w:val="000000" w:themeColor="text1"/>
        </w:rPr>
        <w:t>are managed complementarily for multiple environmental an</w:t>
      </w:r>
      <w:r w:rsidRPr="0027713D">
        <w:rPr>
          <w:rFonts w:ascii="Century Gothic" w:hAnsi="Century Gothic" w:cs="Arial"/>
          <w:noProof/>
          <w:color w:val="000000" w:themeColor="text1"/>
        </w:rPr>
        <w:t>d socio-economic outcomes in the Coorong, Lower Lakes and Murray Mouth.</w:t>
      </w:r>
    </w:p>
    <w:p w:rsidR="00060C7A"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The management of lake water levels throughout the year will be guided by seasonally appropriate water level ranges that are appropriate for lake vegetation outcomes accommodating higher water levels in spring and lower water levels in summer-autumn. The effects of wind seiching can have a dramatic impact on water levels in the Lower Lakes including up to Lock 1. Minimum water levels of at least 0.45-0.40 mAHD for managing acid sulphate soils in the Lower Murray Swamps will be maintained for pump access to support management of floodplains in the lower Murray swamps.</w:t>
      </w:r>
    </w:p>
    <w:p w:rsidR="00060C7A" w:rsidRDefault="00060C7A" w:rsidP="00060C7A">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Flows into the Coorong are managed </w:t>
      </w:r>
      <w:r w:rsidRPr="0027713D">
        <w:rPr>
          <w:rFonts w:ascii="Century Gothic" w:hAnsi="Century Gothic" w:cs="Arial"/>
          <w:noProof/>
          <w:color w:val="000000" w:themeColor="text1"/>
        </w:rPr>
        <w:t>through the barrages</w:t>
      </w:r>
      <w:r>
        <w:rPr>
          <w:rFonts w:ascii="Century Gothic" w:hAnsi="Century Gothic" w:cs="Arial"/>
          <w:noProof/>
          <w:color w:val="000000" w:themeColor="text1"/>
        </w:rPr>
        <w:t xml:space="preserve"> situated on Lake Alexandrina</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B</w:t>
      </w:r>
      <w:r w:rsidRPr="0027713D">
        <w:rPr>
          <w:rFonts w:ascii="Century Gothic" w:hAnsi="Century Gothic" w:cs="Arial"/>
          <w:noProof/>
          <w:color w:val="000000" w:themeColor="text1"/>
        </w:rPr>
        <w:t xml:space="preserve">arrage </w:t>
      </w:r>
      <w:r>
        <w:rPr>
          <w:rFonts w:ascii="Century Gothic" w:hAnsi="Century Gothic" w:cs="Arial"/>
          <w:noProof/>
          <w:color w:val="000000" w:themeColor="text1"/>
        </w:rPr>
        <w:t>releases</w:t>
      </w:r>
      <w:r w:rsidRPr="0027713D">
        <w:rPr>
          <w:rFonts w:ascii="Century Gothic" w:hAnsi="Century Gothic" w:cs="Arial"/>
          <w:noProof/>
          <w:color w:val="000000" w:themeColor="text1"/>
        </w:rPr>
        <w:t xml:space="preserve"> are managed to maintain </w:t>
      </w:r>
      <w:r>
        <w:rPr>
          <w:rFonts w:ascii="Century Gothic" w:hAnsi="Century Gothic" w:cs="Arial"/>
          <w:noProof/>
          <w:color w:val="000000" w:themeColor="text1"/>
        </w:rPr>
        <w:t xml:space="preserve">minimum fishway flows, manage </w:t>
      </w:r>
      <w:r w:rsidRPr="0027713D">
        <w:rPr>
          <w:rFonts w:ascii="Century Gothic" w:hAnsi="Century Gothic" w:cs="Arial"/>
          <w:noProof/>
          <w:color w:val="000000" w:themeColor="text1"/>
        </w:rPr>
        <w:t>water quality</w:t>
      </w:r>
      <w:r>
        <w:rPr>
          <w:rFonts w:ascii="Century Gothic" w:hAnsi="Century Gothic" w:cs="Arial"/>
          <w:noProof/>
          <w:color w:val="000000" w:themeColor="text1"/>
        </w:rPr>
        <w:t xml:space="preserve"> and water levels within the Coorong</w:t>
      </w:r>
      <w:r w:rsidRPr="0027713D">
        <w:rPr>
          <w:rFonts w:ascii="Century Gothic" w:hAnsi="Century Gothic" w:cs="Arial"/>
          <w:noProof/>
          <w:color w:val="000000" w:themeColor="text1"/>
        </w:rPr>
        <w:t xml:space="preserve">, </w:t>
      </w:r>
      <w:r>
        <w:rPr>
          <w:rFonts w:ascii="Century Gothic" w:hAnsi="Century Gothic" w:cs="Arial"/>
          <w:noProof/>
          <w:color w:val="000000" w:themeColor="text1"/>
        </w:rPr>
        <w:t xml:space="preserve">with reference to seasonally appropriate lake water levels. </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 xml:space="preserve">Commonwealth environmental water </w:t>
      </w:r>
      <w:r>
        <w:rPr>
          <w:rFonts w:ascii="Century Gothic" w:hAnsi="Century Gothic" w:cs="Arial"/>
          <w:noProof/>
          <w:color w:val="000000" w:themeColor="text1"/>
        </w:rPr>
        <w:t>will provide continuous barrage flows to contribute to maintaining an open Murray Mouth which is especially important for exporting salt from the Basin in in lower flow years. It is also critical for maintaining tidal exchange between the Southern Ocean and the Coorong which helps maintain suitable habitat condition (water quality) within the Coorong Southern Lagoon.</w:t>
      </w:r>
    </w:p>
    <w:p w:rsidR="00060C7A" w:rsidRPr="0027713D" w:rsidRDefault="00060C7A" w:rsidP="00060C7A">
      <w:pPr>
        <w:pStyle w:val="ListBullet"/>
        <w:spacing w:after="240"/>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Specific target lake levels and barrage release rates will reflect seasonal conditions and be agreed by all parties as part of a short term operating plan for the Coorong, Lower Lakes and Murray Mouth.</w:t>
      </w:r>
    </w:p>
    <w:p w:rsidR="00060C7A" w:rsidRPr="0027713D" w:rsidRDefault="00060C7A" w:rsidP="00060C7A">
      <w:pPr>
        <w:spacing w:after="240"/>
        <w:rPr>
          <w:rFonts w:ascii="Century Gothic" w:hAnsi="Century Gothic" w:cs="Arial"/>
          <w:i/>
          <w:noProof/>
          <w:color w:val="000000" w:themeColor="text1"/>
          <w:sz w:val="20"/>
          <w:szCs w:val="20"/>
        </w:rPr>
      </w:pPr>
      <w:r w:rsidRPr="0027713D">
        <w:rPr>
          <w:rFonts w:ascii="Century Gothic" w:hAnsi="Century Gothic" w:cs="Arial"/>
          <w:i/>
          <w:noProof/>
          <w:color w:val="000000" w:themeColor="text1"/>
          <w:sz w:val="20"/>
          <w:szCs w:val="20"/>
        </w:rPr>
        <w:t xml:space="preserve">Typical extent: </w:t>
      </w:r>
      <w:r w:rsidRPr="00594989">
        <w:rPr>
          <w:rFonts w:ascii="Century Gothic" w:hAnsi="Century Gothic" w:cs="Arial"/>
          <w:noProof/>
          <w:color w:val="000000" w:themeColor="text1"/>
          <w:sz w:val="20"/>
          <w:szCs w:val="20"/>
        </w:rPr>
        <w:t xml:space="preserve">Coorong North and South lagoons, </w:t>
      </w:r>
      <w:r>
        <w:rPr>
          <w:rFonts w:ascii="Century Gothic" w:hAnsi="Century Gothic" w:cs="Arial"/>
          <w:noProof/>
          <w:color w:val="000000" w:themeColor="text1"/>
          <w:sz w:val="20"/>
          <w:szCs w:val="20"/>
        </w:rPr>
        <w:t>Lakes Alexandrina</w:t>
      </w:r>
      <w:r w:rsidRPr="00594989">
        <w:rPr>
          <w:rFonts w:ascii="Century Gothic" w:hAnsi="Century Gothic" w:cs="Arial"/>
          <w:noProof/>
          <w:color w:val="000000" w:themeColor="text1"/>
          <w:sz w:val="20"/>
          <w:szCs w:val="20"/>
        </w:rPr>
        <w:t xml:space="preserve"> </w:t>
      </w:r>
      <w:r>
        <w:rPr>
          <w:rFonts w:ascii="Century Gothic" w:hAnsi="Century Gothic" w:cs="Arial"/>
          <w:noProof/>
          <w:color w:val="000000" w:themeColor="text1"/>
          <w:sz w:val="20"/>
          <w:szCs w:val="20"/>
        </w:rPr>
        <w:t xml:space="preserve">and Albert, </w:t>
      </w:r>
      <w:r w:rsidRPr="00594989">
        <w:rPr>
          <w:rFonts w:ascii="Century Gothic" w:hAnsi="Century Gothic" w:cs="Arial"/>
          <w:noProof/>
          <w:color w:val="000000" w:themeColor="text1"/>
          <w:sz w:val="20"/>
          <w:szCs w:val="20"/>
        </w:rPr>
        <w:t>fringing floodplain wetlands, and the Murray Mouth</w:t>
      </w:r>
      <w:r>
        <w:rPr>
          <w:rFonts w:ascii="Century Gothic" w:hAnsi="Century Gothic" w:cs="Arial"/>
          <w:noProof/>
          <w:color w:val="000000" w:themeColor="text1"/>
          <w:sz w:val="20"/>
          <w:szCs w:val="20"/>
        </w:rPr>
        <w:t>.</w:t>
      </w:r>
    </w:p>
    <w:p w:rsidR="00060C7A" w:rsidRPr="0027713D" w:rsidRDefault="00060C7A" w:rsidP="00060C7A">
      <w:pPr>
        <w:pStyle w:val="Para0"/>
        <w:spacing w:after="240" w:line="240" w:lineRule="auto"/>
        <w:jc w:val="left"/>
        <w:rPr>
          <w:rFonts w:ascii="Century Gothic" w:hAnsi="Century Gothic"/>
          <w:b/>
          <w:lang w:val="en-AU"/>
        </w:rPr>
      </w:pPr>
      <w:r w:rsidRPr="0027713D">
        <w:rPr>
          <w:rFonts w:ascii="Century Gothic" w:hAnsi="Century Gothic" w:cs="Arial"/>
          <w:i/>
          <w:noProof/>
          <w:color w:val="000000" w:themeColor="text1"/>
          <w:lang w:val="en-AU"/>
        </w:rPr>
        <w:t>Approvals:</w:t>
      </w:r>
      <w:r w:rsidRPr="0027713D">
        <w:rPr>
          <w:rFonts w:ascii="Century Gothic" w:hAnsi="Century Gothic" w:cs="Arial"/>
          <w:noProof/>
          <w:color w:val="000000" w:themeColor="text1"/>
          <w:lang w:val="en-AU"/>
        </w:rPr>
        <w:t xml:space="preserve"> These watering actions will be implemented in conjunction with the South Australian Department of Environment, Water and Natural Resources, SA Water and the M</w:t>
      </w:r>
      <w:r>
        <w:rPr>
          <w:rFonts w:ascii="Century Gothic" w:hAnsi="Century Gothic" w:cs="Arial"/>
          <w:noProof/>
          <w:color w:val="000000" w:themeColor="text1"/>
          <w:lang w:val="en-AU"/>
        </w:rPr>
        <w:t>urray-Darling Basin Authority</w:t>
      </w:r>
      <w:r w:rsidRPr="0027713D">
        <w:rPr>
          <w:rFonts w:ascii="Century Gothic" w:hAnsi="Century Gothic" w:cs="Arial"/>
          <w:noProof/>
          <w:color w:val="000000" w:themeColor="text1"/>
          <w:lang w:val="en-AU"/>
        </w:rPr>
        <w:t xml:space="preserve">. </w:t>
      </w:r>
    </w:p>
    <w:p w:rsidR="00060C7A" w:rsidRPr="008D2B6B" w:rsidRDefault="00060C7A" w:rsidP="00060C7A">
      <w:pPr>
        <w:spacing w:after="240"/>
        <w:rPr>
          <w:rFonts w:ascii="Century Gothic" w:hAnsi="Century Gothic" w:cs="Arial"/>
          <w:noProof/>
        </w:rPr>
      </w:pPr>
    </w:p>
    <w:p w:rsidR="00060C7A" w:rsidRPr="008D2B6B" w:rsidRDefault="00060C7A" w:rsidP="00060C7A">
      <w:pPr>
        <w:pStyle w:val="Heading1"/>
        <w:spacing w:before="0"/>
        <w:ind w:left="567" w:hanging="567"/>
        <w:jc w:val="left"/>
        <w:rPr>
          <w:rFonts w:ascii="Century Gothic" w:hAnsi="Century Gothic"/>
          <w:color w:val="5F497A" w:themeColor="accent4" w:themeShade="BF"/>
          <w:lang w:val="en-AU"/>
        </w:rPr>
      </w:pPr>
      <w:bookmarkStart w:id="27" w:name="_Toc422406868"/>
      <w:r w:rsidRPr="008D2B6B">
        <w:rPr>
          <w:rFonts w:ascii="Century Gothic" w:hAnsi="Century Gothic"/>
          <w:color w:val="5F497A" w:themeColor="accent4" w:themeShade="BF"/>
          <w:lang w:val="en-AU"/>
        </w:rPr>
        <w:t>Long-term water availability</w:t>
      </w:r>
      <w:bookmarkEnd w:id="27"/>
    </w:p>
    <w:p w:rsidR="00060C7A" w:rsidRPr="008D2B6B" w:rsidRDefault="00060C7A" w:rsidP="00060C7A">
      <w:pPr>
        <w:pStyle w:val="Heading2"/>
        <w:spacing w:before="0"/>
        <w:ind w:left="851" w:hanging="851"/>
        <w:rPr>
          <w:rFonts w:ascii="Century Gothic" w:hAnsi="Century Gothic"/>
          <w:color w:val="5F497A" w:themeColor="accent4" w:themeShade="BF"/>
          <w:lang w:val="en-AU"/>
        </w:rPr>
      </w:pPr>
      <w:bookmarkStart w:id="28" w:name="_Toc422406869"/>
      <w:r w:rsidRPr="008D2B6B">
        <w:rPr>
          <w:rFonts w:ascii="Century Gothic" w:hAnsi="Century Gothic"/>
          <w:color w:val="5F497A" w:themeColor="accent4" w:themeShade="BF"/>
          <w:lang w:val="en-AU"/>
        </w:rPr>
        <w:t>Commonwealth environmental water holdings</w:t>
      </w:r>
      <w:bookmarkEnd w:id="28"/>
      <w:r w:rsidRPr="008D2B6B">
        <w:rPr>
          <w:rFonts w:ascii="Century Gothic" w:hAnsi="Century Gothic"/>
          <w:color w:val="5F497A" w:themeColor="accent4" w:themeShade="BF"/>
          <w:lang w:val="en-AU"/>
        </w:rPr>
        <w:t xml:space="preserve"> </w:t>
      </w:r>
    </w:p>
    <w:p w:rsidR="00060C7A" w:rsidRPr="0027713D" w:rsidRDefault="00060C7A" w:rsidP="00060C7A">
      <w:pPr>
        <w:pStyle w:val="Caption"/>
        <w:spacing w:after="240"/>
        <w:jc w:val="left"/>
        <w:rPr>
          <w:rFonts w:ascii="Century Gothic" w:hAnsi="Century Gothic"/>
          <w:b w:val="0"/>
          <w:bCs w:val="0"/>
        </w:rPr>
      </w:pPr>
      <w:r w:rsidRPr="0027713D">
        <w:rPr>
          <w:rFonts w:ascii="Century Gothic" w:hAnsi="Century Gothic"/>
          <w:b w:val="0"/>
          <w:bCs w:val="0"/>
        </w:rPr>
        <w:t xml:space="preserve">The Commonwealth holds the following entitlements in the </w:t>
      </w:r>
      <w:r w:rsidRPr="0027713D">
        <w:rPr>
          <w:rFonts w:ascii="Century Gothic" w:hAnsi="Century Gothic"/>
          <w:b w:val="0"/>
          <w:bCs w:val="0"/>
          <w:color w:val="000000" w:themeColor="text1"/>
        </w:rPr>
        <w:t>Lower Murray</w:t>
      </w:r>
      <w:r>
        <w:rPr>
          <w:rFonts w:ascii="Century Gothic" w:hAnsi="Century Gothic"/>
          <w:b w:val="0"/>
          <w:bCs w:val="0"/>
          <w:color w:val="000000" w:themeColor="text1"/>
        </w:rPr>
        <w:t>-</w:t>
      </w:r>
      <w:r w:rsidRPr="0027713D">
        <w:rPr>
          <w:rFonts w:ascii="Century Gothic" w:hAnsi="Century Gothic"/>
          <w:b w:val="0"/>
          <w:bCs w:val="0"/>
          <w:color w:val="000000" w:themeColor="text1"/>
        </w:rPr>
        <w:t>Darling Region:</w:t>
      </w:r>
      <w:r w:rsidRPr="0027713D">
        <w:rPr>
          <w:rFonts w:ascii="Century Gothic" w:hAnsi="Century Gothic"/>
          <w:b w:val="0"/>
          <w:bCs w:val="0"/>
          <w:color w:val="FF0000"/>
        </w:rPr>
        <w:t xml:space="preserve"> </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Lower Darling High Security</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Lower Darling General Security</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Murray High Security (South Australia)</w:t>
      </w:r>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t xml:space="preserve">In addition the Commonwealth holds entitlements in the Southern Connected Basin that can be used to delivery environmental water to the Lower </w:t>
      </w:r>
      <w:r>
        <w:rPr>
          <w:rFonts w:ascii="Century Gothic" w:hAnsi="Century Gothic"/>
          <w:sz w:val="20"/>
          <w:szCs w:val="20"/>
        </w:rPr>
        <w:t>Murray–Darling</w:t>
      </w:r>
      <w:r w:rsidRPr="0027713D">
        <w:rPr>
          <w:rFonts w:ascii="Century Gothic" w:hAnsi="Century Gothic"/>
          <w:sz w:val="20"/>
          <w:szCs w:val="20"/>
        </w:rPr>
        <w:t xml:space="preserve"> Region. </w:t>
      </w:r>
      <w:r w:rsidRPr="0027713D">
        <w:rPr>
          <w:rFonts w:ascii="Century Gothic" w:hAnsi="Century Gothic" w:cs="Calibri"/>
          <w:color w:val="000000"/>
          <w:sz w:val="20"/>
          <w:szCs w:val="20"/>
        </w:rPr>
        <w:t xml:space="preserve">The full list of Commonwealth environmental water holdings can be found at </w:t>
      </w:r>
      <w:hyperlink r:id="rId26" w:history="1">
        <w:r w:rsidRPr="0027713D">
          <w:rPr>
            <w:rStyle w:val="Hyperlink"/>
            <w:rFonts w:ascii="Century Gothic" w:hAnsi="Century Gothic" w:cs="Calibri"/>
            <w:sz w:val="20"/>
            <w:szCs w:val="20"/>
          </w:rPr>
          <w:t>www.environment.gov.au/topics/water/commonwealth-environmental-water-office/about-commonwealth-environmental-water/how-much</w:t>
        </w:r>
      </w:hyperlink>
      <w:r w:rsidRPr="0027713D">
        <w:rPr>
          <w:rFonts w:ascii="Century Gothic" w:hAnsi="Century Gothic" w:cs="Calibri"/>
          <w:color w:val="000000"/>
          <w:sz w:val="20"/>
          <w:szCs w:val="20"/>
        </w:rPr>
        <w:t xml:space="preserve"> and is updated monthly. </w:t>
      </w:r>
    </w:p>
    <w:p w:rsidR="00060C7A" w:rsidRPr="008D2B6B" w:rsidRDefault="00060C7A" w:rsidP="00060C7A">
      <w:pPr>
        <w:pStyle w:val="Heading2"/>
        <w:spacing w:before="0"/>
        <w:ind w:left="851" w:hanging="851"/>
        <w:rPr>
          <w:rFonts w:ascii="Century Gothic" w:hAnsi="Century Gothic"/>
          <w:color w:val="5F497A" w:themeColor="accent4" w:themeShade="BF"/>
          <w:lang w:val="en-AU"/>
        </w:rPr>
      </w:pPr>
      <w:bookmarkStart w:id="29" w:name="_Toc422406870"/>
      <w:r w:rsidRPr="008D2B6B">
        <w:rPr>
          <w:rFonts w:ascii="Century Gothic" w:hAnsi="Century Gothic"/>
          <w:color w:val="5F497A" w:themeColor="accent4" w:themeShade="BF"/>
          <w:lang w:val="en-AU"/>
        </w:rPr>
        <w:lastRenderedPageBreak/>
        <w:t>Other sources of environmental water</w:t>
      </w:r>
      <w:bookmarkEnd w:id="29"/>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t xml:space="preserve">Other potential sources of held environmental water that may be used to complement Commonwealth environmental water delivery in the </w:t>
      </w:r>
      <w:r w:rsidRPr="0027713D">
        <w:rPr>
          <w:rFonts w:ascii="Century Gothic" w:hAnsi="Century Gothic"/>
          <w:color w:val="000000" w:themeColor="text1"/>
          <w:sz w:val="20"/>
          <w:szCs w:val="20"/>
        </w:rPr>
        <w:t xml:space="preserve">Lower </w:t>
      </w:r>
      <w:r>
        <w:rPr>
          <w:rFonts w:ascii="Century Gothic" w:hAnsi="Century Gothic"/>
          <w:color w:val="000000" w:themeColor="text1"/>
          <w:sz w:val="20"/>
          <w:szCs w:val="20"/>
        </w:rPr>
        <w:t>Murray–Darling</w:t>
      </w:r>
      <w:r w:rsidRPr="0027713D">
        <w:rPr>
          <w:rFonts w:ascii="Century Gothic" w:hAnsi="Century Gothic"/>
          <w:color w:val="000000" w:themeColor="text1"/>
          <w:sz w:val="20"/>
          <w:szCs w:val="20"/>
        </w:rPr>
        <w:t xml:space="preserve"> Region</w:t>
      </w:r>
      <w:r w:rsidRPr="0027713D">
        <w:rPr>
          <w:rFonts w:ascii="Century Gothic" w:hAnsi="Century Gothic"/>
          <w:color w:val="FF0000"/>
          <w:sz w:val="20"/>
          <w:szCs w:val="20"/>
        </w:rPr>
        <w:t xml:space="preserve"> </w:t>
      </w:r>
      <w:r w:rsidRPr="0027713D">
        <w:rPr>
          <w:rFonts w:ascii="Century Gothic" w:hAnsi="Century Gothic"/>
          <w:sz w:val="20"/>
          <w:szCs w:val="20"/>
        </w:rPr>
        <w:t>include:</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Environment Entitlement – The Living Murray Program (Murray-Darling Basin Authority)</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South Australian Class 9 Wetlands – South Australian Department of Environment, Water and Natural Resources</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South Australian environmental water reserve – South Australian Department of Environment, Water and Natural Resources</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Bulk Entitlement – Victorian Environmental Water Holder</w:t>
      </w:r>
    </w:p>
    <w:p w:rsidR="00060C7A" w:rsidRPr="0027713D" w:rsidRDefault="00060C7A" w:rsidP="00060C7A">
      <w:pPr>
        <w:pStyle w:val="ListBullet"/>
        <w:spacing w:after="240" w:line="276" w:lineRule="auto"/>
        <w:contextualSpacing w:val="0"/>
        <w:jc w:val="left"/>
        <w:rPr>
          <w:rFonts w:ascii="Century Gothic" w:hAnsi="Century Gothic" w:cs="Arial"/>
          <w:noProof/>
          <w:color w:val="000000" w:themeColor="text1"/>
        </w:rPr>
      </w:pPr>
      <w:r w:rsidRPr="0027713D">
        <w:rPr>
          <w:rFonts w:ascii="Century Gothic" w:hAnsi="Century Gothic" w:cs="Arial"/>
          <w:noProof/>
          <w:color w:val="000000" w:themeColor="text1"/>
        </w:rPr>
        <w:t>New South Wales Adaptive environmental water entitlement – New South Wales Office of Environment and Heritage</w:t>
      </w:r>
    </w:p>
    <w:p w:rsidR="00060C7A" w:rsidRPr="008D2B6B" w:rsidRDefault="00060C7A" w:rsidP="00060C7A">
      <w:pPr>
        <w:pStyle w:val="Heading2"/>
        <w:spacing w:before="0"/>
        <w:ind w:left="851" w:hanging="851"/>
        <w:rPr>
          <w:rFonts w:ascii="Century Gothic" w:hAnsi="Century Gothic"/>
          <w:noProof/>
          <w:color w:val="5F497A" w:themeColor="accent4" w:themeShade="BF"/>
          <w:lang w:val="en-AU"/>
        </w:rPr>
      </w:pPr>
      <w:bookmarkStart w:id="30" w:name="_Toc422406871"/>
      <w:r w:rsidRPr="008D2B6B">
        <w:rPr>
          <w:rFonts w:ascii="Century Gothic" w:hAnsi="Century Gothic"/>
          <w:noProof/>
          <w:color w:val="5F497A" w:themeColor="accent4" w:themeShade="BF"/>
          <w:lang w:val="en-AU"/>
        </w:rPr>
        <w:t>Planned environmental water</w:t>
      </w:r>
      <w:bookmarkEnd w:id="30"/>
    </w:p>
    <w:p w:rsidR="00060C7A" w:rsidRPr="0027713D" w:rsidRDefault="00060C7A" w:rsidP="00060C7A">
      <w:pPr>
        <w:rPr>
          <w:rFonts w:ascii="Century Gothic" w:hAnsi="Century Gothic"/>
          <w:sz w:val="20"/>
          <w:szCs w:val="20"/>
        </w:rPr>
      </w:pPr>
      <w:r w:rsidRPr="0027713D">
        <w:rPr>
          <w:sz w:val="20"/>
          <w:szCs w:val="20"/>
        </w:rPr>
        <w:t>I</w:t>
      </w:r>
      <w:r w:rsidRPr="0027713D">
        <w:rPr>
          <w:rFonts w:ascii="Century Gothic" w:hAnsi="Century Gothic"/>
          <w:sz w:val="20"/>
          <w:szCs w:val="20"/>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Rules for the use of planned environmental water in the lower </w:t>
      </w:r>
      <w:r>
        <w:rPr>
          <w:rFonts w:ascii="Century Gothic" w:hAnsi="Century Gothic"/>
          <w:sz w:val="20"/>
          <w:szCs w:val="20"/>
        </w:rPr>
        <w:t>Murray–Darling</w:t>
      </w:r>
      <w:r w:rsidRPr="0027713D">
        <w:rPr>
          <w:rFonts w:ascii="Century Gothic" w:hAnsi="Century Gothic"/>
          <w:sz w:val="20"/>
          <w:szCs w:val="20"/>
        </w:rPr>
        <w:t xml:space="preserve"> Region can be found in the </w:t>
      </w:r>
      <w:r w:rsidRPr="0027713D">
        <w:rPr>
          <w:rFonts w:ascii="Century Gothic" w:hAnsi="Century Gothic"/>
          <w:i/>
          <w:sz w:val="20"/>
          <w:szCs w:val="20"/>
        </w:rPr>
        <w:t>Water Sharing Plan for the New South Wales Murray and Lower Darling Regulated Rivers Water Sources</w:t>
      </w:r>
      <w:r w:rsidRPr="0027713D">
        <w:rPr>
          <w:rFonts w:ascii="Century Gothic" w:hAnsi="Century Gothic"/>
          <w:sz w:val="20"/>
          <w:szCs w:val="20"/>
        </w:rPr>
        <w:t xml:space="preserve"> </w:t>
      </w:r>
      <w:r w:rsidRPr="0027713D">
        <w:rPr>
          <w:rFonts w:ascii="Century Gothic" w:hAnsi="Century Gothic"/>
          <w:i/>
          <w:sz w:val="20"/>
          <w:szCs w:val="20"/>
        </w:rPr>
        <w:t>2003</w:t>
      </w:r>
      <w:r w:rsidRPr="0027713D">
        <w:rPr>
          <w:rFonts w:ascii="Century Gothic" w:hAnsi="Century Gothic"/>
          <w:sz w:val="20"/>
          <w:szCs w:val="20"/>
        </w:rPr>
        <w:t xml:space="preserve"> (NSW) and the </w:t>
      </w:r>
      <w:r w:rsidRPr="0027713D">
        <w:rPr>
          <w:rFonts w:ascii="Century Gothic" w:hAnsi="Century Gothic"/>
          <w:i/>
          <w:sz w:val="20"/>
          <w:szCs w:val="20"/>
        </w:rPr>
        <w:t>Water Allocation Plan for the River Murray Prescribed Water Course</w:t>
      </w:r>
      <w:r w:rsidRPr="0027713D">
        <w:rPr>
          <w:rFonts w:ascii="Century Gothic" w:hAnsi="Century Gothic"/>
          <w:sz w:val="20"/>
          <w:szCs w:val="20"/>
        </w:rPr>
        <w:t xml:space="preserve"> </w:t>
      </w:r>
      <w:r w:rsidRPr="0027713D">
        <w:rPr>
          <w:rFonts w:ascii="Century Gothic" w:hAnsi="Century Gothic"/>
          <w:i/>
          <w:sz w:val="20"/>
          <w:szCs w:val="20"/>
        </w:rPr>
        <w:t xml:space="preserve">2002 </w:t>
      </w:r>
      <w:r w:rsidRPr="0027713D">
        <w:rPr>
          <w:rFonts w:ascii="Century Gothic" w:hAnsi="Century Gothic"/>
          <w:sz w:val="20"/>
          <w:szCs w:val="20"/>
        </w:rPr>
        <w:t>(SA). Planned environmental water relevant to the lower Murray-Darling Region includes:</w:t>
      </w:r>
    </w:p>
    <w:p w:rsidR="00060C7A" w:rsidRPr="0027713D" w:rsidRDefault="00060C7A" w:rsidP="00060C7A">
      <w:pPr>
        <w:rPr>
          <w:rFonts w:ascii="Century Gothic" w:hAnsi="Century Gothic"/>
          <w:sz w:val="20"/>
          <w:szCs w:val="20"/>
        </w:rPr>
      </w:pPr>
    </w:p>
    <w:p w:rsidR="00060C7A" w:rsidRPr="0027713D" w:rsidRDefault="00060C7A" w:rsidP="00060C7A">
      <w:pPr>
        <w:pStyle w:val="ListParagraph"/>
        <w:numPr>
          <w:ilvl w:val="0"/>
          <w:numId w:val="25"/>
        </w:numPr>
        <w:spacing w:after="240"/>
        <w:ind w:left="426" w:hanging="426"/>
        <w:contextualSpacing w:val="0"/>
        <w:jc w:val="left"/>
        <w:rPr>
          <w:rFonts w:ascii="Century Gothic" w:hAnsi="Century Gothic"/>
        </w:rPr>
      </w:pPr>
      <w:r w:rsidRPr="0027713D">
        <w:rPr>
          <w:rFonts w:ascii="Century Gothic" w:hAnsi="Century Gothic"/>
        </w:rPr>
        <w:t xml:space="preserve">Additional Dilution Flow </w:t>
      </w:r>
    </w:p>
    <w:p w:rsidR="00060C7A" w:rsidRPr="0027713D" w:rsidRDefault="00060C7A" w:rsidP="00060C7A">
      <w:pPr>
        <w:pStyle w:val="ListParagraph"/>
        <w:numPr>
          <w:ilvl w:val="0"/>
          <w:numId w:val="25"/>
        </w:numPr>
        <w:spacing w:after="240"/>
        <w:ind w:left="426" w:hanging="426"/>
        <w:contextualSpacing w:val="0"/>
        <w:jc w:val="left"/>
        <w:rPr>
          <w:rFonts w:ascii="Century Gothic" w:hAnsi="Century Gothic"/>
        </w:rPr>
      </w:pPr>
      <w:r w:rsidRPr="0027713D">
        <w:rPr>
          <w:rFonts w:ascii="Century Gothic" w:hAnsi="Century Gothic" w:cs="Arial"/>
          <w:noProof/>
          <w:color w:val="000000" w:themeColor="text1"/>
        </w:rPr>
        <w:t>New South Wales</w:t>
      </w:r>
      <w:r w:rsidRPr="0027713D">
        <w:rPr>
          <w:rFonts w:ascii="Century Gothic" w:hAnsi="Century Gothic"/>
        </w:rPr>
        <w:t xml:space="preserve"> Lower Darling Environmental Contingency Allowance</w:t>
      </w:r>
    </w:p>
    <w:p w:rsidR="00060C7A" w:rsidRDefault="00060C7A" w:rsidP="00060C7A">
      <w:pPr>
        <w:pStyle w:val="ListParagraph"/>
        <w:numPr>
          <w:ilvl w:val="0"/>
          <w:numId w:val="25"/>
        </w:numPr>
        <w:spacing w:after="240"/>
        <w:ind w:left="426" w:hanging="426"/>
        <w:contextualSpacing w:val="0"/>
        <w:jc w:val="left"/>
        <w:rPr>
          <w:rFonts w:ascii="Century Gothic" w:hAnsi="Century Gothic"/>
        </w:rPr>
      </w:pPr>
      <w:r w:rsidRPr="0027713D">
        <w:rPr>
          <w:rFonts w:ascii="Century Gothic" w:hAnsi="Century Gothic" w:cs="Arial"/>
          <w:noProof/>
          <w:color w:val="000000" w:themeColor="text1"/>
        </w:rPr>
        <w:t>New South Wales</w:t>
      </w:r>
      <w:r w:rsidRPr="0027713D">
        <w:rPr>
          <w:rFonts w:ascii="Century Gothic" w:hAnsi="Century Gothic"/>
        </w:rPr>
        <w:t xml:space="preserve"> Murray Regulated River Water Source Additional Environmental Allowance</w:t>
      </w:r>
    </w:p>
    <w:p w:rsidR="009573DB" w:rsidRPr="0027713D" w:rsidRDefault="009573DB" w:rsidP="009573DB">
      <w:pPr>
        <w:pStyle w:val="ListParagraph"/>
        <w:spacing w:after="240"/>
        <w:ind w:left="426"/>
        <w:contextualSpacing w:val="0"/>
        <w:jc w:val="left"/>
        <w:rPr>
          <w:rFonts w:ascii="Century Gothic" w:hAnsi="Century Gothic"/>
        </w:rPr>
      </w:pPr>
    </w:p>
    <w:p w:rsidR="00060C7A" w:rsidRPr="008D2B6B" w:rsidRDefault="00060C7A" w:rsidP="00060C7A">
      <w:pPr>
        <w:pStyle w:val="Heading1"/>
        <w:spacing w:before="0"/>
        <w:ind w:left="567" w:hanging="567"/>
        <w:jc w:val="left"/>
        <w:rPr>
          <w:rFonts w:ascii="Century Gothic" w:hAnsi="Century Gothic"/>
          <w:color w:val="5F497A" w:themeColor="accent4" w:themeShade="BF"/>
          <w:lang w:val="en-AU"/>
        </w:rPr>
      </w:pPr>
      <w:bookmarkStart w:id="31" w:name="_Toc422406872"/>
      <w:r w:rsidRPr="008D2B6B">
        <w:rPr>
          <w:rFonts w:ascii="Century Gothic" w:hAnsi="Century Gothic"/>
          <w:color w:val="5F497A" w:themeColor="accent4" w:themeShade="BF"/>
          <w:lang w:val="en-AU"/>
        </w:rPr>
        <w:t>Next steps</w:t>
      </w:r>
      <w:bookmarkEnd w:id="31"/>
    </w:p>
    <w:p w:rsidR="00060C7A" w:rsidRPr="008D2B6B" w:rsidRDefault="00060C7A" w:rsidP="00060C7A">
      <w:pPr>
        <w:pStyle w:val="Heading2"/>
        <w:spacing w:before="0"/>
        <w:ind w:left="851" w:hanging="851"/>
        <w:rPr>
          <w:rFonts w:ascii="Century Gothic" w:hAnsi="Century Gothic" w:cs="Arial"/>
          <w:bCs/>
          <w:color w:val="5F497A" w:themeColor="accent4" w:themeShade="BF"/>
          <w:lang w:val="en-AU"/>
        </w:rPr>
      </w:pPr>
      <w:bookmarkStart w:id="32" w:name="_Toc422406873"/>
      <w:r w:rsidRPr="008D2B6B">
        <w:rPr>
          <w:rFonts w:ascii="Century Gothic" w:hAnsi="Century Gothic" w:cs="Arial"/>
          <w:bCs/>
          <w:color w:val="5F497A" w:themeColor="accent4" w:themeShade="BF"/>
          <w:lang w:val="en-AU"/>
        </w:rPr>
        <w:t>From planning to decision making</w:t>
      </w:r>
      <w:bookmarkEnd w:id="32"/>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t>It is important to distinguish between planning and operational deci</w:t>
      </w:r>
      <w:r w:rsidR="005A0C32">
        <w:rPr>
          <w:rFonts w:ascii="Century Gothic" w:hAnsi="Century Gothic"/>
          <w:sz w:val="20"/>
          <w:szCs w:val="20"/>
        </w:rPr>
        <w:t>sion making. As shown in Figure </w:t>
      </w:r>
      <w:r w:rsidR="00EF2000">
        <w:rPr>
          <w:rFonts w:ascii="Century Gothic" w:hAnsi="Century Gothic"/>
          <w:sz w:val="20"/>
          <w:szCs w:val="20"/>
        </w:rPr>
        <w:t>4</w:t>
      </w:r>
      <w:r w:rsidRPr="0027713D">
        <w:rPr>
          <w:rFonts w:ascii="Century Gothic" w:hAnsi="Century Gothic"/>
          <w:sz w:val="20"/>
          <w:szCs w:val="20"/>
        </w:rPr>
        <w:t xml:space="preserve">, planning allows the Office to manage the environmental water portfolio in a holistic manner and is an exercise in developing a broad approach or intention, based on the key drivers (demand and supply). </w:t>
      </w:r>
    </w:p>
    <w:p w:rsidR="00060C7A" w:rsidRPr="0027713D" w:rsidRDefault="00060C7A" w:rsidP="00060C7A">
      <w:pPr>
        <w:spacing w:after="240"/>
        <w:rPr>
          <w:rFonts w:ascii="Century Gothic" w:hAnsi="Century Gothic"/>
          <w:sz w:val="20"/>
          <w:szCs w:val="20"/>
        </w:rPr>
      </w:pPr>
      <w:r w:rsidRPr="0027713D">
        <w:rPr>
          <w:rFonts w:ascii="Century Gothic" w:hAnsi="Century Gothic"/>
          <w:sz w:val="20"/>
          <w:szCs w:val="20"/>
        </w:rPr>
        <w:t xml:space="preserve">Decisions making throughout each year builds on the intention by considering in more detail the specific prevailing factors and additional factors such as costs, risks, and constraints to water delivery and market conditions. </w:t>
      </w:r>
    </w:p>
    <w:p w:rsidR="00060C7A" w:rsidRPr="008D2B6B" w:rsidRDefault="00060C7A" w:rsidP="00060C7A">
      <w:pPr>
        <w:rPr>
          <w:rFonts w:ascii="Century Gothic" w:hAnsi="Century Gothic"/>
          <w:color w:val="FF0000"/>
        </w:rPr>
      </w:pPr>
      <w:r w:rsidRPr="008D2B6B">
        <w:rPr>
          <w:noProof/>
          <w:lang w:eastAsia="en-AU"/>
        </w:rPr>
        <w:lastRenderedPageBreak/>
        <w:drawing>
          <wp:inline distT="0" distB="0" distL="0" distR="0">
            <wp:extent cx="6031230" cy="2683832"/>
            <wp:effectExtent l="19050" t="0" r="7620" b="0"/>
            <wp:docPr id="24" name="Picture 1" descr="A figure showing the range of prevailing factors specific to local conditions within catchments influences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031230" cy="2683832"/>
                    </a:xfrm>
                    <a:prstGeom prst="rect">
                      <a:avLst/>
                    </a:prstGeom>
                    <a:noFill/>
                    <a:ln w="9525">
                      <a:noFill/>
                      <a:miter lim="800000"/>
                      <a:headEnd/>
                      <a:tailEnd/>
                    </a:ln>
                  </pic:spPr>
                </pic:pic>
              </a:graphicData>
            </a:graphic>
          </wp:inline>
        </w:drawing>
      </w:r>
    </w:p>
    <w:p w:rsidR="005A0C32" w:rsidRDefault="005A0C32" w:rsidP="00060C7A">
      <w:pPr>
        <w:pStyle w:val="Caption"/>
        <w:rPr>
          <w:rFonts w:ascii="Century Gothic" w:hAnsi="Century Gothic"/>
        </w:rPr>
      </w:pPr>
    </w:p>
    <w:p w:rsidR="00060C7A" w:rsidRDefault="00060C7A" w:rsidP="00060C7A">
      <w:pPr>
        <w:pStyle w:val="Caption"/>
        <w:rPr>
          <w:rFonts w:ascii="Century Gothic" w:hAnsi="Century Gothic"/>
          <w:b w:val="0"/>
        </w:rPr>
      </w:pPr>
      <w:r w:rsidRPr="008D2B6B">
        <w:rPr>
          <w:rFonts w:ascii="Century Gothic" w:hAnsi="Century Gothic"/>
        </w:rPr>
        <w:t xml:space="preserve">Figure </w:t>
      </w:r>
      <w:r w:rsidR="00B64803" w:rsidRPr="008D2B6B">
        <w:rPr>
          <w:rFonts w:ascii="Century Gothic" w:hAnsi="Century Gothic"/>
        </w:rPr>
        <w:fldChar w:fldCharType="begin"/>
      </w:r>
      <w:r w:rsidRPr="008D2B6B">
        <w:rPr>
          <w:rFonts w:ascii="Century Gothic" w:hAnsi="Century Gothic"/>
        </w:rPr>
        <w:instrText xml:space="preserve"> SEQ Figure \* ARABIC </w:instrText>
      </w:r>
      <w:r w:rsidR="00B64803" w:rsidRPr="008D2B6B">
        <w:rPr>
          <w:rFonts w:ascii="Century Gothic" w:hAnsi="Century Gothic"/>
        </w:rPr>
        <w:fldChar w:fldCharType="separate"/>
      </w:r>
      <w:r w:rsidR="00E66785">
        <w:rPr>
          <w:rFonts w:ascii="Century Gothic" w:hAnsi="Century Gothic"/>
          <w:noProof/>
        </w:rPr>
        <w:t>4</w:t>
      </w:r>
      <w:r w:rsidR="00B64803" w:rsidRPr="008D2B6B">
        <w:rPr>
          <w:rFonts w:ascii="Century Gothic" w:hAnsi="Century Gothic"/>
        </w:rPr>
        <w:fldChar w:fldCharType="end"/>
      </w:r>
      <w:r w:rsidRPr="008D2B6B">
        <w:rPr>
          <w:rFonts w:ascii="Century Gothic" w:hAnsi="Century Gothic"/>
        </w:rPr>
        <w:t>:</w:t>
      </w:r>
      <w:r w:rsidRPr="008D2B6B">
        <w:rPr>
          <w:rFonts w:ascii="Century Gothic" w:hAnsi="Century Gothic"/>
          <w:b w:val="0"/>
        </w:rPr>
        <w:t xml:space="preserve"> Planning and decision making for Commonwealth environmental water use</w:t>
      </w:r>
    </w:p>
    <w:p w:rsidR="006C68F0" w:rsidRPr="006C68F0" w:rsidRDefault="006C68F0" w:rsidP="006C68F0">
      <w:pPr>
        <w:rPr>
          <w:lang w:eastAsia="en-AU"/>
        </w:rPr>
      </w:pPr>
    </w:p>
    <w:p w:rsidR="00060C7A" w:rsidRPr="008D2B6B" w:rsidRDefault="00060C7A" w:rsidP="00060C7A">
      <w:pPr>
        <w:pStyle w:val="Heading2"/>
        <w:spacing w:before="0"/>
        <w:ind w:left="851" w:hanging="851"/>
        <w:rPr>
          <w:rFonts w:ascii="Century Gothic" w:hAnsi="Century Gothic" w:cs="Arial"/>
          <w:bCs/>
          <w:color w:val="5F497A" w:themeColor="accent4" w:themeShade="BF"/>
          <w:lang w:val="en-AU"/>
        </w:rPr>
      </w:pPr>
      <w:bookmarkStart w:id="33" w:name="_Toc422406874"/>
      <w:r w:rsidRPr="008D2B6B">
        <w:rPr>
          <w:rFonts w:ascii="Century Gothic" w:hAnsi="Century Gothic" w:cs="Arial"/>
          <w:bCs/>
          <w:color w:val="5F497A" w:themeColor="accent4" w:themeShade="BF"/>
          <w:lang w:val="en-AU"/>
        </w:rPr>
        <w:t>Further information</w:t>
      </w:r>
      <w:bookmarkEnd w:id="33"/>
    </w:p>
    <w:p w:rsidR="00060C7A" w:rsidRPr="0027713D" w:rsidRDefault="00060C7A" w:rsidP="00060C7A">
      <w:pPr>
        <w:spacing w:after="240"/>
        <w:rPr>
          <w:rFonts w:ascii="Century Gothic" w:hAnsi="Century Gothic" w:cs="Arial"/>
          <w:i/>
          <w:sz w:val="20"/>
          <w:szCs w:val="20"/>
        </w:rPr>
      </w:pPr>
      <w:r w:rsidRPr="0027713D">
        <w:rPr>
          <w:rFonts w:ascii="Century Gothic" w:hAnsi="Century Gothic" w:cs="Arial"/>
          <w:sz w:val="20"/>
          <w:szCs w:val="20"/>
        </w:rPr>
        <w:t xml:space="preserve">For further information on how the Office plans for water use, carryover and trade, please visit our web site </w:t>
      </w:r>
      <w:hyperlink r:id="rId28" w:history="1">
        <w:r w:rsidRPr="0027713D">
          <w:rPr>
            <w:rStyle w:val="Hyperlink"/>
            <w:rFonts w:ascii="Century Gothic" w:hAnsi="Century Gothic" w:cs="Arial"/>
            <w:sz w:val="20"/>
            <w:szCs w:val="20"/>
          </w:rPr>
          <w:t>www.environment.gov.au/topics/water/commonwealth-environmental-water-office</w:t>
        </w:r>
      </w:hyperlink>
    </w:p>
    <w:p w:rsidR="00060C7A" w:rsidRPr="0027713D" w:rsidRDefault="00060C7A" w:rsidP="00060C7A">
      <w:pPr>
        <w:pStyle w:val="ListBullet"/>
        <w:spacing w:after="240"/>
        <w:contextualSpacing w:val="0"/>
        <w:jc w:val="left"/>
        <w:rPr>
          <w:rFonts w:ascii="Century Gothic" w:hAnsi="Century Gothic" w:cs="Arial"/>
        </w:rPr>
      </w:pPr>
      <w:r w:rsidRPr="0027713D">
        <w:rPr>
          <w:rFonts w:ascii="Century Gothic" w:hAnsi="Century Gothic" w:cs="Arial"/>
        </w:rPr>
        <w:t xml:space="preserve">Water use: </w:t>
      </w:r>
      <w:hyperlink r:id="rId29" w:history="1">
        <w:r w:rsidRPr="0027713D">
          <w:rPr>
            <w:rStyle w:val="Hyperlink"/>
            <w:rFonts w:ascii="Century Gothic" w:hAnsi="Century Gothic" w:cs="Arial"/>
          </w:rPr>
          <w:t>www.environment.gov.au/topics/water/commonwealth-environmental-water-office/assessment-framework</w:t>
        </w:r>
      </w:hyperlink>
      <w:r w:rsidRPr="0027713D">
        <w:rPr>
          <w:rFonts w:ascii="Century Gothic" w:hAnsi="Century Gothic" w:cs="Arial"/>
        </w:rPr>
        <w:t xml:space="preserve"> </w:t>
      </w:r>
    </w:p>
    <w:p w:rsidR="00060C7A" w:rsidRPr="0027713D" w:rsidRDefault="00060C7A" w:rsidP="00060C7A">
      <w:pPr>
        <w:pStyle w:val="ListBullet"/>
        <w:spacing w:after="240"/>
        <w:contextualSpacing w:val="0"/>
        <w:jc w:val="left"/>
        <w:rPr>
          <w:rFonts w:ascii="Century Gothic" w:hAnsi="Century Gothic" w:cs="Arial"/>
        </w:rPr>
      </w:pPr>
      <w:r w:rsidRPr="0027713D">
        <w:rPr>
          <w:rFonts w:ascii="Century Gothic" w:hAnsi="Century Gothic" w:cs="Arial"/>
        </w:rPr>
        <w:t xml:space="preserve">Carryover: </w:t>
      </w:r>
      <w:hyperlink r:id="rId30" w:history="1">
        <w:r w:rsidRPr="0027713D">
          <w:rPr>
            <w:rStyle w:val="Hyperlink"/>
            <w:rFonts w:ascii="Century Gothic" w:hAnsi="Century Gothic" w:cs="Arial"/>
          </w:rPr>
          <w:t>http://www.environment.gov.au/topics/water/commonwealth-environmental-water-office/portfolio-management/carryover</w:t>
        </w:r>
      </w:hyperlink>
      <w:r w:rsidRPr="0027713D">
        <w:rPr>
          <w:rFonts w:ascii="Century Gothic" w:hAnsi="Century Gothic" w:cs="Arial"/>
        </w:rPr>
        <w:t xml:space="preserve">  </w:t>
      </w:r>
    </w:p>
    <w:p w:rsidR="00060C7A" w:rsidRPr="0027713D" w:rsidRDefault="00060C7A" w:rsidP="00060C7A">
      <w:pPr>
        <w:pStyle w:val="ListBullet"/>
        <w:spacing w:after="240"/>
        <w:contextualSpacing w:val="0"/>
        <w:jc w:val="left"/>
        <w:rPr>
          <w:rFonts w:ascii="Century Gothic" w:hAnsi="Century Gothic" w:cs="Arial"/>
        </w:rPr>
      </w:pPr>
      <w:r w:rsidRPr="0027713D">
        <w:rPr>
          <w:rFonts w:ascii="Century Gothic" w:hAnsi="Century Gothic" w:cs="Arial"/>
        </w:rPr>
        <w:t xml:space="preserve">Trade: </w:t>
      </w:r>
      <w:r w:rsidRPr="0027713D">
        <w:rPr>
          <w:rFonts w:ascii="Century Gothic" w:hAnsi="Century Gothic" w:cs="Arial"/>
          <w:i/>
        </w:rPr>
        <w:t xml:space="preserve">Discussion Paper – Trade of Commonwealth Environmental Water </w:t>
      </w:r>
      <w:r w:rsidRPr="0027713D">
        <w:rPr>
          <w:rFonts w:ascii="Century Gothic" w:hAnsi="Century Gothic" w:cs="Arial"/>
        </w:rPr>
        <w:t xml:space="preserve">and </w:t>
      </w:r>
      <w:r w:rsidRPr="0027713D">
        <w:rPr>
          <w:rFonts w:ascii="Century Gothic" w:hAnsi="Century Gothic" w:cs="Arial"/>
          <w:i/>
        </w:rPr>
        <w:t>Commonwealth Environmental Water Trading Framework:</w:t>
      </w:r>
      <w:r w:rsidRPr="0027713D">
        <w:t xml:space="preserve"> </w:t>
      </w:r>
      <w:hyperlink r:id="rId31" w:history="1">
        <w:r w:rsidRPr="0027713D">
          <w:rPr>
            <w:rStyle w:val="Hyperlink"/>
            <w:rFonts w:ascii="Century Gothic" w:hAnsi="Century Gothic" w:cs="Arial"/>
          </w:rPr>
          <w:t>http://www.environment.gov.au/water/cewo/trade/trading-framework</w:t>
        </w:r>
      </w:hyperlink>
      <w:r w:rsidRPr="0027713D">
        <w:rPr>
          <w:rFonts w:ascii="Century Gothic" w:hAnsi="Century Gothic" w:cs="Arial"/>
        </w:rPr>
        <w:t xml:space="preserve"> </w:t>
      </w:r>
      <w:r w:rsidRPr="0027713D">
        <w:rPr>
          <w:rFonts w:ascii="Century Gothic" w:hAnsi="Century Gothic"/>
          <w:i/>
        </w:rPr>
        <w:t xml:space="preserve">   </w:t>
      </w:r>
    </w:p>
    <w:p w:rsidR="00060C7A" w:rsidRPr="008D2B6B" w:rsidRDefault="00060C7A" w:rsidP="00060C7A">
      <w:pPr>
        <w:pStyle w:val="Heading1"/>
        <w:numPr>
          <w:ilvl w:val="0"/>
          <w:numId w:val="0"/>
        </w:numPr>
        <w:jc w:val="left"/>
        <w:rPr>
          <w:rFonts w:ascii="Century Gothic" w:hAnsi="Century Gothic"/>
          <w:color w:val="5F497A" w:themeColor="accent4" w:themeShade="BF"/>
          <w:lang w:val="en-AU"/>
        </w:rPr>
      </w:pPr>
      <w:r w:rsidRPr="008D2B6B">
        <w:rPr>
          <w:rFonts w:ascii="Century Gothic" w:hAnsi="Century Gothic"/>
          <w:color w:val="5F497A" w:themeColor="accent4" w:themeShade="BF"/>
          <w:lang w:val="en-AU"/>
        </w:rPr>
        <w:br w:type="column"/>
      </w:r>
      <w:bookmarkStart w:id="34" w:name="_Toc422406875"/>
      <w:r w:rsidRPr="008D2B6B">
        <w:rPr>
          <w:rFonts w:ascii="Century Gothic" w:hAnsi="Century Gothic"/>
          <w:color w:val="5F497A" w:themeColor="accent4" w:themeShade="BF"/>
          <w:lang w:val="en-AU"/>
        </w:rPr>
        <w:lastRenderedPageBreak/>
        <w:t>Attachment A – Expected outcomes from the Basin-wide environmental watering strategy</w:t>
      </w:r>
      <w:bookmarkEnd w:id="34"/>
    </w:p>
    <w:p w:rsidR="00060C7A" w:rsidRPr="00BF2463" w:rsidRDefault="00060C7A" w:rsidP="00060C7A">
      <w:pPr>
        <w:pStyle w:val="Para0"/>
        <w:spacing w:before="120" w:after="120" w:line="240" w:lineRule="auto"/>
        <w:jc w:val="left"/>
        <w:rPr>
          <w:rFonts w:ascii="Century Gothic" w:hAnsi="Century Gothic"/>
          <w:b/>
        </w:rPr>
      </w:pPr>
      <w:r w:rsidRPr="00BF2463">
        <w:rPr>
          <w:rFonts w:ascii="Century Gothic" w:hAnsi="Century Gothic"/>
          <w:b/>
        </w:rPr>
        <w:t xml:space="preserve">Expected outcomes from the Basin-wide Environmental Watering Strategy (MDBA 2014) that are relevant to the </w:t>
      </w:r>
      <w:r>
        <w:rPr>
          <w:rFonts w:ascii="Century Gothic" w:hAnsi="Century Gothic"/>
          <w:b/>
        </w:rPr>
        <w:t>Lower Murray</w:t>
      </w:r>
      <w:r w:rsidRPr="00BF2463">
        <w:rPr>
          <w:rFonts w:ascii="Century Gothic" w:hAnsi="Century Gothic"/>
          <w:b/>
        </w:rPr>
        <w:t xml:space="preserve"> are described below. </w:t>
      </w:r>
    </w:p>
    <w:p w:rsidR="00060C7A" w:rsidRPr="00BF2463" w:rsidRDefault="00060C7A" w:rsidP="00060C7A">
      <w:pPr>
        <w:pStyle w:val="Para0"/>
        <w:spacing w:before="120" w:after="120" w:line="240" w:lineRule="auto"/>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060C7A" w:rsidRPr="00BF2463" w:rsidRDefault="00060C7A" w:rsidP="00060C7A">
      <w:pPr>
        <w:pStyle w:val="Para0"/>
        <w:spacing w:before="120" w:after="120" w:line="240" w:lineRule="auto"/>
        <w:rPr>
          <w:rFonts w:ascii="Century Gothic" w:hAnsi="Century Gothic"/>
        </w:rPr>
      </w:pPr>
      <w:proofErr w:type="spellStart"/>
      <w:r w:rsidRPr="00BF2463">
        <w:rPr>
          <w:rFonts w:ascii="Century Gothic" w:hAnsi="Century Gothic"/>
        </w:rPr>
        <w:t>Baseflows</w:t>
      </w:r>
      <w:proofErr w:type="spellEnd"/>
      <w:r w:rsidRPr="00BF2463">
        <w:rPr>
          <w:rFonts w:ascii="Century Gothic" w:hAnsi="Century Gothic"/>
        </w:rPr>
        <w:t xml:space="preserve"> are at least 60</w:t>
      </w:r>
      <w:r>
        <w:rPr>
          <w:rFonts w:ascii="Century Gothic" w:hAnsi="Century Gothic"/>
        </w:rPr>
        <w:t xml:space="preserve"> per cent</w:t>
      </w:r>
      <w:r w:rsidRPr="00BF2463">
        <w:rPr>
          <w:rFonts w:ascii="Century Gothic" w:hAnsi="Century Gothic"/>
        </w:rPr>
        <w:t xml:space="preserve"> of the natural level</w:t>
      </w:r>
    </w:p>
    <w:p w:rsidR="00060C7A" w:rsidRDefault="00060C7A" w:rsidP="00060C7A">
      <w:pPr>
        <w:pStyle w:val="Para0"/>
        <w:spacing w:before="120" w:after="120" w:line="240" w:lineRule="auto"/>
        <w:rPr>
          <w:rFonts w:ascii="Century Gothic" w:hAnsi="Century Gothic"/>
        </w:rPr>
      </w:pPr>
      <w:r w:rsidRPr="00BF2463">
        <w:rPr>
          <w:rFonts w:ascii="Century Gothic" w:hAnsi="Century Gothic"/>
        </w:rPr>
        <w:t>A 30–60</w:t>
      </w:r>
      <w:r>
        <w:rPr>
          <w:rFonts w:ascii="Century Gothic" w:hAnsi="Century Gothic"/>
        </w:rPr>
        <w:t xml:space="preserve"> per cent</w:t>
      </w:r>
      <w:r w:rsidRPr="00BF2463">
        <w:rPr>
          <w:rFonts w:ascii="Century Gothic" w:hAnsi="Century Gothic"/>
        </w:rPr>
        <w:t xml:space="preserve"> increase in the frequency of </w:t>
      </w:r>
      <w:proofErr w:type="spellStart"/>
      <w:r w:rsidRPr="00BF2463">
        <w:rPr>
          <w:rFonts w:ascii="Century Gothic" w:hAnsi="Century Gothic"/>
        </w:rPr>
        <w:t>freshes</w:t>
      </w:r>
      <w:proofErr w:type="spellEnd"/>
      <w:r w:rsidRPr="00BF2463">
        <w:rPr>
          <w:rFonts w:ascii="Century Gothic" w:hAnsi="Century Gothic"/>
        </w:rPr>
        <w:t xml:space="preserve">, </w:t>
      </w:r>
      <w:proofErr w:type="spellStart"/>
      <w:r w:rsidRPr="00BF2463">
        <w:rPr>
          <w:rFonts w:ascii="Century Gothic" w:hAnsi="Century Gothic"/>
        </w:rPr>
        <w:t>bankfull</w:t>
      </w:r>
      <w:proofErr w:type="spellEnd"/>
      <w:r w:rsidRPr="00BF2463">
        <w:rPr>
          <w:rFonts w:ascii="Century Gothic" w:hAnsi="Century Gothic"/>
        </w:rPr>
        <w:t xml:space="preserve"> and lowland floodplain flows</w:t>
      </w:r>
    </w:p>
    <w:p w:rsidR="00060C7A" w:rsidRDefault="00060C7A" w:rsidP="00060C7A">
      <w:pPr>
        <w:pStyle w:val="Para0"/>
        <w:spacing w:before="120" w:after="120" w:line="240" w:lineRule="auto"/>
        <w:rPr>
          <w:rFonts w:ascii="Century Gothic" w:hAnsi="Century Gothic"/>
        </w:rPr>
      </w:pPr>
      <w:r w:rsidRPr="00BF2463">
        <w:rPr>
          <w:rFonts w:ascii="Century Gothic" w:hAnsi="Century Gothic"/>
        </w:rPr>
        <w:t>Contributing to a 30</w:t>
      </w:r>
      <w:r>
        <w:rPr>
          <w:rFonts w:ascii="Century Gothic" w:hAnsi="Century Gothic"/>
        </w:rPr>
        <w:t xml:space="preserve"> per cent</w:t>
      </w:r>
      <w:r w:rsidRPr="00BF2463">
        <w:rPr>
          <w:rFonts w:ascii="Century Gothic" w:hAnsi="Century Gothic"/>
        </w:rPr>
        <w:t xml:space="preserve"> overall increase in flows in the River Murray</w:t>
      </w:r>
    </w:p>
    <w:p w:rsidR="00060C7A" w:rsidRPr="00BF2463" w:rsidRDefault="00060C7A" w:rsidP="00060C7A">
      <w:pPr>
        <w:pStyle w:val="Para0"/>
        <w:spacing w:before="120" w:after="120" w:line="240" w:lineRule="auto"/>
        <w:rPr>
          <w:rFonts w:ascii="Century Gothic" w:hAnsi="Century Gothic"/>
        </w:rPr>
      </w:pPr>
      <w:r>
        <w:rPr>
          <w:rFonts w:ascii="Century Gothic" w:hAnsi="Century Gothic"/>
        </w:rPr>
        <w:t>A</w:t>
      </w:r>
      <w:r w:rsidRPr="00433B4A">
        <w:rPr>
          <w:rFonts w:ascii="Century Gothic" w:hAnsi="Century Gothic"/>
        </w:rPr>
        <w:t xml:space="preserve"> 30 to 40</w:t>
      </w:r>
      <w:r>
        <w:rPr>
          <w:rFonts w:ascii="Century Gothic" w:hAnsi="Century Gothic"/>
        </w:rPr>
        <w:t xml:space="preserve"> per cent</w:t>
      </w:r>
      <w:r w:rsidRPr="00433B4A">
        <w:rPr>
          <w:rFonts w:ascii="Century Gothic" w:hAnsi="Century Gothic"/>
        </w:rPr>
        <w:t xml:space="preserve"> increase in flows to the Murray mouth.</w:t>
      </w:r>
    </w:p>
    <w:p w:rsidR="00060C7A" w:rsidRPr="00CF25B4" w:rsidRDefault="00060C7A" w:rsidP="00060C7A">
      <w:pPr>
        <w:pStyle w:val="Para0"/>
        <w:spacing w:before="120" w:after="120" w:line="240" w:lineRule="auto"/>
        <w:rPr>
          <w:rFonts w:ascii="Century Gothic" w:hAnsi="Century Gothic"/>
        </w:rPr>
      </w:pPr>
      <w:r>
        <w:rPr>
          <w:rFonts w:ascii="Century Gothic" w:hAnsi="Century Gothic"/>
        </w:rPr>
        <w:t>Along with</w:t>
      </w:r>
      <w:r w:rsidRPr="00CF25B4">
        <w:rPr>
          <w:rFonts w:ascii="Century Gothic" w:hAnsi="Century Gothic"/>
        </w:rPr>
        <w:t xml:space="preserve"> local management, improve the connection of the river to its estuary (the Coorong) and to the sea. The minimum outcomes expected are:</w:t>
      </w:r>
    </w:p>
    <w:p w:rsidR="00060C7A" w:rsidRPr="00CF25B4" w:rsidRDefault="00060C7A" w:rsidP="00060C7A">
      <w:pPr>
        <w:pStyle w:val="ListBullet"/>
        <w:numPr>
          <w:ilvl w:val="0"/>
          <w:numId w:val="30"/>
        </w:numPr>
        <w:spacing w:after="200" w:line="276" w:lineRule="auto"/>
        <w:contextualSpacing w:val="0"/>
        <w:jc w:val="left"/>
        <w:rPr>
          <w:rFonts w:ascii="Century Gothic" w:hAnsi="Century Gothic"/>
        </w:rPr>
      </w:pPr>
      <w:r w:rsidRPr="00CF25B4">
        <w:rPr>
          <w:rFonts w:ascii="Century Gothic" w:hAnsi="Century Gothic"/>
        </w:rPr>
        <w:t>the barrage flows are greater than 2</w:t>
      </w:r>
      <w:r>
        <w:rPr>
          <w:rFonts w:ascii="Century Gothic" w:hAnsi="Century Gothic"/>
        </w:rPr>
        <w:t xml:space="preserve"> </w:t>
      </w:r>
      <w:r w:rsidRPr="00CF25B4">
        <w:rPr>
          <w:rFonts w:ascii="Century Gothic" w:hAnsi="Century Gothic"/>
        </w:rPr>
        <w:t>000 GL/year on a three-year rolling average basis for 95</w:t>
      </w:r>
      <w:r>
        <w:rPr>
          <w:rFonts w:ascii="Century Gothic" w:hAnsi="Century Gothic"/>
        </w:rPr>
        <w:t xml:space="preserve"> per cent</w:t>
      </w:r>
      <w:r w:rsidRPr="00CF25B4">
        <w:rPr>
          <w:rFonts w:ascii="Century Gothic" w:hAnsi="Century Gothic"/>
        </w:rPr>
        <w:t xml:space="preserve"> of the time, with a two year minimum of 600 GL at any time </w:t>
      </w:r>
    </w:p>
    <w:p w:rsidR="00060C7A" w:rsidRPr="00CF25B4" w:rsidRDefault="00060C7A" w:rsidP="00060C7A">
      <w:pPr>
        <w:pStyle w:val="ListBullet"/>
        <w:numPr>
          <w:ilvl w:val="0"/>
          <w:numId w:val="30"/>
        </w:numPr>
        <w:spacing w:after="200" w:line="276" w:lineRule="auto"/>
        <w:contextualSpacing w:val="0"/>
        <w:jc w:val="left"/>
        <w:rPr>
          <w:rFonts w:ascii="Century Gothic" w:hAnsi="Century Gothic"/>
        </w:rPr>
      </w:pPr>
      <w:r w:rsidRPr="00CF25B4">
        <w:rPr>
          <w:rFonts w:ascii="Century Gothic" w:hAnsi="Century Gothic"/>
        </w:rPr>
        <w:t>the water levels in the Lower Lakes are maintained above sea level (0m AHD) and for 95</w:t>
      </w:r>
      <w:r>
        <w:rPr>
          <w:rFonts w:ascii="Century Gothic" w:hAnsi="Century Gothic"/>
        </w:rPr>
        <w:t xml:space="preserve"> per cent</w:t>
      </w:r>
      <w:r w:rsidRPr="00CF25B4">
        <w:rPr>
          <w:rFonts w:ascii="Century Gothic" w:hAnsi="Century Gothic"/>
        </w:rPr>
        <w:t xml:space="preserve"> of the time</w:t>
      </w:r>
      <w:r>
        <w:rPr>
          <w:rFonts w:ascii="Century Gothic" w:hAnsi="Century Gothic"/>
        </w:rPr>
        <w:t>, above 0.4 m</w:t>
      </w:r>
      <w:r w:rsidRPr="00CF25B4">
        <w:rPr>
          <w:rFonts w:ascii="Century Gothic" w:hAnsi="Century Gothic"/>
        </w:rPr>
        <w:t>etres AHD, as far as practicable, to allow for barrage releases</w:t>
      </w:r>
    </w:p>
    <w:p w:rsidR="00060C7A" w:rsidRPr="00CF25B4" w:rsidRDefault="00060C7A" w:rsidP="00060C7A">
      <w:pPr>
        <w:pStyle w:val="ListBullet"/>
        <w:numPr>
          <w:ilvl w:val="0"/>
          <w:numId w:val="30"/>
        </w:numPr>
        <w:spacing w:after="200" w:line="276" w:lineRule="auto"/>
        <w:contextualSpacing w:val="0"/>
        <w:jc w:val="left"/>
        <w:rPr>
          <w:rFonts w:ascii="Century Gothic" w:hAnsi="Century Gothic"/>
        </w:rPr>
      </w:pPr>
      <w:r w:rsidRPr="00CF25B4">
        <w:rPr>
          <w:rFonts w:ascii="Century Gothic" w:hAnsi="Century Gothic"/>
        </w:rPr>
        <w:t>salinity in the Coorong and Lower Lakes remains below critical thresholds for key flora and fauna including: salinity in Lake Alexandrina is lower than 1,000 EC 95</w:t>
      </w:r>
      <w:r>
        <w:rPr>
          <w:rFonts w:ascii="Century Gothic" w:hAnsi="Century Gothic"/>
        </w:rPr>
        <w:t xml:space="preserve"> per cent</w:t>
      </w:r>
      <w:r w:rsidRPr="00CF25B4">
        <w:rPr>
          <w:rFonts w:ascii="Century Gothic" w:hAnsi="Century Gothic"/>
        </w:rPr>
        <w:t xml:space="preserve"> of the time and less than 1,500 EC all the time; salinity in the Coorong’s south lagoon is less than 100 grams per litre 95</w:t>
      </w:r>
      <w:r>
        <w:rPr>
          <w:rFonts w:ascii="Century Gothic" w:hAnsi="Century Gothic"/>
        </w:rPr>
        <w:t xml:space="preserve"> per cent</w:t>
      </w:r>
      <w:r w:rsidRPr="00CF25B4">
        <w:rPr>
          <w:rFonts w:ascii="Century Gothic" w:hAnsi="Century Gothic"/>
        </w:rPr>
        <w:t xml:space="preserve"> of the time </w:t>
      </w:r>
    </w:p>
    <w:p w:rsidR="00060C7A" w:rsidRPr="00CF25B4" w:rsidRDefault="00060C7A" w:rsidP="00060C7A">
      <w:pPr>
        <w:pStyle w:val="ListBullet"/>
        <w:numPr>
          <w:ilvl w:val="0"/>
          <w:numId w:val="30"/>
        </w:numPr>
        <w:spacing w:after="200" w:line="276" w:lineRule="auto"/>
        <w:contextualSpacing w:val="0"/>
        <w:jc w:val="left"/>
        <w:rPr>
          <w:rFonts w:ascii="Century Gothic" w:hAnsi="Century Gothic"/>
        </w:rPr>
      </w:pPr>
      <w:proofErr w:type="gramStart"/>
      <w:r w:rsidRPr="00CF25B4">
        <w:rPr>
          <w:rFonts w:ascii="Century Gothic" w:hAnsi="Century Gothic"/>
        </w:rPr>
        <w:t>the</w:t>
      </w:r>
      <w:proofErr w:type="gramEnd"/>
      <w:r w:rsidRPr="00CF25B4">
        <w:rPr>
          <w:rFonts w:ascii="Century Gothic" w:hAnsi="Century Gothic"/>
        </w:rPr>
        <w:t xml:space="preserve"> Murray mouth is open 90</w:t>
      </w:r>
      <w:r>
        <w:rPr>
          <w:rFonts w:ascii="Century Gothic" w:hAnsi="Century Gothic"/>
        </w:rPr>
        <w:t xml:space="preserve"> per cent</w:t>
      </w:r>
      <w:r w:rsidRPr="00CF25B4">
        <w:rPr>
          <w:rFonts w:ascii="Century Gothic" w:hAnsi="Century Gothic"/>
        </w:rPr>
        <w:t xml:space="preserve"> of the time to an average annual depth of one metre.</w:t>
      </w:r>
    </w:p>
    <w:p w:rsidR="00060C7A" w:rsidRDefault="00060C7A" w:rsidP="00060C7A">
      <w:pPr>
        <w:pStyle w:val="Para0"/>
        <w:spacing w:before="120" w:after="120" w:line="240" w:lineRule="auto"/>
        <w:rPr>
          <w:rFonts w:ascii="Century Gothic" w:hAnsi="Century Gothic"/>
          <w:b/>
        </w:rPr>
      </w:pPr>
    </w:p>
    <w:p w:rsidR="00060C7A" w:rsidRPr="00BF2463" w:rsidRDefault="00060C7A" w:rsidP="00060C7A">
      <w:pPr>
        <w:pStyle w:val="Para0"/>
        <w:spacing w:before="120" w:after="120" w:line="240" w:lineRule="auto"/>
        <w:rPr>
          <w:rFonts w:ascii="Century Gothic" w:hAnsi="Century Gothic"/>
          <w:b/>
        </w:rPr>
      </w:pPr>
      <w:r w:rsidRPr="00BF2463">
        <w:rPr>
          <w:rFonts w:ascii="Century Gothic" w:hAnsi="Century Gothic"/>
          <w:b/>
        </w:rPr>
        <w:t>VEGETATION</w:t>
      </w:r>
      <w:r>
        <w:rPr>
          <w:rFonts w:ascii="Century Gothic" w:hAnsi="Century Gothic"/>
          <w:b/>
        </w:rPr>
        <w:t xml:space="preserve"> </w:t>
      </w:r>
      <w:r>
        <w:rPr>
          <w:rFonts w:ascii="Century Gothic" w:hAnsi="Century Gothic"/>
        </w:rPr>
        <w:t>(Note: figures are for total Murray catchment)</w:t>
      </w:r>
      <w:r w:rsidRPr="00BF2463">
        <w:rPr>
          <w:rFonts w:ascii="Century Gothic" w:hAnsi="Century Gothic"/>
          <w:b/>
        </w:rPr>
        <w:tab/>
      </w:r>
    </w:p>
    <w:p w:rsidR="00060C7A" w:rsidRPr="00BF2463" w:rsidRDefault="00060C7A" w:rsidP="00060C7A">
      <w:pPr>
        <w:pStyle w:val="Para0"/>
        <w:spacing w:before="120" w:after="12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rsidR="00060C7A" w:rsidRDefault="00060C7A" w:rsidP="00060C7A">
      <w:pPr>
        <w:pStyle w:val="Para0"/>
        <w:spacing w:before="120" w:after="120" w:line="240" w:lineRule="auto"/>
        <w:rPr>
          <w:rFonts w:ascii="Century Gothic" w:hAnsi="Century Gothic"/>
        </w:rPr>
      </w:pPr>
      <w:r w:rsidRPr="00BF2463">
        <w:rPr>
          <w:rFonts w:ascii="Century Gothic" w:hAnsi="Century Gothic"/>
        </w:rPr>
        <w:t>Improve condition of black box</w:t>
      </w:r>
      <w:r>
        <w:rPr>
          <w:rFonts w:ascii="Century Gothic" w:hAnsi="Century Gothic"/>
        </w:rPr>
        <w:t>,</w:t>
      </w:r>
      <w:r w:rsidRPr="00BF2463">
        <w:rPr>
          <w:rFonts w:ascii="Century Gothic" w:hAnsi="Century Gothic"/>
        </w:rPr>
        <w:t xml:space="preserve"> river red gum</w:t>
      </w:r>
      <w:r>
        <w:rPr>
          <w:rFonts w:ascii="Century Gothic" w:hAnsi="Century Gothic"/>
        </w:rPr>
        <w:t xml:space="preserve"> and lignum </w:t>
      </w:r>
      <w:proofErr w:type="spellStart"/>
      <w:r>
        <w:rPr>
          <w:rFonts w:ascii="Century Gothic" w:hAnsi="Century Gothic"/>
        </w:rPr>
        <w:t>shrublands</w:t>
      </w:r>
      <w:proofErr w:type="spellEnd"/>
    </w:p>
    <w:p w:rsidR="00060C7A" w:rsidRDefault="00060C7A" w:rsidP="00060C7A">
      <w:pPr>
        <w:pStyle w:val="Para0"/>
        <w:spacing w:before="120" w:after="120" w:line="240" w:lineRule="auto"/>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060C7A" w:rsidRDefault="00060C7A" w:rsidP="00060C7A">
      <w:pPr>
        <w:pStyle w:val="Para0"/>
        <w:spacing w:before="120" w:after="120" w:line="240" w:lineRule="auto"/>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e</w:t>
      </w:r>
      <w:r w:rsidRPr="00190CA1">
        <w:rPr>
          <w:rFonts w:ascii="Century Gothic" w:hAnsi="Century Gothic"/>
        </w:rPr>
        <w:t xml:space="preserve"> or occur within the Murray</w:t>
      </w:r>
      <w:r>
        <w:rPr>
          <w:rFonts w:ascii="Century Gothic" w:hAnsi="Century Gothic"/>
        </w:rPr>
        <w:t>.</w:t>
      </w:r>
    </w:p>
    <w:p w:rsidR="00060C7A" w:rsidRPr="00CB1C63" w:rsidRDefault="00060C7A" w:rsidP="00060C7A">
      <w:pPr>
        <w:pStyle w:val="Para0"/>
        <w:spacing w:before="120" w:after="120" w:line="240" w:lineRule="auto"/>
        <w:rPr>
          <w:rFonts w:ascii="Century Gothic" w:hAnsi="Century Gothic"/>
        </w:rPr>
      </w:pPr>
      <w:r>
        <w:rPr>
          <w:rFonts w:ascii="Century Gothic" w:hAnsi="Century Gothic"/>
        </w:rPr>
        <w:t xml:space="preserve">A </w:t>
      </w:r>
      <w:r w:rsidRPr="00CB1C63">
        <w:rPr>
          <w:rFonts w:ascii="Century Gothic" w:hAnsi="Century Gothic"/>
        </w:rPr>
        <w:t xml:space="preserve">sustained and adequate population of </w:t>
      </w:r>
      <w:proofErr w:type="spellStart"/>
      <w:r w:rsidRPr="00CB1C63">
        <w:rPr>
          <w:rFonts w:ascii="Century Gothic" w:hAnsi="Century Gothic"/>
          <w:i/>
        </w:rPr>
        <w:t>Ruppia</w:t>
      </w:r>
      <w:proofErr w:type="spellEnd"/>
      <w:r w:rsidRPr="00CB1C63">
        <w:rPr>
          <w:rFonts w:ascii="Century Gothic" w:hAnsi="Century Gothic"/>
          <w:i/>
        </w:rPr>
        <w:t xml:space="preserve"> </w:t>
      </w:r>
      <w:proofErr w:type="spellStart"/>
      <w:r w:rsidRPr="00CB1C63">
        <w:rPr>
          <w:rFonts w:ascii="Century Gothic" w:hAnsi="Century Gothic"/>
          <w:i/>
        </w:rPr>
        <w:t>tuberosa</w:t>
      </w:r>
      <w:proofErr w:type="spellEnd"/>
      <w:r w:rsidRPr="00CB1C63">
        <w:rPr>
          <w:rFonts w:ascii="Century Gothic" w:hAnsi="Century Gothic"/>
        </w:rPr>
        <w:t xml:space="preserve"> in the south lagoon of the Coorong, including:</w:t>
      </w:r>
    </w:p>
    <w:p w:rsidR="00060C7A" w:rsidRPr="00CB1C63" w:rsidRDefault="00060C7A" w:rsidP="00060C7A">
      <w:pPr>
        <w:pStyle w:val="ListBullet"/>
        <w:numPr>
          <w:ilvl w:val="0"/>
          <w:numId w:val="30"/>
        </w:numPr>
        <w:spacing w:after="200" w:line="276" w:lineRule="auto"/>
        <w:contextualSpacing w:val="0"/>
        <w:jc w:val="left"/>
        <w:rPr>
          <w:rFonts w:ascii="Century Gothic" w:hAnsi="Century Gothic"/>
        </w:rPr>
      </w:pPr>
      <w:r w:rsidRPr="00CB1C63">
        <w:rPr>
          <w:rFonts w:ascii="Century Gothic" w:hAnsi="Century Gothic"/>
        </w:rPr>
        <w:t xml:space="preserve">by 2019, </w:t>
      </w:r>
      <w:r w:rsidRPr="00CB1C63">
        <w:rPr>
          <w:rFonts w:ascii="Century Gothic" w:hAnsi="Century Gothic"/>
          <w:i/>
        </w:rPr>
        <w:t xml:space="preserve">R. </w:t>
      </w:r>
      <w:proofErr w:type="spellStart"/>
      <w:r w:rsidRPr="00CB1C63">
        <w:rPr>
          <w:rFonts w:ascii="Century Gothic" w:hAnsi="Century Gothic"/>
          <w:i/>
        </w:rPr>
        <w:t>tuberosa</w:t>
      </w:r>
      <w:proofErr w:type="spellEnd"/>
      <w:r w:rsidRPr="00CB1C63">
        <w:rPr>
          <w:rFonts w:ascii="Century Gothic" w:hAnsi="Century Gothic"/>
        </w:rPr>
        <w:t xml:space="preserve"> to occur in at least 80</w:t>
      </w:r>
      <w:r>
        <w:rPr>
          <w:rFonts w:ascii="Century Gothic" w:hAnsi="Century Gothic"/>
        </w:rPr>
        <w:t xml:space="preserve"> per cent</w:t>
      </w:r>
      <w:r w:rsidRPr="00CB1C63">
        <w:rPr>
          <w:rFonts w:ascii="Century Gothic" w:hAnsi="Century Gothic"/>
        </w:rPr>
        <w:t xml:space="preserve"> of sites across at least a 50 km extent</w:t>
      </w:r>
    </w:p>
    <w:p w:rsidR="00060C7A" w:rsidRPr="00CB1C63" w:rsidRDefault="00060C7A" w:rsidP="00060C7A">
      <w:pPr>
        <w:pStyle w:val="ListBullet"/>
        <w:numPr>
          <w:ilvl w:val="0"/>
          <w:numId w:val="30"/>
        </w:numPr>
        <w:spacing w:after="200" w:line="276" w:lineRule="auto"/>
        <w:contextualSpacing w:val="0"/>
        <w:jc w:val="left"/>
        <w:rPr>
          <w:rFonts w:ascii="Century Gothic" w:hAnsi="Century Gothic"/>
        </w:rPr>
      </w:pPr>
      <w:r w:rsidRPr="00CB1C63">
        <w:rPr>
          <w:rFonts w:ascii="Century Gothic" w:hAnsi="Century Gothic"/>
        </w:rPr>
        <w:t xml:space="preserve">by 2029, the seed bank to be sufficient for the population to be resilient to major disturbances  </w:t>
      </w:r>
    </w:p>
    <w:p w:rsidR="00060C7A" w:rsidRPr="00BF2463" w:rsidRDefault="00E51CFE" w:rsidP="00060C7A">
      <w:pPr>
        <w:pStyle w:val="Para0"/>
        <w:spacing w:before="120" w:after="120" w:line="240" w:lineRule="auto"/>
        <w:rPr>
          <w:rFonts w:ascii="Century Gothic" w:hAnsi="Century Gothic"/>
          <w:b/>
        </w:rPr>
      </w:pPr>
      <w:r>
        <w:rPr>
          <w:rFonts w:ascii="Century Gothic" w:hAnsi="Century Gothic"/>
          <w:b/>
        </w:rPr>
        <w:br w:type="column"/>
      </w:r>
      <w:r w:rsidR="00060C7A" w:rsidRPr="00BF2463">
        <w:rPr>
          <w:rFonts w:ascii="Century Gothic" w:hAnsi="Century Gothic"/>
          <w:b/>
        </w:rPr>
        <w:lastRenderedPageBreak/>
        <w:t>Vegetation extent</w:t>
      </w:r>
      <w:r w:rsidR="00060C7A">
        <w:rPr>
          <w:rFonts w:ascii="Century Gothic" w:hAnsi="Century Gothic"/>
          <w:b/>
        </w:rPr>
        <w:t xml:space="preserve"> </w:t>
      </w:r>
    </w:p>
    <w:tbl>
      <w:tblPr>
        <w:tblStyle w:val="TableGrid"/>
        <w:tblW w:w="9781" w:type="dxa"/>
        <w:tblInd w:w="108" w:type="dxa"/>
        <w:tblLayout w:type="fixed"/>
        <w:tblLook w:val="04A0"/>
      </w:tblPr>
      <w:tblGrid>
        <w:gridCol w:w="1843"/>
        <w:gridCol w:w="1276"/>
        <w:gridCol w:w="1276"/>
        <w:gridCol w:w="1134"/>
        <w:gridCol w:w="1842"/>
        <w:gridCol w:w="2410"/>
      </w:tblGrid>
      <w:tr w:rsidR="00060C7A" w:rsidRPr="00060C7A" w:rsidTr="00EA1768">
        <w:trPr>
          <w:trHeight w:val="333"/>
          <w:tblHeader/>
        </w:trPr>
        <w:tc>
          <w:tcPr>
            <w:tcW w:w="1843" w:type="dxa"/>
            <w:vMerge w:val="restart"/>
            <w:shd w:val="clear" w:color="auto" w:fill="00A18E"/>
          </w:tcPr>
          <w:p w:rsidR="00060C7A" w:rsidRPr="00060C7A" w:rsidRDefault="00060C7A" w:rsidP="00EA1768">
            <w:pPr>
              <w:pStyle w:val="TableH1"/>
              <w:spacing w:before="20" w:after="20"/>
              <w:rPr>
                <w:rFonts w:ascii="Century Gothic" w:hAnsi="Century Gothic"/>
                <w:sz w:val="20"/>
                <w:szCs w:val="20"/>
                <w:lang w:eastAsia="en-US"/>
              </w:rPr>
            </w:pPr>
            <w:r w:rsidRPr="00060C7A">
              <w:rPr>
                <w:rFonts w:ascii="Century Gothic" w:hAnsi="Century Gothic"/>
                <w:sz w:val="20"/>
                <w:szCs w:val="20"/>
                <w:lang w:eastAsia="en-US"/>
              </w:rPr>
              <w:t>Region</w:t>
            </w:r>
          </w:p>
        </w:tc>
        <w:tc>
          <w:tcPr>
            <w:tcW w:w="3686" w:type="dxa"/>
            <w:gridSpan w:val="3"/>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r w:rsidRPr="00060C7A">
              <w:rPr>
                <w:rFonts w:ascii="Century Gothic" w:hAnsi="Century Gothic"/>
                <w:sz w:val="20"/>
                <w:szCs w:val="20"/>
                <w:lang w:eastAsia="en-US"/>
              </w:rPr>
              <w:t>Area (ha)</w:t>
            </w:r>
          </w:p>
        </w:tc>
        <w:tc>
          <w:tcPr>
            <w:tcW w:w="1842" w:type="dxa"/>
            <w:vMerge w:val="restart"/>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proofErr w:type="spellStart"/>
            <w:r w:rsidRPr="00060C7A">
              <w:rPr>
                <w:rFonts w:ascii="Century Gothic" w:hAnsi="Century Gothic"/>
                <w:sz w:val="20"/>
                <w:szCs w:val="20"/>
                <w:lang w:eastAsia="en-US"/>
              </w:rPr>
              <w:t>Shrublands</w:t>
            </w:r>
            <w:proofErr w:type="spellEnd"/>
          </w:p>
        </w:tc>
        <w:tc>
          <w:tcPr>
            <w:tcW w:w="2410" w:type="dxa"/>
            <w:vMerge w:val="restart"/>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r w:rsidRPr="00060C7A">
              <w:rPr>
                <w:rFonts w:ascii="Century Gothic" w:hAnsi="Century Gothic"/>
                <w:sz w:val="20"/>
                <w:szCs w:val="20"/>
                <w:lang w:eastAsia="en-US"/>
              </w:rPr>
              <w:t>Non–woody water dependent vegetation</w:t>
            </w:r>
          </w:p>
        </w:tc>
      </w:tr>
      <w:tr w:rsidR="00060C7A" w:rsidRPr="00060C7A" w:rsidTr="00EA1768">
        <w:trPr>
          <w:trHeight w:val="664"/>
          <w:tblHeader/>
        </w:trPr>
        <w:tc>
          <w:tcPr>
            <w:tcW w:w="1843" w:type="dxa"/>
            <w:vMerge/>
            <w:shd w:val="clear" w:color="auto" w:fill="00A18E"/>
          </w:tcPr>
          <w:p w:rsidR="00060C7A" w:rsidRPr="00060C7A" w:rsidRDefault="00060C7A" w:rsidP="00EA1768">
            <w:pPr>
              <w:pStyle w:val="TableH1"/>
              <w:spacing w:before="20" w:after="20"/>
              <w:rPr>
                <w:rFonts w:ascii="Century Gothic" w:hAnsi="Century Gothic"/>
                <w:sz w:val="20"/>
                <w:szCs w:val="20"/>
                <w:lang w:eastAsia="en-US"/>
              </w:rPr>
            </w:pPr>
          </w:p>
        </w:tc>
        <w:tc>
          <w:tcPr>
            <w:tcW w:w="1276" w:type="dxa"/>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r w:rsidRPr="00060C7A">
              <w:rPr>
                <w:rFonts w:ascii="Century Gothic" w:hAnsi="Century Gothic"/>
                <w:sz w:val="20"/>
                <w:szCs w:val="20"/>
                <w:lang w:eastAsia="en-US"/>
              </w:rPr>
              <w:t>River red gum</w:t>
            </w:r>
          </w:p>
        </w:tc>
        <w:tc>
          <w:tcPr>
            <w:tcW w:w="1276" w:type="dxa"/>
            <w:shd w:val="clear" w:color="auto" w:fill="00A18E"/>
            <w:vAlign w:val="center"/>
          </w:tcPr>
          <w:p w:rsidR="00060C7A" w:rsidRPr="00060C7A" w:rsidRDefault="00060C7A" w:rsidP="00EA1768">
            <w:pPr>
              <w:pStyle w:val="TableH1"/>
              <w:spacing w:before="20" w:after="20"/>
              <w:rPr>
                <w:rFonts w:ascii="Century Gothic" w:hAnsi="Century Gothic"/>
                <w:sz w:val="20"/>
                <w:szCs w:val="20"/>
                <w:lang w:eastAsia="en-US"/>
              </w:rPr>
            </w:pPr>
            <w:r w:rsidRPr="00060C7A">
              <w:rPr>
                <w:rFonts w:ascii="Century Gothic" w:hAnsi="Century Gothic"/>
                <w:sz w:val="20"/>
                <w:szCs w:val="20"/>
                <w:lang w:eastAsia="en-US"/>
              </w:rPr>
              <w:t>Black box</w:t>
            </w:r>
          </w:p>
        </w:tc>
        <w:tc>
          <w:tcPr>
            <w:tcW w:w="1134" w:type="dxa"/>
            <w:shd w:val="clear" w:color="auto" w:fill="00A18E"/>
            <w:vAlign w:val="center"/>
          </w:tcPr>
          <w:p w:rsidR="00060C7A" w:rsidRPr="00060C7A" w:rsidRDefault="00060C7A" w:rsidP="00EA1768">
            <w:pPr>
              <w:pStyle w:val="TableH1"/>
              <w:spacing w:before="20" w:after="20"/>
              <w:rPr>
                <w:rFonts w:ascii="Century Gothic" w:hAnsi="Century Gothic"/>
                <w:sz w:val="20"/>
                <w:szCs w:val="20"/>
                <w:lang w:eastAsia="en-US"/>
              </w:rPr>
            </w:pPr>
            <w:proofErr w:type="spellStart"/>
            <w:r w:rsidRPr="00060C7A">
              <w:rPr>
                <w:rFonts w:ascii="Century Gothic" w:hAnsi="Century Gothic"/>
                <w:sz w:val="20"/>
                <w:szCs w:val="20"/>
                <w:lang w:eastAsia="en-US"/>
              </w:rPr>
              <w:t>Coolibah</w:t>
            </w:r>
            <w:proofErr w:type="spellEnd"/>
          </w:p>
        </w:tc>
        <w:tc>
          <w:tcPr>
            <w:tcW w:w="1842" w:type="dxa"/>
            <w:vMerge/>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p>
        </w:tc>
        <w:tc>
          <w:tcPr>
            <w:tcW w:w="2410" w:type="dxa"/>
            <w:vMerge/>
            <w:shd w:val="clear" w:color="auto" w:fill="00A18E"/>
            <w:vAlign w:val="center"/>
            <w:hideMark/>
          </w:tcPr>
          <w:p w:rsidR="00060C7A" w:rsidRPr="00060C7A" w:rsidRDefault="00060C7A" w:rsidP="00EA1768">
            <w:pPr>
              <w:pStyle w:val="TableH1"/>
              <w:spacing w:before="20" w:after="20"/>
              <w:rPr>
                <w:rFonts w:ascii="Century Gothic" w:hAnsi="Century Gothic"/>
                <w:sz w:val="20"/>
                <w:szCs w:val="20"/>
                <w:lang w:eastAsia="en-US"/>
              </w:rPr>
            </w:pPr>
          </w:p>
        </w:tc>
      </w:tr>
      <w:tr w:rsidR="00060C7A" w:rsidRPr="00060C7A" w:rsidTr="00EA1768">
        <w:trPr>
          <w:trHeight w:val="794"/>
        </w:trPr>
        <w:tc>
          <w:tcPr>
            <w:tcW w:w="1843" w:type="dxa"/>
          </w:tcPr>
          <w:p w:rsidR="00060C7A" w:rsidRPr="00060C7A" w:rsidRDefault="00060C7A" w:rsidP="00EA1768">
            <w:pPr>
              <w:spacing w:before="20" w:after="20"/>
              <w:jc w:val="center"/>
              <w:rPr>
                <w:rFonts w:ascii="Century Gothic" w:hAnsi="Century Gothic"/>
                <w:sz w:val="20"/>
                <w:szCs w:val="20"/>
              </w:rPr>
            </w:pPr>
            <w:r w:rsidRPr="00060C7A">
              <w:rPr>
                <w:rFonts w:ascii="Century Gothic" w:hAnsi="Century Gothic"/>
                <w:sz w:val="20"/>
                <w:szCs w:val="20"/>
              </w:rPr>
              <w:t>Murray (assessment is for entire Murray catchment)</w:t>
            </w:r>
          </w:p>
        </w:tc>
        <w:tc>
          <w:tcPr>
            <w:tcW w:w="1276" w:type="dxa"/>
            <w:hideMark/>
          </w:tcPr>
          <w:p w:rsidR="00060C7A" w:rsidRPr="00060C7A" w:rsidRDefault="00060C7A" w:rsidP="00EA1768">
            <w:pPr>
              <w:spacing w:before="20" w:after="20"/>
              <w:jc w:val="center"/>
              <w:rPr>
                <w:rFonts w:ascii="Century Gothic" w:hAnsi="Century Gothic"/>
                <w:sz w:val="20"/>
                <w:szCs w:val="20"/>
                <w:u w:val="single"/>
              </w:rPr>
            </w:pPr>
            <w:r w:rsidRPr="00060C7A">
              <w:rPr>
                <w:rFonts w:ascii="Century Gothic" w:hAnsi="Century Gothic"/>
                <w:sz w:val="20"/>
                <w:szCs w:val="20"/>
              </w:rPr>
              <w:t>90,600*</w:t>
            </w:r>
          </w:p>
        </w:tc>
        <w:tc>
          <w:tcPr>
            <w:tcW w:w="1276" w:type="dxa"/>
            <w:hideMark/>
          </w:tcPr>
          <w:p w:rsidR="00060C7A" w:rsidRPr="00060C7A" w:rsidRDefault="00060C7A" w:rsidP="00EA1768">
            <w:pPr>
              <w:spacing w:before="20" w:after="20"/>
              <w:jc w:val="center"/>
              <w:rPr>
                <w:rFonts w:ascii="Century Gothic" w:hAnsi="Century Gothic"/>
                <w:sz w:val="20"/>
                <w:szCs w:val="20"/>
                <w:u w:val="single"/>
              </w:rPr>
            </w:pPr>
            <w:r w:rsidRPr="00060C7A">
              <w:rPr>
                <w:rFonts w:ascii="Century Gothic" w:hAnsi="Century Gothic"/>
                <w:sz w:val="20"/>
                <w:szCs w:val="20"/>
              </w:rPr>
              <w:t>41,700*</w:t>
            </w:r>
          </w:p>
        </w:tc>
        <w:tc>
          <w:tcPr>
            <w:tcW w:w="1134" w:type="dxa"/>
          </w:tcPr>
          <w:p w:rsidR="00060C7A" w:rsidRPr="00060C7A" w:rsidRDefault="00060C7A" w:rsidP="00EA1768">
            <w:pPr>
              <w:spacing w:before="20" w:after="20"/>
              <w:jc w:val="center"/>
              <w:rPr>
                <w:rFonts w:ascii="Century Gothic" w:hAnsi="Century Gothic"/>
                <w:sz w:val="20"/>
                <w:szCs w:val="20"/>
              </w:rPr>
            </w:pPr>
            <w:r w:rsidRPr="00060C7A">
              <w:rPr>
                <w:rFonts w:ascii="Century Gothic" w:hAnsi="Century Gothic"/>
                <w:sz w:val="20"/>
                <w:szCs w:val="20"/>
              </w:rPr>
              <w:t>-</w:t>
            </w:r>
          </w:p>
        </w:tc>
        <w:tc>
          <w:tcPr>
            <w:tcW w:w="1842" w:type="dxa"/>
            <w:hideMark/>
          </w:tcPr>
          <w:p w:rsidR="00060C7A" w:rsidRPr="00060C7A" w:rsidRDefault="00060C7A" w:rsidP="00EA1768">
            <w:pPr>
              <w:spacing w:before="20" w:after="20"/>
              <w:rPr>
                <w:rFonts w:ascii="Century Gothic" w:hAnsi="Century Gothic"/>
                <w:sz w:val="20"/>
                <w:szCs w:val="20"/>
              </w:rPr>
            </w:pPr>
            <w:r w:rsidRPr="00060C7A">
              <w:rPr>
                <w:rFonts w:ascii="Century Gothic" w:hAnsi="Century Gothic"/>
                <w:sz w:val="20"/>
                <w:szCs w:val="20"/>
              </w:rPr>
              <w:t>Lignum along the Murray River from the junction with the Wakool River to downstream of Lock 3, including Chowilla and Hattah Lakes</w:t>
            </w:r>
          </w:p>
        </w:tc>
        <w:tc>
          <w:tcPr>
            <w:tcW w:w="2410" w:type="dxa"/>
            <w:hideMark/>
          </w:tcPr>
          <w:p w:rsidR="00060C7A" w:rsidRPr="00060C7A" w:rsidRDefault="00060C7A" w:rsidP="00EA1768">
            <w:pPr>
              <w:spacing w:before="20" w:after="20"/>
              <w:rPr>
                <w:rFonts w:ascii="Century Gothic" w:hAnsi="Century Gothic"/>
                <w:sz w:val="20"/>
                <w:szCs w:val="20"/>
              </w:rPr>
            </w:pPr>
            <w:r w:rsidRPr="00060C7A">
              <w:rPr>
                <w:rFonts w:ascii="Century Gothic" w:hAnsi="Century Gothic"/>
                <w:sz w:val="20"/>
                <w:szCs w:val="20"/>
              </w:rPr>
              <w:t>Closely fringing or occurring within the Murray</w:t>
            </w:r>
            <w:r w:rsidRPr="00060C7A">
              <w:rPr>
                <w:rFonts w:ascii="Century Gothic" w:hAnsi="Century Gothic"/>
                <w:i/>
                <w:sz w:val="20"/>
                <w:szCs w:val="20"/>
              </w:rPr>
              <w:br/>
            </w:r>
            <w:proofErr w:type="spellStart"/>
            <w:r w:rsidRPr="00060C7A">
              <w:rPr>
                <w:rFonts w:ascii="Century Gothic" w:hAnsi="Century Gothic"/>
                <w:i/>
                <w:sz w:val="20"/>
                <w:szCs w:val="20"/>
              </w:rPr>
              <w:t>Ruppia</w:t>
            </w:r>
            <w:proofErr w:type="spellEnd"/>
            <w:r w:rsidRPr="00060C7A">
              <w:rPr>
                <w:rFonts w:ascii="Century Gothic" w:hAnsi="Century Gothic"/>
                <w:i/>
                <w:sz w:val="20"/>
                <w:szCs w:val="20"/>
              </w:rPr>
              <w:t xml:space="preserve"> </w:t>
            </w:r>
            <w:proofErr w:type="spellStart"/>
            <w:r w:rsidRPr="00060C7A">
              <w:rPr>
                <w:rFonts w:ascii="Century Gothic" w:hAnsi="Century Gothic"/>
                <w:i/>
                <w:sz w:val="20"/>
                <w:szCs w:val="20"/>
              </w:rPr>
              <w:t>tuberosa</w:t>
            </w:r>
            <w:proofErr w:type="spellEnd"/>
            <w:r w:rsidRPr="00060C7A">
              <w:rPr>
                <w:rFonts w:ascii="Century Gothic" w:hAnsi="Century Gothic"/>
                <w:sz w:val="20"/>
                <w:szCs w:val="20"/>
              </w:rPr>
              <w:t xml:space="preserve"> in the Coorong</w:t>
            </w:r>
          </w:p>
        </w:tc>
      </w:tr>
      <w:tr w:rsidR="00060C7A" w:rsidRPr="00060C7A" w:rsidTr="00EA1768">
        <w:trPr>
          <w:trHeight w:val="794"/>
        </w:trPr>
        <w:tc>
          <w:tcPr>
            <w:tcW w:w="1843" w:type="dxa"/>
          </w:tcPr>
          <w:p w:rsidR="00060C7A" w:rsidRPr="00060C7A" w:rsidRDefault="00060C7A" w:rsidP="00EA1768">
            <w:pPr>
              <w:spacing w:before="20" w:after="20"/>
              <w:jc w:val="center"/>
              <w:rPr>
                <w:rFonts w:ascii="Century Gothic" w:hAnsi="Century Gothic"/>
                <w:sz w:val="20"/>
                <w:szCs w:val="20"/>
              </w:rPr>
            </w:pPr>
            <w:r w:rsidRPr="00060C7A">
              <w:rPr>
                <w:rFonts w:ascii="Century Gothic" w:hAnsi="Century Gothic"/>
                <w:sz w:val="20"/>
                <w:szCs w:val="20"/>
              </w:rPr>
              <w:t>Lower Darling</w:t>
            </w:r>
          </w:p>
        </w:tc>
        <w:tc>
          <w:tcPr>
            <w:tcW w:w="1276" w:type="dxa"/>
            <w:vAlign w:val="center"/>
            <w:hideMark/>
          </w:tcPr>
          <w:p w:rsidR="00060C7A" w:rsidRPr="00060C7A" w:rsidRDefault="00060C7A" w:rsidP="00EA1768">
            <w:pPr>
              <w:spacing w:before="20" w:after="20"/>
              <w:jc w:val="center"/>
              <w:rPr>
                <w:rFonts w:ascii="Century Gothic" w:hAnsi="Century Gothic"/>
                <w:sz w:val="20"/>
                <w:szCs w:val="20"/>
              </w:rPr>
            </w:pPr>
            <w:r w:rsidRPr="00060C7A">
              <w:rPr>
                <w:rFonts w:ascii="Century Gothic" w:hAnsi="Century Gothic"/>
                <w:sz w:val="20"/>
                <w:szCs w:val="20"/>
              </w:rPr>
              <w:t>10,300</w:t>
            </w:r>
          </w:p>
        </w:tc>
        <w:tc>
          <w:tcPr>
            <w:tcW w:w="1276" w:type="dxa"/>
            <w:vAlign w:val="center"/>
            <w:hideMark/>
          </w:tcPr>
          <w:p w:rsidR="00060C7A" w:rsidRPr="00060C7A" w:rsidRDefault="00060C7A" w:rsidP="00EA1768">
            <w:pPr>
              <w:spacing w:before="20" w:after="20"/>
              <w:jc w:val="center"/>
              <w:rPr>
                <w:rFonts w:ascii="Century Gothic" w:hAnsi="Century Gothic"/>
                <w:sz w:val="20"/>
                <w:szCs w:val="20"/>
              </w:rPr>
            </w:pPr>
            <w:r w:rsidRPr="00060C7A">
              <w:rPr>
                <w:rFonts w:ascii="Century Gothic" w:hAnsi="Century Gothic"/>
                <w:sz w:val="20"/>
                <w:szCs w:val="20"/>
              </w:rPr>
              <w:t>38,600</w:t>
            </w:r>
          </w:p>
        </w:tc>
        <w:tc>
          <w:tcPr>
            <w:tcW w:w="1134" w:type="dxa"/>
          </w:tcPr>
          <w:p w:rsidR="00060C7A" w:rsidRPr="00060C7A" w:rsidRDefault="00060C7A" w:rsidP="00EA1768">
            <w:pPr>
              <w:spacing w:before="20" w:after="20"/>
              <w:jc w:val="center"/>
              <w:rPr>
                <w:rFonts w:ascii="Century Gothic" w:hAnsi="Century Gothic"/>
                <w:sz w:val="20"/>
                <w:szCs w:val="20"/>
              </w:rPr>
            </w:pPr>
          </w:p>
        </w:tc>
        <w:tc>
          <w:tcPr>
            <w:tcW w:w="1842" w:type="dxa"/>
            <w:hideMark/>
          </w:tcPr>
          <w:p w:rsidR="00060C7A" w:rsidRPr="00060C7A" w:rsidRDefault="00060C7A" w:rsidP="00EA1768">
            <w:pPr>
              <w:spacing w:before="20" w:after="20"/>
              <w:rPr>
                <w:rFonts w:ascii="Century Gothic" w:hAnsi="Century Gothic"/>
                <w:sz w:val="20"/>
                <w:szCs w:val="20"/>
              </w:rPr>
            </w:pPr>
            <w:r w:rsidRPr="00060C7A">
              <w:rPr>
                <w:rFonts w:ascii="Century Gothic" w:hAnsi="Century Gothic"/>
                <w:sz w:val="20"/>
                <w:szCs w:val="20"/>
              </w:rPr>
              <w:t>Lignum swamps in the Lower Darling region</w:t>
            </w:r>
          </w:p>
        </w:tc>
        <w:tc>
          <w:tcPr>
            <w:tcW w:w="2410" w:type="dxa"/>
            <w:hideMark/>
          </w:tcPr>
          <w:p w:rsidR="00060C7A" w:rsidRPr="00060C7A" w:rsidRDefault="00060C7A" w:rsidP="00EA1768">
            <w:pPr>
              <w:spacing w:before="20" w:after="20"/>
              <w:rPr>
                <w:rFonts w:ascii="Century Gothic" w:hAnsi="Century Gothic"/>
                <w:sz w:val="20"/>
                <w:szCs w:val="20"/>
              </w:rPr>
            </w:pPr>
            <w:r w:rsidRPr="00060C7A">
              <w:rPr>
                <w:rFonts w:ascii="Century Gothic" w:hAnsi="Century Gothic"/>
                <w:sz w:val="20"/>
                <w:szCs w:val="20"/>
              </w:rPr>
              <w:t>Closely fringing or occurring within the Darling River and Great Darling Anabranch</w:t>
            </w:r>
          </w:p>
        </w:tc>
      </w:tr>
    </w:tbl>
    <w:p w:rsidR="00060C7A" w:rsidRPr="00BF2463" w:rsidRDefault="00060C7A" w:rsidP="00060C7A">
      <w:pPr>
        <w:pStyle w:val="Para0"/>
        <w:spacing w:before="120" w:after="120" w:line="240" w:lineRule="auto"/>
        <w:rPr>
          <w:rFonts w:ascii="Century Gothic" w:hAnsi="Century Gothic"/>
          <w:b/>
        </w:rPr>
      </w:pPr>
      <w:r w:rsidRPr="00BF2463">
        <w:rPr>
          <w:rFonts w:ascii="Century Gothic" w:hAnsi="Century Gothic"/>
          <w:b/>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844"/>
        <w:gridCol w:w="2906"/>
        <w:gridCol w:w="2622"/>
        <w:gridCol w:w="2267"/>
      </w:tblGrid>
      <w:tr w:rsidR="00060C7A" w:rsidRPr="00060C7A" w:rsidTr="00EA1768">
        <w:trPr>
          <w:trHeight w:val="418"/>
          <w:tblHeader/>
        </w:trPr>
        <w:tc>
          <w:tcPr>
            <w:tcW w:w="1844" w:type="dxa"/>
            <w:vMerge w:val="restart"/>
            <w:tcBorders>
              <w:top w:val="single" w:sz="4" w:space="0" w:color="auto"/>
              <w:left w:val="single" w:sz="4" w:space="0" w:color="auto"/>
              <w:right w:val="single" w:sz="4" w:space="0" w:color="auto"/>
            </w:tcBorders>
            <w:shd w:val="clear" w:color="auto" w:fill="00A18E"/>
          </w:tcPr>
          <w:p w:rsidR="00060C7A" w:rsidRPr="00060C7A" w:rsidRDefault="00060C7A" w:rsidP="00EA1768">
            <w:pPr>
              <w:pStyle w:val="TableH1"/>
              <w:ind w:firstLine="34"/>
              <w:rPr>
                <w:rFonts w:ascii="Century Gothic" w:hAnsi="Century Gothic"/>
                <w:sz w:val="20"/>
                <w:szCs w:val="20"/>
              </w:rPr>
            </w:pPr>
            <w:r w:rsidRPr="00060C7A">
              <w:rPr>
                <w:rFonts w:ascii="Century Gothic" w:hAnsi="Century Gothic"/>
                <w:sz w:val="20"/>
                <w:szCs w:val="20"/>
              </w:rPr>
              <w:t>Region</w:t>
            </w:r>
          </w:p>
        </w:tc>
        <w:tc>
          <w:tcPr>
            <w:tcW w:w="5528"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Vegetation condition score</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Percent of vegetation assessed (within the managed floodplain)</w:t>
            </w:r>
          </w:p>
        </w:tc>
      </w:tr>
      <w:tr w:rsidR="00060C7A" w:rsidRPr="00060C7A" w:rsidTr="00EA1768">
        <w:trPr>
          <w:trHeight w:val="418"/>
          <w:tblHeader/>
        </w:trPr>
        <w:tc>
          <w:tcPr>
            <w:tcW w:w="1844" w:type="dxa"/>
            <w:vMerge/>
            <w:tcBorders>
              <w:left w:val="single" w:sz="4" w:space="0" w:color="auto"/>
              <w:bottom w:val="single" w:sz="4" w:space="0" w:color="auto"/>
              <w:right w:val="single" w:sz="4" w:space="0" w:color="auto"/>
            </w:tcBorders>
            <w:shd w:val="clear" w:color="auto" w:fill="00A18E"/>
          </w:tcPr>
          <w:p w:rsidR="00060C7A" w:rsidRPr="00060C7A" w:rsidRDefault="00060C7A" w:rsidP="00EA1768">
            <w:pPr>
              <w:pStyle w:val="TableH1"/>
              <w:rPr>
                <w:rFonts w:ascii="Century Gothic" w:hAnsi="Century Gothic"/>
                <w:sz w:val="20"/>
                <w:szCs w:val="20"/>
              </w:rPr>
            </w:pPr>
          </w:p>
        </w:tc>
        <w:tc>
          <w:tcPr>
            <w:tcW w:w="2906"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0 –6</w:t>
            </w:r>
          </w:p>
        </w:tc>
        <w:tc>
          <w:tcPr>
            <w:tcW w:w="2622"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&gt;6 –10</w:t>
            </w:r>
          </w:p>
        </w:tc>
        <w:tc>
          <w:tcPr>
            <w:tcW w:w="2267"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p>
        </w:tc>
      </w:tr>
      <w:tr w:rsidR="00060C7A" w:rsidRPr="00060C7A" w:rsidTr="00EA1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844" w:type="dxa"/>
            <w:tcBorders>
              <w:top w:val="single" w:sz="4" w:space="0" w:color="auto"/>
              <w:bottom w:val="single" w:sz="4" w:space="0" w:color="auto"/>
            </w:tcBorders>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Murray (assessment is for entire Murray catchment)</w:t>
            </w:r>
          </w:p>
        </w:tc>
        <w:tc>
          <w:tcPr>
            <w:tcW w:w="2906"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33 per cent</w:t>
            </w:r>
          </w:p>
        </w:tc>
        <w:tc>
          <w:tcPr>
            <w:tcW w:w="2622"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65 per cent</w:t>
            </w:r>
          </w:p>
        </w:tc>
        <w:tc>
          <w:tcPr>
            <w:tcW w:w="2267"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28 per cent</w:t>
            </w:r>
          </w:p>
        </w:tc>
      </w:tr>
      <w:tr w:rsidR="00060C7A" w:rsidRPr="00060C7A" w:rsidTr="00EA1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844" w:type="dxa"/>
            <w:tcBorders>
              <w:top w:val="single" w:sz="4" w:space="0" w:color="auto"/>
            </w:tcBorders>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Lower Darling</w:t>
            </w:r>
          </w:p>
        </w:tc>
        <w:tc>
          <w:tcPr>
            <w:tcW w:w="2906"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72 per cent</w:t>
            </w:r>
          </w:p>
        </w:tc>
        <w:tc>
          <w:tcPr>
            <w:tcW w:w="2622"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28 per cent</w:t>
            </w:r>
          </w:p>
        </w:tc>
        <w:tc>
          <w:tcPr>
            <w:tcW w:w="2267"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85 per cent</w:t>
            </w:r>
          </w:p>
        </w:tc>
      </w:tr>
    </w:tbl>
    <w:p w:rsidR="00060C7A" w:rsidRPr="00060C7A" w:rsidRDefault="00060C7A" w:rsidP="00060C7A">
      <w:pPr>
        <w:pStyle w:val="Para0"/>
        <w:spacing w:before="120" w:after="120" w:line="240" w:lineRule="auto"/>
        <w:rPr>
          <w:rFonts w:ascii="Century Gothic" w:hAnsi="Century Gothic"/>
          <w:b/>
        </w:rPr>
      </w:pPr>
      <w:r w:rsidRPr="00060C7A">
        <w:rPr>
          <w:rFonts w:ascii="Century Gothic" w:hAnsi="Century Gothic"/>
          <w:b/>
        </w:rPr>
        <w:t xml:space="preserve">River red gum condition </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844"/>
        <w:gridCol w:w="1105"/>
        <w:gridCol w:w="1106"/>
        <w:gridCol w:w="1105"/>
        <w:gridCol w:w="1106"/>
        <w:gridCol w:w="1106"/>
        <w:gridCol w:w="2267"/>
      </w:tblGrid>
      <w:tr w:rsidR="00060C7A" w:rsidRPr="00060C7A" w:rsidTr="00EA1768">
        <w:trPr>
          <w:trHeight w:val="424"/>
          <w:tblHeader/>
        </w:trPr>
        <w:tc>
          <w:tcPr>
            <w:tcW w:w="1844" w:type="dxa"/>
            <w:vMerge w:val="restart"/>
            <w:tcBorders>
              <w:top w:val="single" w:sz="4" w:space="0" w:color="auto"/>
              <w:left w:val="single" w:sz="4" w:space="0" w:color="auto"/>
              <w:right w:val="single" w:sz="4" w:space="0" w:color="auto"/>
            </w:tcBorders>
            <w:shd w:val="clear" w:color="auto" w:fill="00A18E"/>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Region</w:t>
            </w:r>
          </w:p>
        </w:tc>
        <w:tc>
          <w:tcPr>
            <w:tcW w:w="5528"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Vegetation condition score</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Percent of vegetation assessed (within the managed floodplain)</w:t>
            </w:r>
          </w:p>
        </w:tc>
      </w:tr>
      <w:tr w:rsidR="00060C7A" w:rsidRPr="00060C7A" w:rsidTr="00EA1768">
        <w:trPr>
          <w:trHeight w:val="424"/>
          <w:tblHeader/>
        </w:trPr>
        <w:tc>
          <w:tcPr>
            <w:tcW w:w="1844" w:type="dxa"/>
            <w:vMerge/>
            <w:tcBorders>
              <w:left w:val="single" w:sz="4" w:space="0" w:color="auto"/>
              <w:bottom w:val="single" w:sz="4" w:space="0" w:color="auto"/>
              <w:right w:val="single" w:sz="4" w:space="0" w:color="auto"/>
            </w:tcBorders>
            <w:shd w:val="clear" w:color="auto" w:fill="00A18E"/>
          </w:tcPr>
          <w:p w:rsidR="00060C7A" w:rsidRPr="00060C7A" w:rsidRDefault="00060C7A" w:rsidP="00EA1768">
            <w:pPr>
              <w:pStyle w:val="TableH1"/>
              <w:rPr>
                <w:rFonts w:ascii="Century Gothic" w:hAnsi="Century Gothic"/>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0 – 2</w:t>
            </w:r>
          </w:p>
        </w:tc>
        <w:tc>
          <w:tcPr>
            <w:tcW w:w="1106"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&gt;2 – 4</w:t>
            </w:r>
          </w:p>
        </w:tc>
        <w:tc>
          <w:tcPr>
            <w:tcW w:w="1105"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&gt;4 – 6</w:t>
            </w:r>
          </w:p>
        </w:tc>
        <w:tc>
          <w:tcPr>
            <w:tcW w:w="1106"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&gt;6 – 8</w:t>
            </w:r>
          </w:p>
        </w:tc>
        <w:tc>
          <w:tcPr>
            <w:tcW w:w="1106" w:type="dxa"/>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r w:rsidRPr="00060C7A">
              <w:rPr>
                <w:rFonts w:ascii="Century Gothic" w:hAnsi="Century Gothic"/>
                <w:sz w:val="20"/>
                <w:szCs w:val="20"/>
              </w:rPr>
              <w:t>&gt;8 – 10</w:t>
            </w:r>
          </w:p>
        </w:tc>
        <w:tc>
          <w:tcPr>
            <w:tcW w:w="2267"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060C7A" w:rsidRPr="00060C7A" w:rsidRDefault="00060C7A" w:rsidP="00EA1768">
            <w:pPr>
              <w:pStyle w:val="TableH1"/>
              <w:rPr>
                <w:rFonts w:ascii="Century Gothic" w:hAnsi="Century Gothic"/>
                <w:sz w:val="20"/>
                <w:szCs w:val="20"/>
              </w:rPr>
            </w:pPr>
          </w:p>
        </w:tc>
      </w:tr>
      <w:tr w:rsidR="00060C7A" w:rsidRPr="00060C7A" w:rsidTr="00EA1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844" w:type="dxa"/>
            <w:tcBorders>
              <w:top w:val="single" w:sz="4" w:space="0" w:color="auto"/>
              <w:bottom w:val="single" w:sz="4" w:space="0" w:color="auto"/>
            </w:tcBorders>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Murray (assessment is for entire Murray catchment)</w:t>
            </w:r>
          </w:p>
        </w:tc>
        <w:tc>
          <w:tcPr>
            <w:tcW w:w="1105"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2 per cent</w:t>
            </w:r>
          </w:p>
        </w:tc>
        <w:tc>
          <w:tcPr>
            <w:tcW w:w="1106"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1 per cent</w:t>
            </w:r>
          </w:p>
        </w:tc>
        <w:tc>
          <w:tcPr>
            <w:tcW w:w="1105"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10 per cent</w:t>
            </w:r>
          </w:p>
        </w:tc>
        <w:tc>
          <w:tcPr>
            <w:tcW w:w="1106"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51 per cent</w:t>
            </w:r>
          </w:p>
        </w:tc>
        <w:tc>
          <w:tcPr>
            <w:tcW w:w="1106"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35 per cent</w:t>
            </w:r>
          </w:p>
        </w:tc>
        <w:tc>
          <w:tcPr>
            <w:tcW w:w="2267" w:type="dxa"/>
            <w:tcBorders>
              <w:top w:val="single" w:sz="4" w:space="0" w:color="auto"/>
              <w:bottom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51 per cent</w:t>
            </w:r>
          </w:p>
        </w:tc>
      </w:tr>
      <w:tr w:rsidR="00060C7A" w:rsidRPr="00060C7A" w:rsidTr="00EA1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844" w:type="dxa"/>
            <w:tcBorders>
              <w:top w:val="single" w:sz="4" w:space="0" w:color="auto"/>
            </w:tcBorders>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Lower Darling</w:t>
            </w:r>
          </w:p>
        </w:tc>
        <w:tc>
          <w:tcPr>
            <w:tcW w:w="1105"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11 per cent</w:t>
            </w:r>
          </w:p>
        </w:tc>
        <w:tc>
          <w:tcPr>
            <w:tcW w:w="1106"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5 per cent</w:t>
            </w:r>
          </w:p>
        </w:tc>
        <w:tc>
          <w:tcPr>
            <w:tcW w:w="1105"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7 per cent</w:t>
            </w:r>
          </w:p>
        </w:tc>
        <w:tc>
          <w:tcPr>
            <w:tcW w:w="1106"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41 per cent</w:t>
            </w:r>
          </w:p>
        </w:tc>
        <w:tc>
          <w:tcPr>
            <w:tcW w:w="1106"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35 per cent</w:t>
            </w:r>
          </w:p>
        </w:tc>
        <w:tc>
          <w:tcPr>
            <w:tcW w:w="2267" w:type="dxa"/>
            <w:tcBorders>
              <w:top w:val="single" w:sz="4" w:space="0" w:color="auto"/>
            </w:tcBorders>
            <w:vAlign w:val="center"/>
          </w:tcPr>
          <w:p w:rsidR="00060C7A" w:rsidRPr="00060C7A" w:rsidRDefault="00060C7A" w:rsidP="00EA1768">
            <w:pPr>
              <w:jc w:val="center"/>
              <w:rPr>
                <w:rFonts w:ascii="Century Gothic" w:hAnsi="Century Gothic"/>
                <w:sz w:val="20"/>
                <w:szCs w:val="20"/>
              </w:rPr>
            </w:pPr>
            <w:r w:rsidRPr="00060C7A">
              <w:rPr>
                <w:rFonts w:ascii="Century Gothic" w:hAnsi="Century Gothic"/>
                <w:sz w:val="20"/>
                <w:szCs w:val="20"/>
              </w:rPr>
              <w:t>92 per cent</w:t>
            </w:r>
          </w:p>
        </w:tc>
      </w:tr>
    </w:tbl>
    <w:p w:rsidR="00060C7A" w:rsidRDefault="00060C7A" w:rsidP="00060C7A">
      <w:pPr>
        <w:pStyle w:val="Para0"/>
        <w:spacing w:before="120" w:after="120" w:line="240" w:lineRule="auto"/>
        <w:rPr>
          <w:rFonts w:ascii="Century Gothic" w:hAnsi="Century Gothic"/>
          <w:b/>
        </w:rPr>
      </w:pPr>
    </w:p>
    <w:p w:rsidR="00060C7A" w:rsidRPr="00873D01" w:rsidRDefault="00060C7A" w:rsidP="00060C7A">
      <w:pPr>
        <w:pStyle w:val="Para0"/>
        <w:spacing w:before="120" w:after="120" w:line="240" w:lineRule="auto"/>
        <w:rPr>
          <w:rFonts w:ascii="Century Gothic" w:hAnsi="Century Gothic"/>
          <w:b/>
        </w:rPr>
      </w:pPr>
      <w:r w:rsidRPr="00873D01">
        <w:rPr>
          <w:rFonts w:ascii="Century Gothic" w:hAnsi="Century Gothic"/>
          <w:b/>
        </w:rPr>
        <w:t>WATERBIRDS</w:t>
      </w:r>
      <w:r w:rsidRPr="00873D01">
        <w:rPr>
          <w:rFonts w:ascii="Century Gothic" w:hAnsi="Century Gothic"/>
          <w:b/>
        </w:rPr>
        <w:tab/>
      </w:r>
    </w:p>
    <w:p w:rsidR="00060C7A" w:rsidRPr="00873D01" w:rsidRDefault="00060C7A" w:rsidP="00060C7A">
      <w:pPr>
        <w:pStyle w:val="Para0"/>
        <w:spacing w:before="120" w:after="120" w:line="240" w:lineRule="auto"/>
        <w:rPr>
          <w:rFonts w:ascii="Century Gothic" w:hAnsi="Century Gothic"/>
        </w:rPr>
      </w:pPr>
      <w:r w:rsidRPr="00873D01">
        <w:rPr>
          <w:rFonts w:ascii="Century Gothic" w:hAnsi="Century Gothic"/>
        </w:rPr>
        <w:t>Maintain current species diversity</w:t>
      </w:r>
    </w:p>
    <w:p w:rsidR="00060C7A" w:rsidRPr="00873D01" w:rsidRDefault="00060C7A" w:rsidP="00060C7A">
      <w:pPr>
        <w:pStyle w:val="Para0"/>
        <w:spacing w:before="120" w:after="120" w:line="240" w:lineRule="auto"/>
        <w:rPr>
          <w:rFonts w:ascii="Century Gothic" w:hAnsi="Century Gothic"/>
        </w:rPr>
      </w:pPr>
      <w:r w:rsidRPr="00873D01">
        <w:rPr>
          <w:rFonts w:ascii="Century Gothic" w:hAnsi="Century Gothic"/>
        </w:rPr>
        <w:t xml:space="preserve">Increase Basin-wide abundance of </w:t>
      </w:r>
      <w:proofErr w:type="spellStart"/>
      <w:r w:rsidRPr="00873D01">
        <w:rPr>
          <w:rFonts w:ascii="Century Gothic" w:hAnsi="Century Gothic"/>
        </w:rPr>
        <w:t>waterbirds</w:t>
      </w:r>
      <w:proofErr w:type="spellEnd"/>
      <w:r w:rsidRPr="00873D01">
        <w:rPr>
          <w:rFonts w:ascii="Century Gothic" w:hAnsi="Century Gothic"/>
        </w:rPr>
        <w:t xml:space="preserve"> by 20–25</w:t>
      </w:r>
      <w:r>
        <w:rPr>
          <w:rFonts w:ascii="Century Gothic" w:hAnsi="Century Gothic"/>
        </w:rPr>
        <w:t xml:space="preserve"> per cent</w:t>
      </w:r>
      <w:r w:rsidRPr="00873D01">
        <w:rPr>
          <w:rFonts w:ascii="Century Gothic" w:hAnsi="Century Gothic"/>
        </w:rPr>
        <w:t xml:space="preserve"> by 2024</w:t>
      </w:r>
    </w:p>
    <w:p w:rsidR="00060C7A" w:rsidRPr="00873D01" w:rsidRDefault="00060C7A" w:rsidP="00060C7A">
      <w:pPr>
        <w:pStyle w:val="Para0"/>
        <w:spacing w:before="120" w:after="120" w:line="240" w:lineRule="auto"/>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t>
      </w:r>
      <w:proofErr w:type="spellStart"/>
      <w:r w:rsidRPr="00873D01">
        <w:rPr>
          <w:rFonts w:ascii="Century Gothic" w:hAnsi="Century Gothic"/>
        </w:rPr>
        <w:t>waterbirds</w:t>
      </w:r>
      <w:proofErr w:type="spellEnd"/>
    </w:p>
    <w:p w:rsidR="00060C7A" w:rsidRDefault="00060C7A" w:rsidP="00060C7A">
      <w:pPr>
        <w:pStyle w:val="Para0"/>
        <w:spacing w:before="120" w:after="120" w:line="240" w:lineRule="auto"/>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t>
      </w:r>
      <w:proofErr w:type="spellStart"/>
      <w:r w:rsidRPr="00873D01">
        <w:rPr>
          <w:rFonts w:ascii="Century Gothic" w:hAnsi="Century Gothic"/>
        </w:rPr>
        <w:t>waterbird</w:t>
      </w:r>
      <w:proofErr w:type="spellEnd"/>
      <w:r w:rsidRPr="00873D01">
        <w:rPr>
          <w:rFonts w:ascii="Century Gothic" w:hAnsi="Century Gothic"/>
        </w:rPr>
        <w:t xml:space="preserve"> species</w:t>
      </w:r>
    </w:p>
    <w:p w:rsidR="00060C7A" w:rsidRDefault="00060C7A" w:rsidP="00060C7A">
      <w:pPr>
        <w:pStyle w:val="Para0"/>
        <w:spacing w:before="120" w:after="120" w:line="240" w:lineRule="auto"/>
        <w:rPr>
          <w:rFonts w:ascii="Century Gothic" w:hAnsi="Century Gothic"/>
        </w:rPr>
      </w:pPr>
      <w:r>
        <w:rPr>
          <w:rFonts w:ascii="Century Gothic" w:hAnsi="Century Gothic"/>
        </w:rPr>
        <w:t>By</w:t>
      </w:r>
      <w:r w:rsidRPr="00CB1C63">
        <w:rPr>
          <w:rFonts w:ascii="Century Gothic" w:hAnsi="Century Gothic"/>
        </w:rPr>
        <w:t xml:space="preserve"> 2019, at a minimum, to maintain populations in the Coorong, Lakes Albert and Alexandrina of the following four key species: curlew sandpiper, greenshank, red-necked stint and sharp-tailed sandpiper, at levels recorded between 2000 and 2014.</w:t>
      </w:r>
    </w:p>
    <w:p w:rsidR="00060C7A" w:rsidRPr="00060C7A" w:rsidRDefault="00060C7A" w:rsidP="00060C7A">
      <w:pPr>
        <w:rPr>
          <w:rFonts w:ascii="Century Gothic" w:hAnsi="Century Gothic"/>
          <w:b/>
          <w:sz w:val="20"/>
          <w:szCs w:val="20"/>
        </w:rPr>
      </w:pPr>
      <w:r>
        <w:rPr>
          <w:rFonts w:ascii="Century Gothic" w:hAnsi="Century Gothic"/>
          <w:b/>
        </w:rPr>
        <w:br w:type="page"/>
      </w:r>
      <w:r w:rsidRPr="00060C7A">
        <w:rPr>
          <w:rFonts w:ascii="Century Gothic" w:hAnsi="Century Gothic"/>
          <w:b/>
          <w:sz w:val="20"/>
          <w:szCs w:val="20"/>
        </w:rPr>
        <w:lastRenderedPageBreak/>
        <w:t>Important Basin environmental assets for waterbirds in the Lower Murray</w:t>
      </w:r>
    </w:p>
    <w:tbl>
      <w:tblPr>
        <w:tblStyle w:val="MDBAsimpletable"/>
        <w:tblW w:w="9639" w:type="dxa"/>
        <w:tblLayout w:type="fixed"/>
        <w:tblLook w:val="04A0"/>
      </w:tblPr>
      <w:tblGrid>
        <w:gridCol w:w="2694"/>
        <w:gridCol w:w="1389"/>
        <w:gridCol w:w="1389"/>
        <w:gridCol w:w="1389"/>
        <w:gridCol w:w="1389"/>
        <w:gridCol w:w="1389"/>
      </w:tblGrid>
      <w:tr w:rsidR="00060C7A" w:rsidRPr="00060C7A" w:rsidTr="00E51CFE">
        <w:trPr>
          <w:cnfStyle w:val="100000000000"/>
          <w:trHeight w:val="1038"/>
          <w:tblHeader/>
        </w:trPr>
        <w:tc>
          <w:tcPr>
            <w:tcW w:w="2694" w:type="dxa"/>
            <w:tcBorders>
              <w:top w:val="nil"/>
              <w:left w:val="nil"/>
              <w:bottom w:val="nil"/>
              <w:right w:val="single" w:sz="2" w:space="0" w:color="ADE1DB"/>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Environmental asset</w:t>
            </w:r>
          </w:p>
        </w:tc>
        <w:tc>
          <w:tcPr>
            <w:tcW w:w="1389" w:type="dxa"/>
            <w:tcBorders>
              <w:top w:val="nil"/>
              <w:left w:val="single" w:sz="2" w:space="0" w:color="ADE1DB"/>
              <w:bottom w:val="nil"/>
              <w:right w:val="single" w:sz="2" w:space="0" w:color="ADE1DB"/>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 xml:space="preserve">Total </w:t>
            </w:r>
            <w:r w:rsidRPr="00060C7A">
              <w:rPr>
                <w:rFonts w:ascii="Century Gothic" w:hAnsi="Century Gothic"/>
                <w:sz w:val="20"/>
                <w:szCs w:val="20"/>
              </w:rPr>
              <w:br/>
              <w:t>abundance and diversity</w:t>
            </w:r>
          </w:p>
        </w:tc>
        <w:tc>
          <w:tcPr>
            <w:tcW w:w="1389" w:type="dxa"/>
            <w:tcBorders>
              <w:top w:val="nil"/>
              <w:left w:val="single" w:sz="2" w:space="0" w:color="ADE1DB"/>
              <w:bottom w:val="nil"/>
              <w:right w:val="single" w:sz="2" w:space="0" w:color="ADE1DB"/>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Drought refuge</w:t>
            </w:r>
          </w:p>
        </w:tc>
        <w:tc>
          <w:tcPr>
            <w:tcW w:w="1389" w:type="dxa"/>
            <w:tcBorders>
              <w:top w:val="nil"/>
              <w:left w:val="single" w:sz="2" w:space="0" w:color="ADE1DB"/>
              <w:bottom w:val="nil"/>
              <w:right w:val="single" w:sz="2" w:space="0" w:color="ADE1DB"/>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 xml:space="preserve">Colonial </w:t>
            </w:r>
            <w:r w:rsidRPr="00060C7A">
              <w:rPr>
                <w:rFonts w:ascii="Century Gothic" w:hAnsi="Century Gothic"/>
                <w:sz w:val="20"/>
                <w:szCs w:val="20"/>
              </w:rPr>
              <w:br/>
              <w:t>waterbird</w:t>
            </w:r>
            <w:r w:rsidRPr="00060C7A">
              <w:rPr>
                <w:rFonts w:ascii="Century Gothic" w:hAnsi="Century Gothic"/>
                <w:sz w:val="20"/>
                <w:szCs w:val="20"/>
              </w:rPr>
              <w:br/>
              <w:t xml:space="preserve"> breeding</w:t>
            </w:r>
          </w:p>
        </w:tc>
        <w:tc>
          <w:tcPr>
            <w:tcW w:w="1389" w:type="dxa"/>
            <w:tcBorders>
              <w:top w:val="nil"/>
              <w:left w:val="single" w:sz="2" w:space="0" w:color="ADE1DB"/>
              <w:bottom w:val="nil"/>
              <w:right w:val="nil"/>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Shorebird abundance</w:t>
            </w:r>
          </w:p>
        </w:tc>
        <w:tc>
          <w:tcPr>
            <w:tcW w:w="1389" w:type="dxa"/>
            <w:tcBorders>
              <w:top w:val="nil"/>
              <w:left w:val="single" w:sz="2" w:space="0" w:color="ADE1DB"/>
              <w:bottom w:val="nil"/>
              <w:right w:val="nil"/>
            </w:tcBorders>
            <w:shd w:val="clear" w:color="auto" w:fill="00A18E"/>
            <w:vAlign w:val="center"/>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 xml:space="preserve">In scope for </w:t>
            </w:r>
            <w:proofErr w:type="spellStart"/>
            <w:r w:rsidRPr="00060C7A">
              <w:rPr>
                <w:rFonts w:ascii="Century Gothic" w:hAnsi="Century Gothic"/>
                <w:sz w:val="20"/>
                <w:szCs w:val="20"/>
              </w:rPr>
              <w:t>C’th</w:t>
            </w:r>
            <w:proofErr w:type="spellEnd"/>
            <w:r w:rsidRPr="00060C7A">
              <w:rPr>
                <w:rFonts w:ascii="Century Gothic" w:hAnsi="Century Gothic"/>
                <w:sz w:val="20"/>
                <w:szCs w:val="20"/>
              </w:rPr>
              <w:t xml:space="preserve"> watering</w:t>
            </w:r>
          </w:p>
        </w:tc>
      </w:tr>
      <w:tr w:rsidR="00060C7A" w:rsidRPr="00060C7A" w:rsidTr="00E51CFE">
        <w:trPr>
          <w:cnfStyle w:val="000000100000"/>
          <w:trHeight w:val="767"/>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jc w:val="left"/>
              <w:rPr>
                <w:rFonts w:ascii="Century Gothic" w:hAnsi="Century Gothic"/>
              </w:rPr>
            </w:pPr>
            <w:r w:rsidRPr="00060C7A">
              <w:rPr>
                <w:rFonts w:ascii="Century Gothic" w:hAnsi="Century Gothic"/>
              </w:rPr>
              <w:t>Coorong, Lower Lakes and Murray Mouth</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jc w:val="left"/>
              <w:rPr>
                <w:rFonts w:ascii="Century Gothic" w:hAnsi="Century Gothic"/>
              </w:rPr>
            </w:pPr>
            <w:proofErr w:type="spellStart"/>
            <w:r w:rsidRPr="00060C7A">
              <w:rPr>
                <w:rFonts w:ascii="Century Gothic" w:hAnsi="Century Gothic"/>
              </w:rPr>
              <w:t>Pyap</w:t>
            </w:r>
            <w:proofErr w:type="spellEnd"/>
            <w:r w:rsidRPr="00060C7A">
              <w:rPr>
                <w:rFonts w:ascii="Century Gothic" w:hAnsi="Century Gothic"/>
              </w:rPr>
              <w:t xml:space="preserve"> Lagoon </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jc w:val="left"/>
              <w:rPr>
                <w:rFonts w:ascii="Century Gothic" w:hAnsi="Century Gothic"/>
              </w:rPr>
            </w:pPr>
            <w:proofErr w:type="spellStart"/>
            <w:r w:rsidRPr="00060C7A">
              <w:rPr>
                <w:rFonts w:ascii="Century Gothic" w:hAnsi="Century Gothic"/>
              </w:rPr>
              <w:t>Noora</w:t>
            </w:r>
            <w:proofErr w:type="spellEnd"/>
            <w:r w:rsidRPr="00060C7A">
              <w:rPr>
                <w:rFonts w:ascii="Century Gothic" w:hAnsi="Century Gothic"/>
              </w:rPr>
              <w:t xml:space="preserve"> evaporation Basin</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No</w:t>
            </w:r>
          </w:p>
        </w:tc>
      </w:tr>
      <w:tr w:rsidR="00060C7A" w:rsidRPr="00060C7A" w:rsidTr="00E51CFE">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jc w:val="left"/>
              <w:rPr>
                <w:rFonts w:ascii="Century Gothic" w:hAnsi="Century Gothic"/>
              </w:rPr>
            </w:pPr>
            <w:r w:rsidRPr="00060C7A">
              <w:rPr>
                <w:rFonts w:ascii="Century Gothic" w:hAnsi="Century Gothic"/>
              </w:rPr>
              <w:t>Lindsay–Wallpolla–Chowilla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ind w:left="369" w:hanging="369"/>
              <w:jc w:val="left"/>
              <w:rPr>
                <w:rFonts w:ascii="Century Gothic" w:hAnsi="Century Gothic"/>
              </w:rPr>
            </w:pPr>
            <w:r w:rsidRPr="00060C7A">
              <w:rPr>
                <w:rFonts w:ascii="Century Gothic" w:hAnsi="Century Gothic"/>
              </w:rPr>
              <w:t>Hattah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ind w:left="369" w:hanging="369"/>
              <w:jc w:val="left"/>
              <w:rPr>
                <w:rFonts w:ascii="Century Gothic" w:hAnsi="Century Gothic"/>
              </w:rPr>
            </w:pPr>
            <w:r w:rsidRPr="00060C7A">
              <w:rPr>
                <w:rFonts w:ascii="Century Gothic" w:hAnsi="Century Gothic"/>
              </w:rPr>
              <w:t>Darling Anabranch</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jc w:val="left"/>
              <w:rPr>
                <w:rFonts w:ascii="Century Gothic" w:hAnsi="Century Gothic"/>
              </w:rPr>
            </w:pPr>
            <w:r w:rsidRPr="00060C7A">
              <w:rPr>
                <w:rFonts w:ascii="Century Gothic" w:hAnsi="Century Gothic"/>
              </w:rPr>
              <w:t>River Murray and Euston Lakes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r w:rsidR="00060C7A" w:rsidRPr="00060C7A" w:rsidTr="00E51CFE">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pStyle w:val="ListNumber"/>
              <w:numPr>
                <w:ilvl w:val="0"/>
                <w:numId w:val="0"/>
              </w:numPr>
              <w:spacing w:before="20" w:after="20" w:line="280" w:lineRule="exact"/>
              <w:ind w:left="369" w:hanging="369"/>
              <w:jc w:val="left"/>
              <w:rPr>
                <w:rFonts w:ascii="Century Gothic" w:hAnsi="Century Gothic"/>
              </w:rPr>
            </w:pPr>
            <w:r w:rsidRPr="00060C7A">
              <w:rPr>
                <w:rFonts w:ascii="Century Gothic" w:hAnsi="Century Gothic"/>
              </w:rPr>
              <w:t>Kerang Wetlands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r w:rsidRPr="00060C7A">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060C7A" w:rsidRPr="00060C7A" w:rsidRDefault="00060C7A" w:rsidP="00E51CFE">
            <w:pPr>
              <w:spacing w:before="20" w:after="20"/>
              <w:rPr>
                <w:rFonts w:ascii="Century Gothic" w:hAnsi="Century Gothic" w:cs="Arial"/>
                <w:sz w:val="20"/>
                <w:szCs w:val="20"/>
              </w:rPr>
            </w:pPr>
            <w:r w:rsidRPr="00060C7A">
              <w:rPr>
                <w:rFonts w:ascii="Century Gothic" w:hAnsi="Century Gothic" w:cs="Arial"/>
                <w:sz w:val="20"/>
                <w:szCs w:val="20"/>
              </w:rPr>
              <w:t>Yes</w:t>
            </w:r>
          </w:p>
        </w:tc>
      </w:tr>
    </w:tbl>
    <w:p w:rsidR="00060C7A" w:rsidRPr="00BF2463" w:rsidRDefault="00060C7A" w:rsidP="00060C7A">
      <w:pPr>
        <w:pStyle w:val="Para0"/>
        <w:spacing w:before="120" w:after="120" w:line="240" w:lineRule="auto"/>
        <w:rPr>
          <w:rFonts w:ascii="Century Gothic" w:hAnsi="Century Gothic"/>
          <w:b/>
        </w:rPr>
      </w:pPr>
    </w:p>
    <w:p w:rsidR="00060C7A" w:rsidRPr="00873D01" w:rsidRDefault="00060C7A" w:rsidP="00060C7A">
      <w:pPr>
        <w:pStyle w:val="Para0"/>
        <w:spacing w:before="120" w:after="120" w:line="240" w:lineRule="auto"/>
        <w:rPr>
          <w:rFonts w:ascii="Century Gothic" w:hAnsi="Century Gothic"/>
          <w:b/>
        </w:rPr>
      </w:pPr>
      <w:r w:rsidRPr="00873D01">
        <w:rPr>
          <w:rFonts w:ascii="Century Gothic" w:hAnsi="Century Gothic"/>
          <w:b/>
        </w:rPr>
        <w:t>FISH</w:t>
      </w:r>
      <w:r w:rsidRPr="00873D01">
        <w:rPr>
          <w:rFonts w:ascii="Century Gothic" w:hAnsi="Century Gothic"/>
          <w:b/>
        </w:rPr>
        <w:tab/>
      </w:r>
    </w:p>
    <w:p w:rsidR="00060C7A" w:rsidRPr="00873D01" w:rsidRDefault="00060C7A" w:rsidP="00060C7A">
      <w:pPr>
        <w:pStyle w:val="Para0"/>
        <w:spacing w:before="120" w:after="120" w:line="240" w:lineRule="auto"/>
        <w:rPr>
          <w:rFonts w:ascii="Century Gothic" w:hAnsi="Century Gothic"/>
        </w:rPr>
      </w:pPr>
      <w:r w:rsidRPr="00873D01">
        <w:rPr>
          <w:rFonts w:ascii="Century Gothic" w:hAnsi="Century Gothic"/>
        </w:rPr>
        <w:t>No loss of native species</w:t>
      </w:r>
    </w:p>
    <w:p w:rsidR="00060C7A" w:rsidRPr="00873D01" w:rsidRDefault="00060C7A" w:rsidP="00060C7A">
      <w:pPr>
        <w:pStyle w:val="Para0"/>
        <w:spacing w:before="120" w:after="12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060C7A" w:rsidRPr="003F0782" w:rsidRDefault="00060C7A" w:rsidP="00060C7A">
      <w:pPr>
        <w:pStyle w:val="ListBullet"/>
        <w:numPr>
          <w:ilvl w:val="0"/>
          <w:numId w:val="30"/>
        </w:numPr>
        <w:spacing w:after="20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at pre-2007 levels and breeding success every 1–2 years</w:t>
      </w:r>
    </w:p>
    <w:p w:rsidR="00060C7A" w:rsidRPr="003F0782" w:rsidRDefault="00060C7A" w:rsidP="00060C7A">
      <w:pPr>
        <w:pStyle w:val="ListBullet"/>
        <w:numPr>
          <w:ilvl w:val="0"/>
          <w:numId w:val="30"/>
        </w:numPr>
        <w:spacing w:after="20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xml:space="preserve"> per cent</w:t>
      </w:r>
      <w:r w:rsidRPr="003F0782">
        <w:rPr>
          <w:rFonts w:ascii="Century Gothic" w:hAnsi="Century Gothic"/>
        </w:rPr>
        <w:t xml:space="preserve"> of years</w:t>
      </w:r>
    </w:p>
    <w:p w:rsidR="00060C7A" w:rsidRDefault="00060C7A" w:rsidP="00060C7A">
      <w:pPr>
        <w:pStyle w:val="Para0"/>
        <w:spacing w:before="120" w:after="120" w:line="240" w:lineRule="auto"/>
        <w:rPr>
          <w:rFonts w:ascii="Century Gothic" w:hAnsi="Century Gothic"/>
        </w:rPr>
      </w:pPr>
      <w:r>
        <w:rPr>
          <w:rFonts w:ascii="Century Gothic" w:hAnsi="Century Gothic"/>
        </w:rPr>
        <w:t>Increased movements of key species</w:t>
      </w:r>
    </w:p>
    <w:p w:rsidR="00060C7A" w:rsidRDefault="00060C7A" w:rsidP="00060C7A">
      <w:pPr>
        <w:pStyle w:val="Para0"/>
        <w:spacing w:before="120" w:after="120" w:line="240" w:lineRule="auto"/>
        <w:rPr>
          <w:rFonts w:ascii="Century Gothic" w:hAnsi="Century Gothic"/>
        </w:rPr>
      </w:pPr>
      <w:r w:rsidRPr="00873D01">
        <w:rPr>
          <w:rFonts w:ascii="Century Gothic" w:hAnsi="Century Gothic"/>
        </w:rPr>
        <w:t>Expanded distribution of key species and populations</w:t>
      </w:r>
    </w:p>
    <w:p w:rsidR="00060C7A" w:rsidRPr="00DC3608" w:rsidRDefault="00060C7A" w:rsidP="00060C7A">
      <w:pPr>
        <w:pStyle w:val="Para0"/>
        <w:spacing w:before="120" w:after="120" w:line="240" w:lineRule="auto"/>
        <w:rPr>
          <w:rFonts w:ascii="Century Gothic" w:hAnsi="Century Gothic"/>
        </w:rPr>
      </w:pPr>
      <w:r>
        <w:rPr>
          <w:rFonts w:ascii="Century Gothic" w:hAnsi="Century Gothic"/>
        </w:rPr>
        <w:t xml:space="preserve">For </w:t>
      </w:r>
      <w:r w:rsidRPr="00DC3608">
        <w:rPr>
          <w:rFonts w:ascii="Century Gothic" w:hAnsi="Century Gothic"/>
        </w:rPr>
        <w:t>estuarine species – additional outcomes are:</w:t>
      </w:r>
    </w:p>
    <w:p w:rsidR="00060C7A" w:rsidRPr="00DC3608" w:rsidRDefault="00060C7A" w:rsidP="00060C7A">
      <w:pPr>
        <w:pStyle w:val="ListBullet"/>
        <w:numPr>
          <w:ilvl w:val="0"/>
          <w:numId w:val="30"/>
        </w:numPr>
        <w:spacing w:after="200" w:line="276" w:lineRule="auto"/>
        <w:contextualSpacing w:val="0"/>
        <w:jc w:val="left"/>
        <w:rPr>
          <w:rFonts w:ascii="Century Gothic" w:hAnsi="Century Gothic"/>
        </w:rPr>
      </w:pPr>
      <w:r>
        <w:rPr>
          <w:rFonts w:ascii="Century Gothic" w:hAnsi="Century Gothic"/>
        </w:rPr>
        <w:t>d</w:t>
      </w:r>
      <w:r w:rsidRPr="00DC3608">
        <w:rPr>
          <w:rFonts w:ascii="Century Gothic" w:hAnsi="Century Gothic"/>
        </w:rPr>
        <w:t>etection  of all estuarine-dependent fish families  throughout 2014–2024</w:t>
      </w:r>
    </w:p>
    <w:p w:rsidR="00060C7A" w:rsidRPr="00DC3608" w:rsidRDefault="00060C7A" w:rsidP="00060C7A">
      <w:pPr>
        <w:pStyle w:val="ListBullet"/>
        <w:numPr>
          <w:ilvl w:val="0"/>
          <w:numId w:val="30"/>
        </w:numPr>
        <w:spacing w:after="200" w:line="276" w:lineRule="auto"/>
        <w:contextualSpacing w:val="0"/>
        <w:jc w:val="left"/>
        <w:rPr>
          <w:rFonts w:ascii="Century Gothic" w:hAnsi="Century Gothic"/>
        </w:rPr>
      </w:pPr>
      <w:r w:rsidRPr="00DC3608">
        <w:rPr>
          <w:rFonts w:ascii="Century Gothic" w:hAnsi="Century Gothic"/>
        </w:rPr>
        <w:t xml:space="preserve">maintenance of annual population abundance (Catch Per Unit Effort – CPUE) of key estuarine prey species (sandy sprat and small-mouthed </w:t>
      </w:r>
      <w:proofErr w:type="spellStart"/>
      <w:r w:rsidRPr="00DC3608">
        <w:rPr>
          <w:rFonts w:ascii="Century Gothic" w:hAnsi="Century Gothic"/>
        </w:rPr>
        <w:t>hardyhead</w:t>
      </w:r>
      <w:proofErr w:type="spellEnd"/>
      <w:r w:rsidRPr="00DC3608">
        <w:rPr>
          <w:rFonts w:ascii="Century Gothic" w:hAnsi="Century Gothic"/>
        </w:rPr>
        <w:t xml:space="preserve">) throughout the Coorong </w:t>
      </w:r>
    </w:p>
    <w:p w:rsidR="00060C7A" w:rsidRPr="00DC3608" w:rsidRDefault="00060C7A" w:rsidP="00060C7A">
      <w:pPr>
        <w:pStyle w:val="ListBullet"/>
        <w:numPr>
          <w:ilvl w:val="0"/>
          <w:numId w:val="30"/>
        </w:numPr>
        <w:spacing w:after="200" w:line="276" w:lineRule="auto"/>
        <w:contextualSpacing w:val="0"/>
        <w:jc w:val="left"/>
        <w:rPr>
          <w:rFonts w:ascii="Century Gothic" w:hAnsi="Century Gothic"/>
        </w:rPr>
      </w:pPr>
      <w:r w:rsidRPr="00DC3608">
        <w:rPr>
          <w:rFonts w:ascii="Century Gothic" w:hAnsi="Century Gothic"/>
        </w:rPr>
        <w:t>detection of a broad spatial distribution of black bream and greenback flounder; with adult black bream and all life stages of greenback flounder present across &gt;50</w:t>
      </w:r>
      <w:r>
        <w:rPr>
          <w:rFonts w:ascii="Century Gothic" w:hAnsi="Century Gothic"/>
        </w:rPr>
        <w:t xml:space="preserve"> per cent</w:t>
      </w:r>
      <w:r w:rsidRPr="00DC3608">
        <w:rPr>
          <w:rFonts w:ascii="Century Gothic" w:hAnsi="Century Gothic"/>
        </w:rPr>
        <w:t xml:space="preserve"> of the Coorong in eight out of 10 years</w:t>
      </w:r>
    </w:p>
    <w:p w:rsidR="00060C7A" w:rsidRPr="00DC3608" w:rsidRDefault="00060C7A" w:rsidP="00060C7A">
      <w:pPr>
        <w:pStyle w:val="ListBullet"/>
        <w:numPr>
          <w:ilvl w:val="0"/>
          <w:numId w:val="30"/>
        </w:numPr>
        <w:spacing w:after="200" w:line="276" w:lineRule="auto"/>
        <w:contextualSpacing w:val="0"/>
        <w:jc w:val="left"/>
        <w:rPr>
          <w:rFonts w:ascii="Century Gothic" w:hAnsi="Century Gothic"/>
        </w:rPr>
      </w:pPr>
      <w:r w:rsidRPr="00DC3608">
        <w:rPr>
          <w:rFonts w:ascii="Century Gothic" w:hAnsi="Century Gothic"/>
        </w:rPr>
        <w:t xml:space="preserve">detection in nine out of 10 years of bi-directional seasonal movements of </w:t>
      </w:r>
      <w:proofErr w:type="spellStart"/>
      <w:r w:rsidRPr="00DC3608">
        <w:rPr>
          <w:rFonts w:ascii="Century Gothic" w:hAnsi="Century Gothic"/>
        </w:rPr>
        <w:t>diadromous</w:t>
      </w:r>
      <w:proofErr w:type="spellEnd"/>
      <w:r w:rsidRPr="00DC3608">
        <w:rPr>
          <w:rFonts w:ascii="Century Gothic" w:hAnsi="Century Gothic"/>
        </w:rPr>
        <w:t xml:space="preserve"> species through the barrages and </w:t>
      </w:r>
      <w:proofErr w:type="spellStart"/>
      <w:r w:rsidRPr="00DC3608">
        <w:rPr>
          <w:rFonts w:ascii="Century Gothic" w:hAnsi="Century Gothic"/>
        </w:rPr>
        <w:t>fishways</w:t>
      </w:r>
      <w:proofErr w:type="spellEnd"/>
      <w:r w:rsidRPr="00DC3608">
        <w:rPr>
          <w:rFonts w:ascii="Century Gothic" w:hAnsi="Century Gothic"/>
        </w:rPr>
        <w:t xml:space="preserve"> between the Lower Lakes and Coorong</w:t>
      </w:r>
    </w:p>
    <w:p w:rsidR="00060C7A" w:rsidRPr="00DC3608" w:rsidRDefault="00060C7A" w:rsidP="00060C7A">
      <w:pPr>
        <w:pStyle w:val="ListBullet"/>
        <w:numPr>
          <w:ilvl w:val="0"/>
          <w:numId w:val="30"/>
        </w:numPr>
        <w:spacing w:after="200" w:line="276" w:lineRule="auto"/>
        <w:contextualSpacing w:val="0"/>
        <w:jc w:val="left"/>
        <w:rPr>
          <w:rFonts w:ascii="Century Gothic" w:hAnsi="Century Gothic"/>
        </w:rPr>
      </w:pPr>
      <w:r w:rsidRPr="00DC3608">
        <w:rPr>
          <w:rFonts w:ascii="Century Gothic" w:hAnsi="Century Gothic"/>
        </w:rPr>
        <w:t>increased rates of native fish passage in 2019–2024 compared to 2014–2019</w:t>
      </w:r>
    </w:p>
    <w:p w:rsidR="00060C7A" w:rsidRPr="00060C7A" w:rsidRDefault="00060C7A" w:rsidP="00E51CFE">
      <w:pPr>
        <w:pStyle w:val="ListBullet"/>
        <w:numPr>
          <w:ilvl w:val="0"/>
          <w:numId w:val="30"/>
        </w:numPr>
        <w:spacing w:after="0" w:line="276" w:lineRule="auto"/>
        <w:contextualSpacing w:val="0"/>
        <w:jc w:val="left"/>
        <w:rPr>
          <w:rFonts w:ascii="Century Gothic" w:hAnsi="Century Gothic"/>
        </w:rPr>
      </w:pPr>
      <w:proofErr w:type="gramStart"/>
      <w:r w:rsidRPr="00DC3608">
        <w:rPr>
          <w:rFonts w:ascii="Century Gothic" w:hAnsi="Century Gothic"/>
        </w:rPr>
        <w:t>improved</w:t>
      </w:r>
      <w:proofErr w:type="gramEnd"/>
      <w:r w:rsidRPr="00DC3608">
        <w:rPr>
          <w:rFonts w:ascii="Century Gothic" w:hAnsi="Century Gothic"/>
        </w:rPr>
        <w:t xml:space="preserve"> population structure of mulloway, including spawning aggregations at the Murray mouth in six out of </w:t>
      </w:r>
      <w:r w:rsidRPr="00060C7A">
        <w:rPr>
          <w:rFonts w:ascii="Century Gothic" w:hAnsi="Century Gothic"/>
        </w:rPr>
        <w:t xml:space="preserve">10 years and recruitment in at least five out of 10 years.  </w:t>
      </w:r>
    </w:p>
    <w:p w:rsidR="00060C7A" w:rsidRPr="00060C7A" w:rsidRDefault="00060C7A" w:rsidP="00060C7A">
      <w:pPr>
        <w:pStyle w:val="Para0"/>
        <w:spacing w:before="120" w:after="120" w:line="240" w:lineRule="auto"/>
        <w:rPr>
          <w:rFonts w:ascii="Century Gothic" w:hAnsi="Century Gothic"/>
          <w:b/>
        </w:rPr>
      </w:pPr>
      <w:r w:rsidRPr="00060C7A">
        <w:rPr>
          <w:rFonts w:ascii="Century Gothic" w:hAnsi="Century Gothic"/>
          <w:b/>
        </w:rPr>
        <w:lastRenderedPageBreak/>
        <w:t>Key species for the Lower Murray include:</w:t>
      </w:r>
    </w:p>
    <w:tbl>
      <w:tblPr>
        <w:tblStyle w:val="MDBAsimpletable"/>
        <w:tblW w:w="9498" w:type="dxa"/>
        <w:tblLayout w:type="fixed"/>
        <w:tblLook w:val="04A0"/>
      </w:tblPr>
      <w:tblGrid>
        <w:gridCol w:w="3261"/>
        <w:gridCol w:w="4678"/>
        <w:gridCol w:w="1559"/>
      </w:tblGrid>
      <w:tr w:rsidR="00060C7A" w:rsidRPr="00060C7A" w:rsidTr="00E51CFE">
        <w:trPr>
          <w:cnfStyle w:val="100000000000"/>
          <w:trHeight w:val="479"/>
          <w:tblHeader/>
        </w:trPr>
        <w:tc>
          <w:tcPr>
            <w:tcW w:w="3261" w:type="dxa"/>
            <w:tcBorders>
              <w:top w:val="nil"/>
              <w:left w:val="nil"/>
              <w:bottom w:val="nil"/>
              <w:right w:val="single" w:sz="2" w:space="0" w:color="ADE1DB"/>
            </w:tcBorders>
            <w:shd w:val="clear" w:color="auto" w:fill="00A18E"/>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Species</w:t>
            </w:r>
          </w:p>
        </w:tc>
        <w:tc>
          <w:tcPr>
            <w:tcW w:w="4678" w:type="dxa"/>
            <w:tcBorders>
              <w:top w:val="nil"/>
              <w:left w:val="single" w:sz="2" w:space="0" w:color="ADE1DB"/>
              <w:bottom w:val="nil"/>
              <w:right w:val="single" w:sz="2" w:space="0" w:color="ADE1DB"/>
            </w:tcBorders>
            <w:shd w:val="clear" w:color="auto" w:fill="00A18E"/>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Specific outcomes</w:t>
            </w:r>
          </w:p>
        </w:tc>
        <w:tc>
          <w:tcPr>
            <w:tcW w:w="1559" w:type="dxa"/>
            <w:tcBorders>
              <w:top w:val="nil"/>
              <w:left w:val="single" w:sz="2" w:space="0" w:color="ADE1DB"/>
              <w:bottom w:val="nil"/>
              <w:right w:val="nil"/>
            </w:tcBorders>
            <w:shd w:val="clear" w:color="auto" w:fill="00A18E"/>
          </w:tcPr>
          <w:p w:rsidR="00060C7A" w:rsidRPr="00060C7A" w:rsidRDefault="00060C7A" w:rsidP="00C70838">
            <w:pPr>
              <w:pStyle w:val="TableH1"/>
              <w:spacing w:beforeLines="60" w:afterLines="60" w:line="240" w:lineRule="exact"/>
              <w:jc w:val="left"/>
              <w:rPr>
                <w:rFonts w:ascii="Century Gothic" w:hAnsi="Century Gothic"/>
                <w:sz w:val="20"/>
                <w:szCs w:val="20"/>
              </w:rPr>
            </w:pPr>
            <w:r w:rsidRPr="00060C7A">
              <w:rPr>
                <w:rFonts w:ascii="Century Gothic" w:hAnsi="Century Gothic"/>
                <w:sz w:val="20"/>
                <w:szCs w:val="20"/>
              </w:rPr>
              <w:t xml:space="preserve">In-scope for </w:t>
            </w:r>
            <w:proofErr w:type="spellStart"/>
            <w:r w:rsidRPr="00060C7A">
              <w:rPr>
                <w:rFonts w:ascii="Century Gothic" w:hAnsi="Century Gothic"/>
                <w:sz w:val="20"/>
                <w:szCs w:val="20"/>
              </w:rPr>
              <w:t>C’th</w:t>
            </w:r>
            <w:proofErr w:type="spellEnd"/>
            <w:r w:rsidRPr="00060C7A">
              <w:rPr>
                <w:rFonts w:ascii="Century Gothic" w:hAnsi="Century Gothic"/>
                <w:sz w:val="20"/>
                <w:szCs w:val="20"/>
              </w:rPr>
              <w:t xml:space="preserve"> watering?</w:t>
            </w:r>
          </w:p>
        </w:tc>
      </w:tr>
      <w:tr w:rsidR="00060C7A" w:rsidRPr="00060C7A" w:rsidTr="00E51CFE">
        <w:trPr>
          <w:cnfStyle w:val="000000100000"/>
        </w:trPr>
        <w:tc>
          <w:tcPr>
            <w:tcW w:w="3261" w:type="dxa"/>
            <w:vAlign w:val="center"/>
          </w:tcPr>
          <w:p w:rsidR="00060C7A" w:rsidRPr="00060C7A" w:rsidRDefault="00060C7A" w:rsidP="00EA1768">
            <w:pPr>
              <w:pStyle w:val="Para0"/>
              <w:spacing w:after="0" w:line="240" w:lineRule="auto"/>
              <w:jc w:val="left"/>
              <w:rPr>
                <w:rFonts w:ascii="Century Gothic" w:hAnsi="Century Gothic"/>
              </w:rPr>
            </w:pPr>
            <w:proofErr w:type="spellStart"/>
            <w:r w:rsidRPr="00060C7A">
              <w:rPr>
                <w:rFonts w:ascii="Century Gothic" w:hAnsi="Century Gothic"/>
              </w:rPr>
              <w:t>Diadromous</w:t>
            </w:r>
            <w:proofErr w:type="spellEnd"/>
            <w:r w:rsidRPr="00060C7A">
              <w:rPr>
                <w:rFonts w:ascii="Century Gothic" w:hAnsi="Century Gothic"/>
              </w:rPr>
              <w:t xml:space="preserve"> species (</w:t>
            </w:r>
            <w:proofErr w:type="spellStart"/>
            <w:r w:rsidRPr="00060C7A">
              <w:rPr>
                <w:rFonts w:ascii="Century Gothic" w:hAnsi="Century Gothic"/>
              </w:rPr>
              <w:t>Congolli</w:t>
            </w:r>
            <w:proofErr w:type="spellEnd"/>
            <w:r w:rsidRPr="00060C7A">
              <w:rPr>
                <w:rFonts w:ascii="Century Gothic" w:hAnsi="Century Gothic"/>
              </w:rPr>
              <w:t>, short-headed and pouched lamprey)</w:t>
            </w:r>
          </w:p>
        </w:tc>
        <w:tc>
          <w:tcPr>
            <w:tcW w:w="4678" w:type="dxa"/>
            <w:vAlign w:val="center"/>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 xml:space="preserve">Upstream expansion facilitated through flows to operate </w:t>
            </w:r>
            <w:proofErr w:type="spellStart"/>
            <w:r w:rsidRPr="00060C7A">
              <w:rPr>
                <w:rFonts w:ascii="Century Gothic" w:hAnsi="Century Gothic"/>
              </w:rPr>
              <w:t>fishways</w:t>
            </w:r>
            <w:proofErr w:type="spellEnd"/>
            <w:r w:rsidRPr="00060C7A">
              <w:rPr>
                <w:rFonts w:ascii="Century Gothic" w:hAnsi="Century Gothic"/>
              </w:rPr>
              <w:t xml:space="preserve">. </w:t>
            </w:r>
          </w:p>
          <w:p w:rsidR="00060C7A" w:rsidRPr="00060C7A" w:rsidRDefault="00060C7A" w:rsidP="00EA1768">
            <w:pPr>
              <w:pStyle w:val="Para0"/>
              <w:spacing w:after="0" w:line="240" w:lineRule="auto"/>
              <w:jc w:val="left"/>
              <w:rPr>
                <w:rFonts w:ascii="Century Gothic" w:hAnsi="Century Gothic"/>
              </w:rPr>
            </w:pP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 xml:space="preserve">Flathead </w:t>
            </w:r>
            <w:proofErr w:type="spellStart"/>
            <w:r w:rsidRPr="00060C7A">
              <w:rPr>
                <w:rFonts w:ascii="Century Gothic" w:hAnsi="Century Gothic"/>
              </w:rPr>
              <w:t>galaxias</w:t>
            </w:r>
            <w:proofErr w:type="spellEnd"/>
            <w:r w:rsidRPr="00060C7A">
              <w:rPr>
                <w:rFonts w:ascii="Century Gothic" w:hAnsi="Century Gothic"/>
              </w:rPr>
              <w:t xml:space="preserve"> (</w:t>
            </w:r>
            <w:proofErr w:type="spellStart"/>
            <w:r w:rsidRPr="00060C7A">
              <w:rPr>
                <w:rFonts w:ascii="Century Gothic" w:hAnsi="Century Gothic"/>
                <w:i/>
              </w:rPr>
              <w:t>Galaxias</w:t>
            </w:r>
            <w:proofErr w:type="spellEnd"/>
            <w:r w:rsidRPr="00060C7A">
              <w:rPr>
                <w:rFonts w:ascii="Century Gothic" w:hAnsi="Century Gothic"/>
                <w:i/>
              </w:rPr>
              <w:t xml:space="preserve"> </w:t>
            </w:r>
            <w:proofErr w:type="spellStart"/>
            <w:r w:rsidRPr="00060C7A">
              <w:rPr>
                <w:rFonts w:ascii="Century Gothic" w:hAnsi="Century Gothic"/>
                <w:i/>
              </w:rPr>
              <w:t>rostratus</w:t>
            </w:r>
            <w:proofErr w:type="spellEnd"/>
            <w:r w:rsidRPr="00060C7A">
              <w:rPr>
                <w:rFonts w:ascii="Century Gothic" w:hAnsi="Century Gothic"/>
              </w:rPr>
              <w:t>)</w:t>
            </w:r>
          </w:p>
        </w:tc>
        <w:tc>
          <w:tcPr>
            <w:tcW w:w="4678" w:type="dxa"/>
          </w:tcPr>
          <w:p w:rsidR="00060C7A" w:rsidRPr="00060C7A" w:rsidRDefault="00060C7A" w:rsidP="00EA1768">
            <w:pPr>
              <w:rPr>
                <w:rFonts w:ascii="Century Gothic" w:hAnsi="Century Gothic"/>
                <w:sz w:val="20"/>
                <w:szCs w:val="20"/>
              </w:rPr>
            </w:pPr>
            <w:r w:rsidRPr="00060C7A">
              <w:rPr>
                <w:rFonts w:ascii="Century Gothic" w:hAnsi="Century Gothic"/>
                <w:sz w:val="20"/>
                <w:szCs w:val="20"/>
              </w:rPr>
              <w:t xml:space="preserve">Expand the core range in the wetlands of the River Murray. </w:t>
            </w:r>
          </w:p>
          <w:p w:rsidR="00060C7A" w:rsidRPr="00060C7A" w:rsidRDefault="00060C7A" w:rsidP="00EA1768">
            <w:pPr>
              <w:rPr>
                <w:rFonts w:ascii="Century Gothic" w:hAnsi="Century Gothic"/>
                <w:sz w:val="20"/>
                <w:szCs w:val="20"/>
              </w:rPr>
            </w:pP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rPr>
          <w:cnfStyle w:val="000000100000"/>
        </w:trPr>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Freshwater catfish (</w:t>
            </w:r>
            <w:proofErr w:type="spellStart"/>
            <w:r w:rsidRPr="00060C7A">
              <w:rPr>
                <w:rFonts w:ascii="Century Gothic" w:hAnsi="Century Gothic"/>
                <w:i/>
              </w:rPr>
              <w:t>Tandanus</w:t>
            </w:r>
            <w:proofErr w:type="spellEnd"/>
            <w:r w:rsidRPr="00060C7A">
              <w:rPr>
                <w:rFonts w:ascii="Century Gothic" w:hAnsi="Century Gothic"/>
                <w:i/>
              </w:rPr>
              <w:t xml:space="preserve"> </w:t>
            </w:r>
            <w:proofErr w:type="spellStart"/>
            <w:r w:rsidRPr="00060C7A">
              <w:rPr>
                <w:rFonts w:ascii="Century Gothic" w:hAnsi="Century Gothic"/>
                <w:i/>
              </w:rPr>
              <w:t>tandanus</w:t>
            </w:r>
            <w:proofErr w:type="spellEnd"/>
            <w:r w:rsidRPr="00060C7A">
              <w:rPr>
                <w:rFonts w:ascii="Century Gothic" w:hAnsi="Century Gothic"/>
              </w:rPr>
              <w:t>)</w:t>
            </w:r>
          </w:p>
        </w:tc>
        <w:tc>
          <w:tcPr>
            <w:tcW w:w="4678" w:type="dxa"/>
          </w:tcPr>
          <w:p w:rsidR="00060C7A" w:rsidRPr="00060C7A" w:rsidRDefault="00060C7A" w:rsidP="00EA1768">
            <w:pPr>
              <w:rPr>
                <w:rFonts w:ascii="Century Gothic" w:hAnsi="Century Gothic"/>
                <w:sz w:val="20"/>
                <w:szCs w:val="20"/>
              </w:rPr>
            </w:pPr>
            <w:r w:rsidRPr="00060C7A">
              <w:rPr>
                <w:rFonts w:ascii="Century Gothic" w:hAnsi="Century Gothic"/>
                <w:sz w:val="20"/>
                <w:szCs w:val="20"/>
              </w:rPr>
              <w:t>-</w:t>
            </w:r>
          </w:p>
        </w:tc>
        <w:tc>
          <w:tcPr>
            <w:tcW w:w="1559" w:type="dxa"/>
          </w:tcPr>
          <w:p w:rsidR="00060C7A" w:rsidRPr="00060C7A" w:rsidRDefault="00E51CFE"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Golden Perch (</w:t>
            </w:r>
            <w:proofErr w:type="spellStart"/>
            <w:r w:rsidRPr="00060C7A">
              <w:rPr>
                <w:rFonts w:ascii="Century Gothic" w:hAnsi="Century Gothic"/>
                <w:i/>
              </w:rPr>
              <w:t>Macquaria</w:t>
            </w:r>
            <w:proofErr w:type="spellEnd"/>
            <w:r w:rsidRPr="00060C7A">
              <w:rPr>
                <w:rFonts w:ascii="Century Gothic" w:hAnsi="Century Gothic"/>
                <w:i/>
              </w:rPr>
              <w:t xml:space="preserve"> </w:t>
            </w:r>
            <w:proofErr w:type="spellStart"/>
            <w:r w:rsidRPr="00060C7A">
              <w:rPr>
                <w:rFonts w:ascii="Century Gothic" w:hAnsi="Century Gothic"/>
                <w:i/>
              </w:rPr>
              <w:t>ambigua</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rPr>
                <w:rFonts w:ascii="Century Gothic" w:hAnsi="Century Gothic"/>
              </w:rPr>
            </w:pPr>
            <w:r w:rsidRPr="00060C7A">
              <w:rPr>
                <w:rFonts w:ascii="Century Gothic" w:hAnsi="Century Gothic"/>
              </w:rPr>
              <w:t>A 10–15 per cent increase of mature fish (of legal take size) in key populations</w:t>
            </w:r>
          </w:p>
        </w:tc>
        <w:tc>
          <w:tcPr>
            <w:tcW w:w="1559" w:type="dxa"/>
          </w:tcPr>
          <w:p w:rsidR="00060C7A" w:rsidRPr="00060C7A" w:rsidRDefault="00060C7A" w:rsidP="00EA1768">
            <w:pPr>
              <w:pStyle w:val="Para0"/>
              <w:tabs>
                <w:tab w:val="left" w:pos="945"/>
              </w:tabs>
              <w:spacing w:after="0" w:line="240" w:lineRule="auto"/>
              <w:jc w:val="left"/>
              <w:rPr>
                <w:rFonts w:ascii="Century Gothic" w:hAnsi="Century Gothic"/>
              </w:rPr>
            </w:pPr>
            <w:r w:rsidRPr="00060C7A">
              <w:rPr>
                <w:rFonts w:ascii="Century Gothic" w:hAnsi="Century Gothic"/>
              </w:rPr>
              <w:t>Yes</w:t>
            </w:r>
          </w:p>
        </w:tc>
      </w:tr>
      <w:tr w:rsidR="00060C7A" w:rsidRPr="00060C7A" w:rsidTr="00E51CFE">
        <w:trPr>
          <w:cnfStyle w:val="000000100000"/>
        </w:trPr>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Murray cod (</w:t>
            </w:r>
            <w:proofErr w:type="spellStart"/>
            <w:r w:rsidRPr="00060C7A">
              <w:rPr>
                <w:rFonts w:ascii="Century Gothic" w:hAnsi="Century Gothic"/>
                <w:i/>
              </w:rPr>
              <w:t>Maccullochella</w:t>
            </w:r>
            <w:proofErr w:type="spellEnd"/>
            <w:r w:rsidRPr="00060C7A">
              <w:rPr>
                <w:rFonts w:ascii="Century Gothic" w:hAnsi="Century Gothic"/>
                <w:i/>
              </w:rPr>
              <w:t xml:space="preserve"> </w:t>
            </w:r>
            <w:proofErr w:type="spellStart"/>
            <w:r w:rsidRPr="00060C7A">
              <w:rPr>
                <w:rFonts w:ascii="Century Gothic" w:hAnsi="Century Gothic"/>
                <w:i/>
              </w:rPr>
              <w:t>peelii</w:t>
            </w:r>
            <w:proofErr w:type="spellEnd"/>
            <w:r w:rsidRPr="00060C7A">
              <w:rPr>
                <w:rFonts w:ascii="Century Gothic" w:hAnsi="Century Gothic"/>
                <w:i/>
              </w:rPr>
              <w:t xml:space="preserve"> </w:t>
            </w:r>
            <w:proofErr w:type="spellStart"/>
            <w:r w:rsidRPr="00060C7A">
              <w:rPr>
                <w:rFonts w:ascii="Century Gothic" w:hAnsi="Century Gothic"/>
                <w:i/>
              </w:rPr>
              <w:t>peelii</w:t>
            </w:r>
            <w:proofErr w:type="spellEnd"/>
            <w:r w:rsidRPr="00060C7A">
              <w:rPr>
                <w:rFonts w:ascii="Century Gothic" w:hAnsi="Century Gothic"/>
              </w:rPr>
              <w:t xml:space="preserve">) </w:t>
            </w:r>
          </w:p>
        </w:tc>
        <w:tc>
          <w:tcPr>
            <w:tcW w:w="4678" w:type="dxa"/>
          </w:tcPr>
          <w:p w:rsidR="00060C7A" w:rsidRPr="00060C7A" w:rsidRDefault="00060C7A" w:rsidP="00EA1768">
            <w:pPr>
              <w:pStyle w:val="Para0"/>
              <w:spacing w:after="0" w:line="240" w:lineRule="auto"/>
              <w:rPr>
                <w:rFonts w:ascii="Century Gothic" w:hAnsi="Century Gothic"/>
              </w:rPr>
            </w:pPr>
            <w:r w:rsidRPr="00060C7A">
              <w:rPr>
                <w:rFonts w:ascii="Century Gothic" w:hAnsi="Century Gothic"/>
              </w:rPr>
              <w:t>A 10–15 per cent increase of mature fish (of legal take size) in key populations</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 xml:space="preserve">Murray </w:t>
            </w:r>
            <w:proofErr w:type="spellStart"/>
            <w:r w:rsidRPr="00060C7A">
              <w:rPr>
                <w:rFonts w:ascii="Century Gothic" w:hAnsi="Century Gothic"/>
              </w:rPr>
              <w:t>hardyhead</w:t>
            </w:r>
            <w:proofErr w:type="spellEnd"/>
            <w:r w:rsidRPr="00060C7A">
              <w:rPr>
                <w:rFonts w:ascii="Century Gothic" w:hAnsi="Century Gothic"/>
              </w:rPr>
              <w:t xml:space="preserve"> (</w:t>
            </w:r>
            <w:proofErr w:type="spellStart"/>
            <w:r w:rsidRPr="00060C7A">
              <w:rPr>
                <w:rFonts w:ascii="Century Gothic" w:hAnsi="Century Gothic"/>
                <w:i/>
              </w:rPr>
              <w:t>Craterocephalus</w:t>
            </w:r>
            <w:proofErr w:type="spellEnd"/>
            <w:r w:rsidRPr="00060C7A">
              <w:rPr>
                <w:rFonts w:ascii="Century Gothic" w:hAnsi="Century Gothic"/>
                <w:i/>
              </w:rPr>
              <w:t xml:space="preserve"> </w:t>
            </w:r>
            <w:proofErr w:type="spellStart"/>
            <w:r w:rsidRPr="00060C7A">
              <w:rPr>
                <w:rFonts w:ascii="Century Gothic" w:hAnsi="Century Gothic"/>
                <w:i/>
              </w:rPr>
              <w:t>fluviatilis</w:t>
            </w:r>
            <w:proofErr w:type="spellEnd"/>
            <w:r w:rsidRPr="00060C7A">
              <w:rPr>
                <w:rFonts w:ascii="Century Gothic" w:hAnsi="Century Gothic"/>
              </w:rPr>
              <w:t>)</w:t>
            </w:r>
          </w:p>
        </w:tc>
        <w:tc>
          <w:tcPr>
            <w:tcW w:w="4678" w:type="dxa"/>
          </w:tcPr>
          <w:p w:rsidR="00060C7A" w:rsidRPr="00060C7A" w:rsidRDefault="00060C7A" w:rsidP="00EA1768">
            <w:pPr>
              <w:rPr>
                <w:rFonts w:ascii="Century Gothic" w:hAnsi="Century Gothic"/>
                <w:sz w:val="20"/>
                <w:szCs w:val="20"/>
              </w:rPr>
            </w:pPr>
            <w:r w:rsidRPr="00060C7A">
              <w:rPr>
                <w:rFonts w:ascii="Century Gothic" w:hAnsi="Century Gothic"/>
                <w:sz w:val="20"/>
                <w:szCs w:val="20"/>
              </w:rPr>
              <w:t>Expand the range of at least two current populations: Establish 3</w:t>
            </w:r>
            <w:r w:rsidRPr="00060C7A">
              <w:rPr>
                <w:rFonts w:ascii="Century Gothic" w:hAnsi="Century Gothic" w:cs="Arial"/>
                <w:sz w:val="20"/>
                <w:szCs w:val="20"/>
              </w:rPr>
              <w:t>–</w:t>
            </w:r>
            <w:r w:rsidRPr="00060C7A">
              <w:rPr>
                <w:rFonts w:ascii="Century Gothic" w:hAnsi="Century Gothic"/>
                <w:sz w:val="20"/>
                <w:szCs w:val="20"/>
              </w:rPr>
              <w:t>4 additional populations, with at least two of these to be within the lower Murray conservation unit and a further population potentially within the Kerang Lakes region.</w:t>
            </w:r>
          </w:p>
        </w:tc>
        <w:tc>
          <w:tcPr>
            <w:tcW w:w="1559" w:type="dxa"/>
          </w:tcPr>
          <w:p w:rsidR="00060C7A" w:rsidRPr="00060C7A" w:rsidRDefault="00060C7A" w:rsidP="00EA1768">
            <w:pPr>
              <w:pStyle w:val="Para0"/>
              <w:tabs>
                <w:tab w:val="left" w:pos="915"/>
              </w:tabs>
              <w:spacing w:after="0" w:line="240" w:lineRule="auto"/>
              <w:jc w:val="left"/>
              <w:rPr>
                <w:rFonts w:ascii="Century Gothic" w:hAnsi="Century Gothic"/>
              </w:rPr>
            </w:pPr>
            <w:r w:rsidRPr="00060C7A">
              <w:rPr>
                <w:rFonts w:ascii="Century Gothic" w:hAnsi="Century Gothic"/>
              </w:rPr>
              <w:t>Yes</w:t>
            </w:r>
          </w:p>
        </w:tc>
      </w:tr>
      <w:tr w:rsidR="00060C7A" w:rsidRPr="00060C7A" w:rsidTr="00E51CFE">
        <w:trPr>
          <w:cnfStyle w:val="000000100000"/>
        </w:trPr>
        <w:tc>
          <w:tcPr>
            <w:tcW w:w="3261" w:type="dxa"/>
          </w:tcPr>
          <w:p w:rsidR="00060C7A" w:rsidRPr="00060C7A" w:rsidRDefault="00060C7A" w:rsidP="00EA1768">
            <w:pPr>
              <w:pStyle w:val="Para0"/>
              <w:tabs>
                <w:tab w:val="left" w:pos="1830"/>
              </w:tabs>
              <w:spacing w:after="0" w:line="240" w:lineRule="auto"/>
              <w:jc w:val="left"/>
              <w:rPr>
                <w:rFonts w:ascii="Century Gothic" w:hAnsi="Century Gothic"/>
              </w:rPr>
            </w:pPr>
            <w:r w:rsidRPr="00060C7A">
              <w:rPr>
                <w:rFonts w:ascii="Century Gothic" w:hAnsi="Century Gothic"/>
              </w:rPr>
              <w:t xml:space="preserve">Olive </w:t>
            </w:r>
            <w:proofErr w:type="spellStart"/>
            <w:r w:rsidRPr="00060C7A">
              <w:rPr>
                <w:rFonts w:ascii="Century Gothic" w:hAnsi="Century Gothic"/>
              </w:rPr>
              <w:t>perchlet</w:t>
            </w:r>
            <w:proofErr w:type="spellEnd"/>
            <w:r w:rsidRPr="00060C7A">
              <w:rPr>
                <w:rFonts w:ascii="Century Gothic" w:hAnsi="Century Gothic"/>
              </w:rPr>
              <w:t xml:space="preserve"> (</w:t>
            </w:r>
            <w:proofErr w:type="spellStart"/>
            <w:r w:rsidRPr="00060C7A">
              <w:rPr>
                <w:rFonts w:ascii="Century Gothic" w:hAnsi="Century Gothic"/>
                <w:i/>
              </w:rPr>
              <w:t>Ambassis</w:t>
            </w:r>
            <w:proofErr w:type="spellEnd"/>
            <w:r w:rsidRPr="00060C7A">
              <w:rPr>
                <w:rFonts w:ascii="Century Gothic" w:hAnsi="Century Gothic"/>
                <w:i/>
              </w:rPr>
              <w:t xml:space="preserve"> </w:t>
            </w:r>
            <w:proofErr w:type="spellStart"/>
            <w:r w:rsidRPr="00060C7A">
              <w:rPr>
                <w:rFonts w:ascii="Century Gothic" w:hAnsi="Century Gothic"/>
                <w:i/>
              </w:rPr>
              <w:t>agassizii</w:t>
            </w:r>
            <w:proofErr w:type="spellEnd"/>
            <w:r w:rsidRPr="00060C7A">
              <w:rPr>
                <w:rFonts w:ascii="Century Gothic" w:hAnsi="Century Gothic"/>
              </w:rPr>
              <w:t>)</w:t>
            </w:r>
          </w:p>
        </w:tc>
        <w:tc>
          <w:tcPr>
            <w:tcW w:w="4678" w:type="dxa"/>
          </w:tcPr>
          <w:p w:rsidR="00060C7A" w:rsidRPr="00060C7A" w:rsidRDefault="00060C7A" w:rsidP="00EA1768">
            <w:pPr>
              <w:rPr>
                <w:rFonts w:ascii="Century Gothic" w:hAnsi="Century Gothic"/>
                <w:sz w:val="20"/>
                <w:szCs w:val="20"/>
              </w:rPr>
            </w:pPr>
            <w:r w:rsidRPr="00060C7A">
              <w:rPr>
                <w:rFonts w:ascii="Century Gothic" w:hAnsi="Century Gothic"/>
                <w:sz w:val="20"/>
                <w:szCs w:val="20"/>
              </w:rPr>
              <w:t xml:space="preserve">Olive </w:t>
            </w:r>
            <w:proofErr w:type="spellStart"/>
            <w:r w:rsidRPr="00060C7A">
              <w:rPr>
                <w:rFonts w:ascii="Century Gothic" w:hAnsi="Century Gothic"/>
                <w:sz w:val="20"/>
                <w:szCs w:val="20"/>
              </w:rPr>
              <w:t>perchlet</w:t>
            </w:r>
            <w:proofErr w:type="spellEnd"/>
            <w:r w:rsidRPr="00060C7A">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River Murray.</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Restoration of flow to River Murray could support the future reintroduction of the species.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Silver perch (</w:t>
            </w:r>
            <w:proofErr w:type="spellStart"/>
            <w:r w:rsidRPr="00060C7A">
              <w:rPr>
                <w:rFonts w:ascii="Century Gothic" w:hAnsi="Century Gothic"/>
                <w:i/>
              </w:rPr>
              <w:t>Bidyanus</w:t>
            </w:r>
            <w:proofErr w:type="spellEnd"/>
            <w:r w:rsidRPr="00060C7A">
              <w:rPr>
                <w:rFonts w:ascii="Century Gothic" w:hAnsi="Century Gothic"/>
                <w:i/>
              </w:rPr>
              <w:t xml:space="preserve"> </w:t>
            </w:r>
            <w:proofErr w:type="spellStart"/>
            <w:r w:rsidRPr="00060C7A">
              <w:rPr>
                <w:rFonts w:ascii="Century Gothic" w:hAnsi="Century Gothic"/>
                <w:i/>
              </w:rPr>
              <w:t>bidyanus</w:t>
            </w:r>
            <w:proofErr w:type="spellEnd"/>
            <w:r w:rsidRPr="00060C7A">
              <w:rPr>
                <w:rFonts w:ascii="Century Gothic" w:hAnsi="Century Gothic"/>
              </w:rPr>
              <w:t xml:space="preserve">) </w:t>
            </w:r>
          </w:p>
        </w:tc>
        <w:tc>
          <w:tcPr>
            <w:tcW w:w="4678"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Improve core range in at additional locations, with candidate sites including  lower Darling</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Core range is within Mid-Murray region.</w:t>
            </w:r>
          </w:p>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Only in scope if additional populations are established</w:t>
            </w:r>
          </w:p>
        </w:tc>
      </w:tr>
      <w:tr w:rsidR="00060C7A" w:rsidRPr="00060C7A" w:rsidTr="00E51CFE">
        <w:trPr>
          <w:cnfStyle w:val="000000100000"/>
        </w:trPr>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 xml:space="preserve">Southern purple-spotted </w:t>
            </w:r>
            <w:proofErr w:type="spellStart"/>
            <w:r w:rsidRPr="00060C7A">
              <w:rPr>
                <w:rFonts w:ascii="Century Gothic" w:hAnsi="Century Gothic"/>
              </w:rPr>
              <w:t>gudgeon</w:t>
            </w:r>
            <w:proofErr w:type="spellEnd"/>
            <w:r w:rsidRPr="00060C7A">
              <w:rPr>
                <w:rFonts w:ascii="Century Gothic" w:hAnsi="Century Gothic"/>
              </w:rPr>
              <w:t xml:space="preserve"> (</w:t>
            </w:r>
            <w:proofErr w:type="spellStart"/>
            <w:r w:rsidRPr="00060C7A">
              <w:rPr>
                <w:rFonts w:ascii="Century Gothic" w:hAnsi="Century Gothic"/>
                <w:i/>
              </w:rPr>
              <w:t>Mogurnda</w:t>
            </w:r>
            <w:proofErr w:type="spellEnd"/>
            <w:r w:rsidRPr="00060C7A">
              <w:rPr>
                <w:rFonts w:ascii="Century Gothic" w:hAnsi="Century Gothic"/>
                <w:i/>
              </w:rPr>
              <w:t xml:space="preserve"> </w:t>
            </w:r>
            <w:proofErr w:type="spellStart"/>
            <w:r w:rsidRPr="00060C7A">
              <w:rPr>
                <w:rFonts w:ascii="Century Gothic" w:hAnsi="Century Gothic"/>
                <w:i/>
              </w:rPr>
              <w:t>adspersa</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Expand the range of current populations (including Jury Swamp).</w:t>
            </w:r>
          </w:p>
          <w:p w:rsidR="00060C7A" w:rsidRPr="00060C7A" w:rsidRDefault="00060C7A" w:rsidP="00EA1768">
            <w:pPr>
              <w:pStyle w:val="Para0"/>
              <w:spacing w:after="0" w:line="240" w:lineRule="auto"/>
              <w:jc w:val="left"/>
              <w:rPr>
                <w:rFonts w:ascii="Century Gothic" w:hAnsi="Century Gothic"/>
              </w:rPr>
            </w:pP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Southern pygmy perch (</w:t>
            </w:r>
            <w:proofErr w:type="spellStart"/>
            <w:r w:rsidRPr="00060C7A">
              <w:rPr>
                <w:rFonts w:ascii="Century Gothic" w:hAnsi="Century Gothic"/>
                <w:i/>
              </w:rPr>
              <w:t>Nannoperca</w:t>
            </w:r>
            <w:proofErr w:type="spellEnd"/>
            <w:r w:rsidRPr="00060C7A">
              <w:rPr>
                <w:rFonts w:ascii="Century Gothic" w:hAnsi="Century Gothic"/>
                <w:i/>
              </w:rPr>
              <w:t xml:space="preserve"> </w:t>
            </w:r>
            <w:proofErr w:type="spellStart"/>
            <w:r w:rsidRPr="00060C7A">
              <w:rPr>
                <w:rFonts w:ascii="Century Gothic" w:hAnsi="Century Gothic"/>
                <w:i/>
              </w:rPr>
              <w:t>australis</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Establish additional populations in the Lower Lakes</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Only if additional populations are established</w:t>
            </w:r>
          </w:p>
        </w:tc>
      </w:tr>
      <w:tr w:rsidR="00060C7A" w:rsidRPr="00060C7A" w:rsidTr="00E51CFE">
        <w:trPr>
          <w:cnfStyle w:val="000000100000"/>
        </w:trPr>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Trout cod (</w:t>
            </w:r>
            <w:proofErr w:type="spellStart"/>
            <w:r w:rsidRPr="00060C7A">
              <w:rPr>
                <w:rFonts w:ascii="Century Gothic" w:hAnsi="Century Gothic"/>
                <w:i/>
              </w:rPr>
              <w:t>Maccullochella</w:t>
            </w:r>
            <w:proofErr w:type="spellEnd"/>
            <w:r w:rsidRPr="00060C7A">
              <w:rPr>
                <w:rFonts w:ascii="Century Gothic" w:hAnsi="Century Gothic"/>
                <w:i/>
              </w:rPr>
              <w:t xml:space="preserve"> </w:t>
            </w:r>
            <w:proofErr w:type="spellStart"/>
            <w:r w:rsidRPr="00060C7A">
              <w:rPr>
                <w:rFonts w:ascii="Century Gothic" w:hAnsi="Century Gothic"/>
                <w:i/>
              </w:rPr>
              <w:t>macquariensis</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 xml:space="preserve">For the connected population of the </w:t>
            </w:r>
            <w:proofErr w:type="spellStart"/>
            <w:r w:rsidRPr="00060C7A">
              <w:rPr>
                <w:rFonts w:ascii="Century Gothic" w:hAnsi="Century Gothic"/>
              </w:rPr>
              <w:t>Murrumbidgee</w:t>
            </w:r>
            <w:proofErr w:type="spellEnd"/>
            <w:r w:rsidRPr="00060C7A">
              <w:rPr>
                <w:rFonts w:ascii="Century Gothic" w:hAnsi="Century Gothic"/>
              </w:rPr>
              <w:t>–Murray–Edwards, continue downstream expansion.</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c>
          <w:tcPr>
            <w:tcW w:w="3261"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Two-</w:t>
            </w:r>
            <w:proofErr w:type="spellStart"/>
            <w:r w:rsidRPr="00060C7A">
              <w:rPr>
                <w:rFonts w:ascii="Century Gothic" w:hAnsi="Century Gothic"/>
              </w:rPr>
              <w:t>spined</w:t>
            </w:r>
            <w:proofErr w:type="spellEnd"/>
            <w:r w:rsidRPr="00060C7A">
              <w:rPr>
                <w:rFonts w:ascii="Century Gothic" w:hAnsi="Century Gothic"/>
              </w:rPr>
              <w:t xml:space="preserve"> blackfish (</w:t>
            </w:r>
            <w:proofErr w:type="spellStart"/>
            <w:r w:rsidRPr="00060C7A">
              <w:rPr>
                <w:rFonts w:ascii="Century Gothic" w:hAnsi="Century Gothic"/>
                <w:i/>
              </w:rPr>
              <w:t>Gadopsis</w:t>
            </w:r>
            <w:proofErr w:type="spellEnd"/>
            <w:r w:rsidRPr="00060C7A">
              <w:rPr>
                <w:rFonts w:ascii="Century Gothic" w:hAnsi="Century Gothic"/>
                <w:i/>
              </w:rPr>
              <w:t xml:space="preserve"> </w:t>
            </w:r>
            <w:proofErr w:type="spellStart"/>
            <w:r w:rsidRPr="00060C7A">
              <w:rPr>
                <w:rFonts w:ascii="Century Gothic" w:hAnsi="Century Gothic"/>
                <w:i/>
              </w:rPr>
              <w:t>bispinosus</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rPr>
                <w:rFonts w:ascii="Century Gothic" w:hAnsi="Century Gothic"/>
              </w:rPr>
            </w:pPr>
            <w:r w:rsidRPr="00060C7A">
              <w:rPr>
                <w:rFonts w:ascii="Century Gothic" w:hAnsi="Century Gothic"/>
              </w:rPr>
              <w:t>Establish additional populations (no specific locations identified)</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r w:rsidR="00060C7A" w:rsidRPr="00060C7A" w:rsidTr="00E51CFE">
        <w:trPr>
          <w:cnfStyle w:val="000000100000"/>
        </w:trPr>
        <w:tc>
          <w:tcPr>
            <w:tcW w:w="3261" w:type="dxa"/>
          </w:tcPr>
          <w:p w:rsidR="00060C7A" w:rsidRPr="00060C7A" w:rsidRDefault="00060C7A" w:rsidP="00EA1768">
            <w:pPr>
              <w:pStyle w:val="Para0"/>
              <w:spacing w:after="0" w:line="240" w:lineRule="auto"/>
              <w:jc w:val="left"/>
              <w:rPr>
                <w:rFonts w:ascii="Century Gothic" w:hAnsi="Century Gothic"/>
              </w:rPr>
            </w:pPr>
            <w:proofErr w:type="spellStart"/>
            <w:r w:rsidRPr="00060C7A">
              <w:rPr>
                <w:rFonts w:ascii="Century Gothic" w:hAnsi="Century Gothic"/>
              </w:rPr>
              <w:t>Yarra</w:t>
            </w:r>
            <w:proofErr w:type="spellEnd"/>
            <w:r w:rsidRPr="00060C7A">
              <w:rPr>
                <w:rFonts w:ascii="Century Gothic" w:hAnsi="Century Gothic"/>
              </w:rPr>
              <w:t xml:space="preserve"> pygmy perch (</w:t>
            </w:r>
            <w:proofErr w:type="spellStart"/>
            <w:r w:rsidRPr="00060C7A">
              <w:rPr>
                <w:rFonts w:ascii="Century Gothic" w:hAnsi="Century Gothic"/>
                <w:i/>
              </w:rPr>
              <w:t>Nannoperca</w:t>
            </w:r>
            <w:proofErr w:type="spellEnd"/>
            <w:r w:rsidRPr="00060C7A">
              <w:rPr>
                <w:rFonts w:ascii="Century Gothic" w:hAnsi="Century Gothic"/>
                <w:i/>
              </w:rPr>
              <w:t xml:space="preserve"> </w:t>
            </w:r>
            <w:proofErr w:type="spellStart"/>
            <w:r w:rsidRPr="00060C7A">
              <w:rPr>
                <w:rFonts w:ascii="Century Gothic" w:hAnsi="Century Gothic"/>
                <w:i/>
              </w:rPr>
              <w:t>obscura</w:t>
            </w:r>
            <w:proofErr w:type="spellEnd"/>
            <w:r w:rsidRPr="00060C7A">
              <w:rPr>
                <w:rFonts w:ascii="Century Gothic" w:hAnsi="Century Gothic"/>
              </w:rPr>
              <w:t>)</w:t>
            </w:r>
          </w:p>
        </w:tc>
        <w:tc>
          <w:tcPr>
            <w:tcW w:w="4678" w:type="dxa"/>
          </w:tcPr>
          <w:p w:rsidR="00060C7A" w:rsidRPr="00060C7A" w:rsidRDefault="00060C7A" w:rsidP="00EA1768">
            <w:pPr>
              <w:pStyle w:val="Para0"/>
              <w:spacing w:after="0" w:line="240" w:lineRule="auto"/>
              <w:rPr>
                <w:rFonts w:ascii="Century Gothic" w:hAnsi="Century Gothic"/>
              </w:rPr>
            </w:pPr>
            <w:r w:rsidRPr="00060C7A">
              <w:rPr>
                <w:rFonts w:ascii="Century Gothic" w:hAnsi="Century Gothic"/>
              </w:rPr>
              <w:t>Expand the range of current populations including the Lower Lakes/Coorong region</w:t>
            </w:r>
          </w:p>
        </w:tc>
        <w:tc>
          <w:tcPr>
            <w:tcW w:w="1559" w:type="dxa"/>
          </w:tcPr>
          <w:p w:rsidR="00060C7A" w:rsidRPr="00060C7A" w:rsidRDefault="00060C7A" w:rsidP="00EA1768">
            <w:pPr>
              <w:pStyle w:val="Para0"/>
              <w:spacing w:after="0" w:line="240" w:lineRule="auto"/>
              <w:jc w:val="left"/>
              <w:rPr>
                <w:rFonts w:ascii="Century Gothic" w:hAnsi="Century Gothic"/>
              </w:rPr>
            </w:pPr>
            <w:r w:rsidRPr="00060C7A">
              <w:rPr>
                <w:rFonts w:ascii="Century Gothic" w:hAnsi="Century Gothic"/>
              </w:rPr>
              <w:t>Yes</w:t>
            </w:r>
          </w:p>
        </w:tc>
      </w:tr>
    </w:tbl>
    <w:p w:rsidR="00060C7A" w:rsidRPr="00060C7A" w:rsidRDefault="00060C7A" w:rsidP="00060C7A">
      <w:pPr>
        <w:pStyle w:val="Para0"/>
        <w:spacing w:before="120" w:after="120" w:line="240" w:lineRule="auto"/>
        <w:rPr>
          <w:rFonts w:ascii="Century Gothic" w:hAnsi="Century Gothic"/>
        </w:rPr>
      </w:pPr>
    </w:p>
    <w:p w:rsidR="00060C7A" w:rsidRPr="00060C7A" w:rsidRDefault="00060C7A" w:rsidP="00060C7A">
      <w:pPr>
        <w:pStyle w:val="Caption"/>
        <w:keepNext/>
        <w:rPr>
          <w:rFonts w:ascii="Century Gothic" w:hAnsi="Century Gothic"/>
        </w:rPr>
      </w:pPr>
      <w:r w:rsidRPr="00060C7A">
        <w:rPr>
          <w:rFonts w:ascii="Century Gothic" w:hAnsi="Century Gothic"/>
        </w:rPr>
        <w:lastRenderedPageBreak/>
        <w:t>Important Basin environmental assets for native fish in the Lower Murray</w:t>
      </w:r>
    </w:p>
    <w:tbl>
      <w:tblPr>
        <w:tblStyle w:val="MDBAsimpletable"/>
        <w:tblW w:w="4943" w:type="pct"/>
        <w:tblInd w:w="-34" w:type="dxa"/>
        <w:tblLook w:val="04A0"/>
      </w:tblPr>
      <w:tblGrid>
        <w:gridCol w:w="3822"/>
        <w:gridCol w:w="867"/>
        <w:gridCol w:w="868"/>
        <w:gridCol w:w="868"/>
        <w:gridCol w:w="868"/>
        <w:gridCol w:w="868"/>
        <w:gridCol w:w="862"/>
        <w:gridCol w:w="860"/>
      </w:tblGrid>
      <w:tr w:rsidR="00060C7A" w:rsidRPr="00060C7A" w:rsidTr="00EA1768">
        <w:trPr>
          <w:cnfStyle w:val="100000000000"/>
          <w:trHeight w:val="1674"/>
          <w:tblHeader/>
        </w:trPr>
        <w:tc>
          <w:tcPr>
            <w:tcW w:w="1934" w:type="pct"/>
            <w:tcBorders>
              <w:top w:val="nil"/>
              <w:left w:val="nil"/>
              <w:bottom w:val="nil"/>
              <w:right w:val="single" w:sz="2" w:space="0" w:color="ADE1DB"/>
            </w:tcBorders>
            <w:shd w:val="clear" w:color="auto" w:fill="00A18E"/>
            <w:vAlign w:val="center"/>
            <w:hideMark/>
          </w:tcPr>
          <w:p w:rsidR="00060C7A" w:rsidRPr="00060C7A" w:rsidRDefault="00060C7A" w:rsidP="00EA1768">
            <w:pPr>
              <w:pStyle w:val="TableH1"/>
              <w:spacing w:line="240" w:lineRule="exact"/>
              <w:ind w:firstLine="426"/>
              <w:jc w:val="left"/>
              <w:rPr>
                <w:rFonts w:ascii="Century Gothic" w:hAnsi="Century Gothic"/>
                <w:sz w:val="20"/>
                <w:szCs w:val="20"/>
                <w:lang w:eastAsia="en-US"/>
              </w:rPr>
            </w:pPr>
            <w:r w:rsidRPr="00060C7A">
              <w:rPr>
                <w:rFonts w:ascii="Century Gothic" w:hAnsi="Century Gothic"/>
                <w:sz w:val="20"/>
                <w:szCs w:val="20"/>
                <w:lang w:eastAsia="en-US"/>
              </w:rPr>
              <w:t>Environmental asset</w:t>
            </w:r>
          </w:p>
        </w:tc>
        <w:tc>
          <w:tcPr>
            <w:tcW w:w="439" w:type="pct"/>
            <w:tcBorders>
              <w:top w:val="nil"/>
              <w:left w:val="single" w:sz="2" w:space="0" w:color="ADE1DB"/>
              <w:bottom w:val="nil"/>
              <w:right w:val="single" w:sz="2" w:space="0" w:color="ADE1DB"/>
            </w:tcBorders>
            <w:shd w:val="clear" w:color="auto" w:fill="00A18E"/>
            <w:textDirection w:val="btLr"/>
            <w:vAlign w:val="center"/>
            <w:hideMark/>
          </w:tcPr>
          <w:p w:rsidR="00060C7A" w:rsidRPr="00060C7A" w:rsidRDefault="00060C7A" w:rsidP="00EA1768">
            <w:pPr>
              <w:pStyle w:val="TableH1"/>
              <w:spacing w:line="200" w:lineRule="exact"/>
              <w:rPr>
                <w:rFonts w:ascii="Century Gothic" w:hAnsi="Century Gothic"/>
                <w:sz w:val="20"/>
                <w:szCs w:val="20"/>
                <w:lang w:eastAsia="en-US"/>
              </w:rPr>
            </w:pPr>
            <w:r w:rsidRPr="00060C7A">
              <w:rPr>
                <w:rFonts w:ascii="Century Gothic" w:hAnsi="Century Gothic"/>
                <w:sz w:val="20"/>
                <w:szCs w:val="20"/>
                <w:lang w:eastAsia="en-US"/>
              </w:rPr>
              <w:t xml:space="preserve"> Key movement corridors </w:t>
            </w:r>
          </w:p>
        </w:tc>
        <w:tc>
          <w:tcPr>
            <w:tcW w:w="439" w:type="pct"/>
            <w:tcBorders>
              <w:top w:val="nil"/>
              <w:left w:val="single" w:sz="2" w:space="0" w:color="ADE1DB"/>
              <w:bottom w:val="nil"/>
              <w:right w:val="single" w:sz="2" w:space="0" w:color="ADE1DB"/>
            </w:tcBorders>
            <w:shd w:val="clear" w:color="auto" w:fill="00A18E"/>
            <w:textDirection w:val="btLr"/>
            <w:hideMark/>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High Biodiversity</w:t>
            </w:r>
          </w:p>
        </w:tc>
        <w:tc>
          <w:tcPr>
            <w:tcW w:w="439" w:type="pct"/>
            <w:tcBorders>
              <w:top w:val="nil"/>
              <w:left w:val="single" w:sz="2" w:space="0" w:color="ADE1DB"/>
              <w:bottom w:val="nil"/>
              <w:right w:val="single" w:sz="2" w:space="0" w:color="ADE1DB"/>
            </w:tcBorders>
            <w:shd w:val="clear" w:color="auto" w:fill="00A18E"/>
            <w:textDirection w:val="btLr"/>
            <w:hideMark/>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 xml:space="preserve">Site of other Significance </w:t>
            </w:r>
          </w:p>
        </w:tc>
        <w:tc>
          <w:tcPr>
            <w:tcW w:w="439" w:type="pct"/>
            <w:tcBorders>
              <w:top w:val="nil"/>
              <w:left w:val="single" w:sz="2" w:space="0" w:color="ADE1DB"/>
              <w:bottom w:val="nil"/>
              <w:right w:val="single" w:sz="2" w:space="0" w:color="ADE1DB"/>
            </w:tcBorders>
            <w:shd w:val="clear" w:color="auto" w:fill="00A18E"/>
            <w:textDirection w:val="btLr"/>
            <w:hideMark/>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Key site of hydrodynamic diversity</w:t>
            </w:r>
          </w:p>
        </w:tc>
        <w:tc>
          <w:tcPr>
            <w:tcW w:w="439" w:type="pct"/>
            <w:tcBorders>
              <w:top w:val="nil"/>
              <w:left w:val="single" w:sz="2" w:space="0" w:color="ADE1DB"/>
              <w:bottom w:val="nil"/>
              <w:right w:val="single" w:sz="2" w:space="0" w:color="ADE1DB"/>
            </w:tcBorders>
            <w:shd w:val="clear" w:color="auto" w:fill="00A18E"/>
            <w:textDirection w:val="btLr"/>
            <w:hideMark/>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 xml:space="preserve">Threatened species </w:t>
            </w:r>
          </w:p>
        </w:tc>
        <w:tc>
          <w:tcPr>
            <w:tcW w:w="436" w:type="pct"/>
            <w:tcBorders>
              <w:top w:val="nil"/>
              <w:left w:val="single" w:sz="2" w:space="0" w:color="ADE1DB"/>
              <w:bottom w:val="nil"/>
              <w:right w:val="nil"/>
            </w:tcBorders>
            <w:shd w:val="clear" w:color="auto" w:fill="00A18E"/>
            <w:textDirection w:val="btLr"/>
            <w:hideMark/>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 xml:space="preserve">Dry period / drought refuge </w:t>
            </w:r>
          </w:p>
        </w:tc>
        <w:tc>
          <w:tcPr>
            <w:tcW w:w="436" w:type="pct"/>
            <w:tcBorders>
              <w:top w:val="nil"/>
              <w:left w:val="single" w:sz="2" w:space="0" w:color="ADE1DB"/>
              <w:bottom w:val="nil"/>
              <w:right w:val="nil"/>
            </w:tcBorders>
            <w:shd w:val="clear" w:color="auto" w:fill="00A18E"/>
            <w:textDirection w:val="btLr"/>
          </w:tcPr>
          <w:p w:rsidR="00060C7A" w:rsidRPr="00060C7A" w:rsidRDefault="00060C7A" w:rsidP="00EA1768">
            <w:pPr>
              <w:pStyle w:val="TableH1"/>
              <w:spacing w:line="240" w:lineRule="exact"/>
              <w:rPr>
                <w:rFonts w:ascii="Century Gothic" w:hAnsi="Century Gothic"/>
                <w:sz w:val="20"/>
                <w:szCs w:val="20"/>
                <w:lang w:eastAsia="en-US"/>
              </w:rPr>
            </w:pPr>
            <w:r w:rsidRPr="00060C7A">
              <w:rPr>
                <w:rFonts w:ascii="Century Gothic" w:hAnsi="Century Gothic"/>
                <w:sz w:val="20"/>
                <w:szCs w:val="20"/>
                <w:lang w:eastAsia="en-US"/>
              </w:rPr>
              <w:t xml:space="preserve">In-scope for </w:t>
            </w:r>
            <w:proofErr w:type="spellStart"/>
            <w:r w:rsidRPr="00060C7A">
              <w:rPr>
                <w:rFonts w:ascii="Century Gothic" w:hAnsi="Century Gothic"/>
                <w:sz w:val="20"/>
                <w:szCs w:val="20"/>
                <w:lang w:eastAsia="en-US"/>
              </w:rPr>
              <w:t>C’th</w:t>
            </w:r>
            <w:proofErr w:type="spellEnd"/>
            <w:r w:rsidRPr="00060C7A">
              <w:rPr>
                <w:rFonts w:ascii="Century Gothic" w:hAnsi="Century Gothic"/>
                <w:sz w:val="20"/>
                <w:szCs w:val="20"/>
                <w:lang w:eastAsia="en-US"/>
              </w:rPr>
              <w:t xml:space="preserve"> watering?</w:t>
            </w:r>
          </w:p>
        </w:tc>
      </w:tr>
      <w:tr w:rsidR="00060C7A" w:rsidRPr="00060C7A" w:rsidTr="00EA1768">
        <w:trPr>
          <w:cnfStyle w:val="000000100000"/>
          <w:trHeight w:val="567"/>
        </w:trPr>
        <w:tc>
          <w:tcPr>
            <w:tcW w:w="1934" w:type="pct"/>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Coorong, Lower Lakes and Murray Mouth</w:t>
            </w:r>
          </w:p>
        </w:tc>
        <w:tc>
          <w:tcPr>
            <w:tcW w:w="439"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w:t>
            </w:r>
          </w:p>
        </w:tc>
        <w:tc>
          <w:tcPr>
            <w:tcW w:w="439"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w:t>
            </w:r>
          </w:p>
        </w:tc>
        <w:tc>
          <w:tcPr>
            <w:tcW w:w="439" w:type="pct"/>
            <w:hideMark/>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w:t>
            </w:r>
          </w:p>
        </w:tc>
        <w:tc>
          <w:tcPr>
            <w:tcW w:w="439" w:type="pct"/>
          </w:tcPr>
          <w:p w:rsidR="00060C7A" w:rsidRPr="00060C7A" w:rsidRDefault="00060C7A" w:rsidP="00EA1768">
            <w:pPr>
              <w:spacing w:before="16" w:after="16"/>
              <w:jc w:val="center"/>
              <w:rPr>
                <w:rFonts w:ascii="Century Gothic" w:hAnsi="Century Gothic"/>
                <w:sz w:val="20"/>
                <w:szCs w:val="20"/>
              </w:rPr>
            </w:pPr>
          </w:p>
        </w:tc>
        <w:tc>
          <w:tcPr>
            <w:tcW w:w="439"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p>
        </w:tc>
      </w:tr>
      <w:tr w:rsidR="00060C7A" w:rsidRPr="00060C7A" w:rsidTr="00EA1768">
        <w:trPr>
          <w:trHeight w:val="567"/>
        </w:trPr>
        <w:tc>
          <w:tcPr>
            <w:tcW w:w="1934" w:type="pct"/>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Swamps on the lower Murray channel, between Wellington and Mannum (swamp geomorphic region</w:t>
            </w:r>
          </w:p>
        </w:tc>
        <w:tc>
          <w:tcPr>
            <w:tcW w:w="439" w:type="pct"/>
            <w:hideMark/>
          </w:tcPr>
          <w:p w:rsidR="00060C7A" w:rsidRPr="00060C7A" w:rsidRDefault="00060C7A" w:rsidP="00EA1768">
            <w:pPr>
              <w:spacing w:before="16" w:after="16"/>
              <w:jc w:val="center"/>
              <w:rPr>
                <w:rFonts w:ascii="Century Gothic" w:hAnsi="Century Gothic" w:cs="Arial"/>
                <w:sz w:val="20"/>
                <w:szCs w:val="20"/>
              </w:rPr>
            </w:pPr>
          </w:p>
        </w:tc>
        <w:tc>
          <w:tcPr>
            <w:tcW w:w="439" w:type="pct"/>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sz w:val="20"/>
                <w:szCs w:val="20"/>
              </w:rPr>
              <w:t>*</w:t>
            </w:r>
          </w:p>
        </w:tc>
        <w:tc>
          <w:tcPr>
            <w:tcW w:w="439" w:type="pct"/>
            <w:hideMark/>
          </w:tcPr>
          <w:p w:rsidR="00060C7A" w:rsidRPr="00060C7A" w:rsidRDefault="00060C7A" w:rsidP="00EA1768">
            <w:pPr>
              <w:spacing w:before="16" w:after="16"/>
              <w:jc w:val="center"/>
              <w:rPr>
                <w:rFonts w:ascii="Century Gothic" w:hAnsi="Century Gothic" w:cs="Arial"/>
                <w:sz w:val="20"/>
                <w:szCs w:val="20"/>
              </w:rPr>
            </w:pPr>
          </w:p>
        </w:tc>
        <w:tc>
          <w:tcPr>
            <w:tcW w:w="439" w:type="pct"/>
          </w:tcPr>
          <w:p w:rsidR="00060C7A" w:rsidRPr="00060C7A" w:rsidRDefault="00060C7A" w:rsidP="00EA1768">
            <w:pPr>
              <w:spacing w:before="16" w:after="16"/>
              <w:jc w:val="center"/>
              <w:rPr>
                <w:rFonts w:ascii="Century Gothic" w:hAnsi="Century Gothic" w:cs="Arial"/>
                <w:sz w:val="20"/>
                <w:szCs w:val="20"/>
              </w:rPr>
            </w:pPr>
          </w:p>
        </w:tc>
        <w:tc>
          <w:tcPr>
            <w:tcW w:w="439" w:type="pct"/>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sz w:val="20"/>
                <w:szCs w:val="20"/>
              </w:rPr>
              <w:t>*</w:t>
            </w:r>
          </w:p>
        </w:tc>
        <w:tc>
          <w:tcPr>
            <w:tcW w:w="436" w:type="pct"/>
          </w:tcPr>
          <w:p w:rsidR="00060C7A" w:rsidRPr="00060C7A" w:rsidRDefault="00060C7A" w:rsidP="00EA1768">
            <w:pPr>
              <w:spacing w:before="16" w:after="16"/>
              <w:jc w:val="center"/>
              <w:rPr>
                <w:rFonts w:ascii="Century Gothic" w:hAnsi="Century Gothic" w:cs="Arial"/>
                <w:sz w:val="20"/>
                <w:szCs w:val="20"/>
              </w:rPr>
            </w:pPr>
          </w:p>
        </w:tc>
        <w:tc>
          <w:tcPr>
            <w:tcW w:w="436" w:type="pct"/>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sz w:val="20"/>
                <w:szCs w:val="20"/>
              </w:rPr>
              <w:t>Yes</w:t>
            </w:r>
          </w:p>
        </w:tc>
      </w:tr>
      <w:tr w:rsidR="00060C7A" w:rsidRPr="00060C7A" w:rsidTr="00EA1768">
        <w:trPr>
          <w:cnfStyle w:val="000000100000"/>
          <w:trHeight w:val="567"/>
        </w:trPr>
        <w:tc>
          <w:tcPr>
            <w:tcW w:w="1934" w:type="pct"/>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Kerang lakes</w:t>
            </w:r>
          </w:p>
        </w:tc>
        <w:tc>
          <w:tcPr>
            <w:tcW w:w="439" w:type="pct"/>
            <w:hideMark/>
          </w:tcPr>
          <w:p w:rsidR="00060C7A" w:rsidRPr="00060C7A" w:rsidRDefault="00060C7A" w:rsidP="00EA1768">
            <w:pPr>
              <w:spacing w:before="16" w:after="16"/>
              <w:jc w:val="center"/>
              <w:rPr>
                <w:rFonts w:ascii="Century Gothic" w:hAnsi="Century Gothic" w:cs="Arial"/>
                <w:sz w:val="20"/>
                <w:szCs w:val="20"/>
              </w:rPr>
            </w:pPr>
          </w:p>
        </w:tc>
        <w:tc>
          <w:tcPr>
            <w:tcW w:w="439" w:type="pct"/>
          </w:tcPr>
          <w:p w:rsidR="00060C7A" w:rsidRPr="00060C7A" w:rsidRDefault="00060C7A" w:rsidP="00EA1768">
            <w:pPr>
              <w:spacing w:before="16" w:after="16"/>
              <w:jc w:val="center"/>
              <w:rPr>
                <w:rFonts w:ascii="Century Gothic" w:hAnsi="Century Gothic" w:cs="Arial"/>
                <w:sz w:val="20"/>
                <w:szCs w:val="20"/>
              </w:rPr>
            </w:pPr>
          </w:p>
        </w:tc>
        <w:tc>
          <w:tcPr>
            <w:tcW w:w="439" w:type="pct"/>
            <w:hideMark/>
          </w:tcPr>
          <w:p w:rsidR="00060C7A" w:rsidRPr="00060C7A" w:rsidRDefault="00060C7A" w:rsidP="00EA1768">
            <w:pPr>
              <w:spacing w:before="16" w:after="16"/>
              <w:jc w:val="center"/>
              <w:rPr>
                <w:rFonts w:ascii="Century Gothic" w:hAnsi="Century Gothic" w:cs="Arial"/>
                <w:sz w:val="20"/>
                <w:szCs w:val="20"/>
              </w:rPr>
            </w:pPr>
          </w:p>
        </w:tc>
        <w:tc>
          <w:tcPr>
            <w:tcW w:w="439" w:type="pct"/>
          </w:tcPr>
          <w:p w:rsidR="00060C7A" w:rsidRPr="00060C7A" w:rsidRDefault="00060C7A" w:rsidP="00EA1768">
            <w:pPr>
              <w:spacing w:before="16" w:after="16"/>
              <w:jc w:val="center"/>
              <w:rPr>
                <w:rFonts w:ascii="Century Gothic" w:hAnsi="Century Gothic" w:cs="Arial"/>
                <w:sz w:val="20"/>
                <w:szCs w:val="20"/>
              </w:rPr>
            </w:pPr>
          </w:p>
        </w:tc>
        <w:tc>
          <w:tcPr>
            <w:tcW w:w="439" w:type="pct"/>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sz w:val="20"/>
                <w:szCs w:val="20"/>
              </w:rPr>
              <w:t xml:space="preserve"> Yes</w:t>
            </w:r>
          </w:p>
        </w:tc>
      </w:tr>
      <w:tr w:rsidR="00060C7A" w:rsidRPr="00060C7A" w:rsidTr="00EA1768">
        <w:trPr>
          <w:trHeight w:val="567"/>
        </w:trPr>
        <w:tc>
          <w:tcPr>
            <w:tcW w:w="1934" w:type="pct"/>
            <w:vAlign w:val="center"/>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proofErr w:type="spellStart"/>
            <w:r w:rsidRPr="00060C7A">
              <w:rPr>
                <w:rFonts w:ascii="Century Gothic" w:hAnsi="Century Gothic"/>
                <w:sz w:val="20"/>
                <w:szCs w:val="20"/>
              </w:rPr>
              <w:t>Katarapko</w:t>
            </w:r>
            <w:proofErr w:type="spellEnd"/>
            <w:r w:rsidRPr="00060C7A">
              <w:rPr>
                <w:rFonts w:ascii="Century Gothic" w:hAnsi="Century Gothic"/>
                <w:sz w:val="20"/>
                <w:szCs w:val="20"/>
              </w:rPr>
              <w:t xml:space="preserve"> anabranch</w:t>
            </w:r>
          </w:p>
        </w:tc>
        <w:tc>
          <w:tcPr>
            <w:tcW w:w="439" w:type="pct"/>
            <w:vAlign w:val="center"/>
          </w:tcPr>
          <w:p w:rsidR="00060C7A" w:rsidRPr="00060C7A" w:rsidRDefault="00060C7A" w:rsidP="00C70838">
            <w:pPr>
              <w:spacing w:beforeLines="80" w:afterLines="8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6"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cnfStyle w:val="000000100000"/>
          <w:trHeight w:val="567"/>
        </w:trPr>
        <w:tc>
          <w:tcPr>
            <w:tcW w:w="1934" w:type="pct"/>
            <w:vAlign w:val="center"/>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Pike anabranch</w:t>
            </w:r>
          </w:p>
        </w:tc>
        <w:tc>
          <w:tcPr>
            <w:tcW w:w="439" w:type="pct"/>
            <w:vAlign w:val="center"/>
          </w:tcPr>
          <w:p w:rsidR="00060C7A" w:rsidRPr="00060C7A" w:rsidRDefault="00060C7A" w:rsidP="00C70838">
            <w:pPr>
              <w:spacing w:beforeLines="80" w:afterLines="8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6" w:type="pct"/>
            <w:vAlign w:val="center"/>
            <w:hideMark/>
          </w:tcPr>
          <w:p w:rsidR="00060C7A" w:rsidRPr="00060C7A" w:rsidRDefault="00060C7A" w:rsidP="00C70838">
            <w:pPr>
              <w:spacing w:beforeLines="80" w:afterLines="80"/>
              <w:jc w:val="center"/>
              <w:rPr>
                <w:rFonts w:ascii="Century Gothic" w:hAnsi="Century Gothic" w:cs="Arial"/>
                <w:sz w:val="20"/>
                <w:szCs w:val="20"/>
              </w:rPr>
            </w:pP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trHeight w:val="567"/>
        </w:trPr>
        <w:tc>
          <w:tcPr>
            <w:tcW w:w="1934" w:type="pct"/>
            <w:vAlign w:val="center"/>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Lower River Murray main channel (from Darling junction downstream)</w:t>
            </w:r>
          </w:p>
        </w:tc>
        <w:tc>
          <w:tcPr>
            <w:tcW w:w="439" w:type="pct"/>
            <w:vAlign w:val="center"/>
          </w:tcPr>
          <w:p w:rsidR="00060C7A" w:rsidRPr="00060C7A" w:rsidRDefault="00060C7A" w:rsidP="00C70838">
            <w:pPr>
              <w:spacing w:beforeLines="60" w:afterLines="6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60" w:afterLines="6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60" w:afterLines="60"/>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C70838">
            <w:pPr>
              <w:spacing w:beforeLines="60" w:afterLines="60"/>
              <w:jc w:val="center"/>
              <w:rPr>
                <w:rFonts w:ascii="Century Gothic" w:hAnsi="Century Gothic" w:cs="Arial"/>
                <w:sz w:val="20"/>
                <w:szCs w:val="20"/>
              </w:rPr>
            </w:pPr>
          </w:p>
        </w:tc>
        <w:tc>
          <w:tcPr>
            <w:tcW w:w="439" w:type="pct"/>
            <w:vAlign w:val="center"/>
            <w:hideMark/>
          </w:tcPr>
          <w:p w:rsidR="00060C7A" w:rsidRPr="00060C7A" w:rsidRDefault="00060C7A" w:rsidP="00C70838">
            <w:pPr>
              <w:spacing w:beforeLines="60" w:afterLines="60"/>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hideMark/>
          </w:tcPr>
          <w:p w:rsidR="00060C7A" w:rsidRPr="00060C7A" w:rsidRDefault="00060C7A" w:rsidP="00C70838">
            <w:pPr>
              <w:spacing w:beforeLines="60" w:afterLines="60"/>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cnfStyle w:val="000000100000"/>
          <w:trHeight w:val="567"/>
        </w:trPr>
        <w:tc>
          <w:tcPr>
            <w:tcW w:w="1934" w:type="pct"/>
            <w:vAlign w:val="center"/>
            <w:hideMark/>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Murray main channel (from Hume dam to Darling junction)</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hideMark/>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Chowilla anabranch</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cnfStyle w:val="000000100000"/>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Lindsay–Wallpolla–</w:t>
            </w:r>
            <w:proofErr w:type="spellStart"/>
            <w:r w:rsidRPr="00060C7A">
              <w:rPr>
                <w:rFonts w:ascii="Century Gothic" w:hAnsi="Century Gothic"/>
                <w:sz w:val="20"/>
                <w:szCs w:val="20"/>
              </w:rPr>
              <w:t>Mularoo</w:t>
            </w:r>
            <w:proofErr w:type="spellEnd"/>
            <w:r w:rsidRPr="00060C7A">
              <w:rPr>
                <w:rFonts w:ascii="Century Gothic" w:hAnsi="Century Gothic"/>
                <w:sz w:val="20"/>
                <w:szCs w:val="20"/>
              </w:rPr>
              <w:t xml:space="preserve"> Creek</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Lower Darling main channel</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cnfStyle w:val="000000100000"/>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Darling anabranch</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Hattah Lakes</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r w:rsidR="00060C7A" w:rsidRPr="00060C7A" w:rsidTr="00EA1768">
        <w:trPr>
          <w:cnfStyle w:val="000000100000"/>
          <w:trHeight w:val="567"/>
        </w:trPr>
        <w:tc>
          <w:tcPr>
            <w:tcW w:w="1934" w:type="pct"/>
            <w:vAlign w:val="center"/>
          </w:tcPr>
          <w:p w:rsidR="00060C7A" w:rsidRPr="00060C7A" w:rsidRDefault="00060C7A" w:rsidP="00EA1768">
            <w:pPr>
              <w:tabs>
                <w:tab w:val="left" w:pos="318"/>
                <w:tab w:val="left" w:pos="567"/>
              </w:tabs>
              <w:spacing w:before="16" w:after="16" w:line="320" w:lineRule="exact"/>
              <w:contextualSpacing/>
              <w:rPr>
                <w:rFonts w:ascii="Century Gothic" w:hAnsi="Century Gothic"/>
                <w:sz w:val="20"/>
                <w:szCs w:val="20"/>
              </w:rPr>
            </w:pPr>
            <w:r w:rsidRPr="00060C7A">
              <w:rPr>
                <w:rFonts w:ascii="Century Gothic" w:hAnsi="Century Gothic"/>
                <w:sz w:val="20"/>
                <w:szCs w:val="20"/>
              </w:rPr>
              <w:t xml:space="preserve">Euston Lakes (including </w:t>
            </w:r>
            <w:proofErr w:type="spellStart"/>
            <w:r w:rsidRPr="00060C7A">
              <w:rPr>
                <w:rFonts w:ascii="Century Gothic" w:hAnsi="Century Gothic"/>
                <w:sz w:val="20"/>
                <w:szCs w:val="20"/>
              </w:rPr>
              <w:t>Washpen</w:t>
            </w:r>
            <w:proofErr w:type="spellEnd"/>
            <w:r w:rsidRPr="00060C7A">
              <w:rPr>
                <w:rFonts w:ascii="Century Gothic" w:hAnsi="Century Gothic"/>
                <w:sz w:val="20"/>
                <w:szCs w:val="20"/>
              </w:rPr>
              <w:t xml:space="preserve"> and </w:t>
            </w:r>
            <w:proofErr w:type="spellStart"/>
            <w:r w:rsidRPr="00060C7A">
              <w:rPr>
                <w:rFonts w:ascii="Century Gothic" w:hAnsi="Century Gothic"/>
                <w:sz w:val="20"/>
                <w:szCs w:val="20"/>
              </w:rPr>
              <w:t>Taila</w:t>
            </w:r>
            <w:proofErr w:type="spellEnd"/>
            <w:r w:rsidRPr="00060C7A">
              <w:rPr>
                <w:rFonts w:ascii="Century Gothic" w:hAnsi="Century Gothic"/>
                <w:sz w:val="20"/>
                <w:szCs w:val="20"/>
              </w:rPr>
              <w:t xml:space="preserve"> Creeks)</w:t>
            </w: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p>
        </w:tc>
        <w:tc>
          <w:tcPr>
            <w:tcW w:w="439" w:type="pct"/>
            <w:vAlign w:val="center"/>
          </w:tcPr>
          <w:p w:rsidR="00060C7A" w:rsidRPr="00060C7A" w:rsidRDefault="00060C7A" w:rsidP="00EA1768">
            <w:pPr>
              <w:spacing w:before="16" w:after="16"/>
              <w:jc w:val="center"/>
              <w:rPr>
                <w:rFonts w:ascii="Century Gothic" w:hAnsi="Century Gothic" w:cs="Arial"/>
                <w:sz w:val="20"/>
                <w:szCs w:val="20"/>
              </w:rPr>
            </w:pPr>
            <w:r w:rsidRPr="00060C7A">
              <w:rPr>
                <w:rFonts w:ascii="Century Gothic" w:hAnsi="Century Gothic" w:cs="Arial"/>
                <w:sz w:val="20"/>
                <w:szCs w:val="20"/>
              </w:rPr>
              <w:t>*</w:t>
            </w:r>
          </w:p>
        </w:tc>
        <w:tc>
          <w:tcPr>
            <w:tcW w:w="436" w:type="pct"/>
            <w:vAlign w:val="center"/>
          </w:tcPr>
          <w:p w:rsidR="00060C7A" w:rsidRPr="00060C7A" w:rsidRDefault="00060C7A" w:rsidP="00EA1768">
            <w:pPr>
              <w:spacing w:before="16" w:after="16"/>
              <w:jc w:val="center"/>
              <w:rPr>
                <w:rFonts w:ascii="Century Gothic" w:hAnsi="Century Gothic" w:cs="Arial"/>
                <w:sz w:val="20"/>
                <w:szCs w:val="20"/>
              </w:rPr>
            </w:pPr>
          </w:p>
        </w:tc>
        <w:tc>
          <w:tcPr>
            <w:tcW w:w="436" w:type="pct"/>
          </w:tcPr>
          <w:p w:rsidR="00060C7A" w:rsidRPr="00060C7A" w:rsidRDefault="00060C7A" w:rsidP="00EA1768">
            <w:pPr>
              <w:spacing w:before="16" w:after="16"/>
              <w:jc w:val="center"/>
              <w:rPr>
                <w:rFonts w:ascii="Century Gothic" w:hAnsi="Century Gothic"/>
                <w:sz w:val="20"/>
                <w:szCs w:val="20"/>
              </w:rPr>
            </w:pPr>
            <w:r w:rsidRPr="00060C7A">
              <w:rPr>
                <w:rFonts w:ascii="Century Gothic" w:hAnsi="Century Gothic"/>
                <w:sz w:val="20"/>
                <w:szCs w:val="20"/>
              </w:rPr>
              <w:t>Yes</w:t>
            </w:r>
            <w:r w:rsidRPr="00060C7A" w:rsidDel="00060C7A">
              <w:rPr>
                <w:rFonts w:ascii="Century Gothic" w:hAnsi="Century Gothic"/>
                <w:sz w:val="20"/>
                <w:szCs w:val="20"/>
              </w:rPr>
              <w:t xml:space="preserve"> </w:t>
            </w:r>
          </w:p>
        </w:tc>
      </w:tr>
    </w:tbl>
    <w:p w:rsidR="00E51CFE" w:rsidRDefault="00E51CFE" w:rsidP="00060C7A">
      <w:pPr>
        <w:pStyle w:val="Heading1"/>
        <w:numPr>
          <w:ilvl w:val="0"/>
          <w:numId w:val="0"/>
        </w:numPr>
        <w:ind w:left="360" w:hanging="360"/>
        <w:rPr>
          <w:rFonts w:ascii="Century Gothic" w:hAnsi="Century Gothic"/>
          <w:color w:val="5F497A" w:themeColor="accent4" w:themeShade="BF"/>
          <w:lang w:val="en-AU" w:eastAsia="en-AU"/>
        </w:rPr>
      </w:pPr>
    </w:p>
    <w:p w:rsidR="00060C7A" w:rsidRPr="008D2B6B" w:rsidRDefault="00E51CFE" w:rsidP="00060C7A">
      <w:pPr>
        <w:pStyle w:val="Heading1"/>
        <w:numPr>
          <w:ilvl w:val="0"/>
          <w:numId w:val="0"/>
        </w:numPr>
        <w:ind w:left="360" w:hanging="360"/>
        <w:rPr>
          <w:rFonts w:ascii="Century Gothic" w:hAnsi="Century Gothic"/>
          <w:color w:val="5F497A" w:themeColor="accent4" w:themeShade="BF"/>
          <w:lang w:val="en-AU" w:eastAsia="en-AU"/>
        </w:rPr>
      </w:pPr>
      <w:r>
        <w:rPr>
          <w:rFonts w:ascii="Century Gothic" w:hAnsi="Century Gothic"/>
          <w:color w:val="5F497A" w:themeColor="accent4" w:themeShade="BF"/>
          <w:lang w:val="en-AU" w:eastAsia="en-AU"/>
        </w:rPr>
        <w:br w:type="column"/>
      </w:r>
      <w:bookmarkStart w:id="35" w:name="_Toc422406876"/>
      <w:r w:rsidR="00060C7A" w:rsidRPr="008D2B6B">
        <w:rPr>
          <w:rFonts w:ascii="Century Gothic" w:hAnsi="Century Gothic"/>
          <w:color w:val="5F497A" w:themeColor="accent4" w:themeShade="BF"/>
          <w:lang w:val="en-AU" w:eastAsia="en-AU"/>
        </w:rPr>
        <w:lastRenderedPageBreak/>
        <w:t>Bibliography</w:t>
      </w:r>
      <w:bookmarkEnd w:id="35"/>
    </w:p>
    <w:p w:rsidR="00060C7A" w:rsidRDefault="00060C7A" w:rsidP="00060C7A">
      <w:pPr>
        <w:pStyle w:val="Default"/>
        <w:rPr>
          <w:rFonts w:ascii="Century Gothic" w:hAnsi="Century Gothic" w:cs="Angsana New"/>
          <w:color w:val="auto"/>
          <w:sz w:val="20"/>
          <w:szCs w:val="20"/>
          <w:lang w:eastAsia="zh-CN" w:bidi="th-TH"/>
        </w:rPr>
      </w:pPr>
      <w:r>
        <w:rPr>
          <w:rFonts w:ascii="Century Gothic" w:hAnsi="Century Gothic" w:cs="Angsana New"/>
          <w:color w:val="auto"/>
          <w:sz w:val="20"/>
          <w:szCs w:val="20"/>
          <w:lang w:eastAsia="zh-CN" w:bidi="th-TH"/>
        </w:rPr>
        <w:t xml:space="preserve">Department of Environment, Water and Natural Resources (2014) </w:t>
      </w:r>
      <w:r>
        <w:rPr>
          <w:rFonts w:ascii="Century Gothic" w:hAnsi="Century Gothic" w:cs="Angsana New"/>
          <w:i/>
          <w:color w:val="auto"/>
          <w:sz w:val="20"/>
          <w:szCs w:val="20"/>
          <w:lang w:eastAsia="zh-CN" w:bidi="th-TH"/>
        </w:rPr>
        <w:t>2014–</w:t>
      </w:r>
      <w:r w:rsidRPr="00EC4EAB">
        <w:rPr>
          <w:rFonts w:ascii="Century Gothic" w:hAnsi="Century Gothic" w:cs="Angsana New"/>
          <w:i/>
          <w:color w:val="auto"/>
          <w:sz w:val="20"/>
          <w:szCs w:val="20"/>
          <w:lang w:eastAsia="zh-CN" w:bidi="th-TH"/>
        </w:rPr>
        <w:t>15 Annual Environmental Watering Plan for the South Australian River Murray</w:t>
      </w:r>
    </w:p>
    <w:p w:rsidR="00060C7A" w:rsidRPr="00EC4EAB" w:rsidRDefault="00060C7A" w:rsidP="00060C7A">
      <w:pPr>
        <w:pStyle w:val="Default"/>
        <w:rPr>
          <w:rFonts w:ascii="Century Gothic" w:hAnsi="Century Gothic" w:cs="Angsana New"/>
          <w:color w:val="auto"/>
          <w:sz w:val="20"/>
          <w:szCs w:val="20"/>
          <w:lang w:eastAsia="zh-CN" w:bidi="th-TH"/>
        </w:rPr>
      </w:pPr>
    </w:p>
    <w:p w:rsidR="00060C7A" w:rsidRPr="008D2B6B" w:rsidRDefault="00060C7A" w:rsidP="00060C7A">
      <w:pPr>
        <w:pStyle w:val="Default"/>
        <w:rPr>
          <w:rFonts w:ascii="Century Gothic" w:hAnsi="Century Gothic" w:cs="Angsana New"/>
          <w:color w:val="auto"/>
          <w:sz w:val="20"/>
          <w:szCs w:val="20"/>
          <w:lang w:eastAsia="zh-CN" w:bidi="th-TH"/>
        </w:rPr>
      </w:pPr>
      <w:r w:rsidRPr="008D2B6B">
        <w:rPr>
          <w:rFonts w:ascii="Century Gothic" w:hAnsi="Century Gothic" w:cs="Angsana New"/>
          <w:color w:val="auto"/>
          <w:sz w:val="20"/>
          <w:szCs w:val="20"/>
          <w:lang w:eastAsia="zh-CN" w:bidi="th-TH"/>
        </w:rPr>
        <w:t xml:space="preserve">Department of the Environment (2014), </w:t>
      </w:r>
      <w:r w:rsidRPr="008D2B6B">
        <w:rPr>
          <w:rFonts w:ascii="Century Gothic" w:hAnsi="Century Gothic" w:cs="Angsana New"/>
          <w:i/>
          <w:color w:val="auto"/>
          <w:sz w:val="20"/>
          <w:szCs w:val="20"/>
          <w:lang w:eastAsia="zh-CN" w:bidi="th-TH"/>
        </w:rPr>
        <w:t>Long-Term Intervention Monitoring Project: Lower Murray Selected Area Monitoring and Evaluation Plan</w:t>
      </w:r>
      <w:r w:rsidRPr="008D2B6B">
        <w:rPr>
          <w:rFonts w:ascii="Century Gothic" w:hAnsi="Century Gothic" w:cs="Angsana New"/>
          <w:color w:val="auto"/>
          <w:sz w:val="20"/>
          <w:szCs w:val="20"/>
          <w:lang w:eastAsia="zh-CN" w:bidi="th-TH"/>
        </w:rPr>
        <w:t>, prepared by SARDI, University of Adelaide, CSIRO, EPA, DEWNR &amp; In Fusion, Commonwealth Environmental Water Office.</w:t>
      </w:r>
      <w:r w:rsidRPr="008D2B6B">
        <w:rPr>
          <w:sz w:val="20"/>
          <w:szCs w:val="20"/>
        </w:rPr>
        <w:t xml:space="preserve"> </w:t>
      </w:r>
    </w:p>
    <w:p w:rsidR="00060C7A" w:rsidRPr="008D2B6B" w:rsidRDefault="00060C7A" w:rsidP="00060C7A">
      <w:pPr>
        <w:autoSpaceDE w:val="0"/>
        <w:autoSpaceDN w:val="0"/>
        <w:adjustRightInd w:val="0"/>
        <w:spacing w:before="120" w:after="120"/>
        <w:rPr>
          <w:rFonts w:ascii="Century Gothic" w:hAnsi="Century Gothic" w:cs="Angsana New"/>
          <w:sz w:val="20"/>
          <w:szCs w:val="20"/>
          <w:lang w:eastAsia="zh-CN" w:bidi="th-TH"/>
        </w:rPr>
      </w:pPr>
      <w:r w:rsidRPr="008D2B6B">
        <w:rPr>
          <w:rFonts w:ascii="Century Gothic" w:hAnsi="Century Gothic" w:cs="Angsana New"/>
          <w:sz w:val="20"/>
          <w:szCs w:val="20"/>
          <w:lang w:eastAsia="zh-CN" w:bidi="th-TH"/>
        </w:rPr>
        <w:t xml:space="preserve">Department of the Environment (2011), </w:t>
      </w:r>
      <w:r w:rsidRPr="008D2B6B">
        <w:rPr>
          <w:rFonts w:ascii="Century Gothic" w:hAnsi="Century Gothic" w:cs="Angsana New"/>
          <w:i/>
          <w:sz w:val="20"/>
          <w:szCs w:val="20"/>
          <w:lang w:eastAsia="zh-CN" w:bidi="th-TH"/>
        </w:rPr>
        <w:t xml:space="preserve">Environmental </w:t>
      </w:r>
      <w:r w:rsidRPr="008D2B6B">
        <w:rPr>
          <w:rFonts w:ascii="Century Gothic" w:hAnsi="Century Gothic" w:cs="Angsana New"/>
          <w:i/>
          <w:sz w:val="20"/>
          <w:szCs w:val="20"/>
          <w:lang w:eastAsia="zh-CN"/>
        </w:rPr>
        <w:t>water delivery: River Murray—Coorong, Lower Lakes and main channel below Lock 1</w:t>
      </w:r>
      <w:r w:rsidRPr="008D2B6B">
        <w:rPr>
          <w:rFonts w:ascii="Century Gothic" w:hAnsi="Century Gothic" w:cs="Angsana New"/>
          <w:sz w:val="20"/>
          <w:szCs w:val="20"/>
          <w:lang w:eastAsia="zh-CN"/>
        </w:rPr>
        <w:t xml:space="preserve">, prepared by </w:t>
      </w:r>
      <w:r w:rsidRPr="008D2B6B">
        <w:rPr>
          <w:rFonts w:ascii="Century Gothic" w:hAnsi="Century Gothic" w:cs="Angsana New"/>
          <w:sz w:val="20"/>
          <w:szCs w:val="20"/>
          <w:lang w:eastAsia="zh-CN" w:bidi="th-TH"/>
        </w:rPr>
        <w:t xml:space="preserve">Australian Water Environments, Ecological Associates &amp; GHD Pty Ltd, </w:t>
      </w:r>
      <w:r w:rsidRPr="008D2B6B">
        <w:rPr>
          <w:rFonts w:ascii="Century Gothic" w:hAnsi="Century Gothic" w:cs="Angsana New"/>
          <w:sz w:val="20"/>
          <w:szCs w:val="20"/>
          <w:lang w:eastAsia="zh-CN"/>
        </w:rPr>
        <w:t xml:space="preserve">Commonwealth Environmental Water Office. </w:t>
      </w:r>
    </w:p>
    <w:p w:rsidR="00060C7A" w:rsidRPr="008D2B6B" w:rsidRDefault="00060C7A" w:rsidP="00060C7A">
      <w:pPr>
        <w:pStyle w:val="BodyText1"/>
        <w:spacing w:line="240" w:lineRule="auto"/>
        <w:jc w:val="left"/>
        <w:rPr>
          <w:sz w:val="20"/>
          <w:szCs w:val="20"/>
        </w:rPr>
      </w:pPr>
      <w:r w:rsidRPr="008D2B6B">
        <w:rPr>
          <w:sz w:val="20"/>
          <w:szCs w:val="20"/>
        </w:rPr>
        <w:t xml:space="preserve">Department of the Environment (unpublished), </w:t>
      </w:r>
      <w:r w:rsidRPr="008D2B6B">
        <w:rPr>
          <w:i/>
          <w:sz w:val="20"/>
          <w:szCs w:val="20"/>
        </w:rPr>
        <w:t>Environmental Water Delivery: River Murray – South Australian Border to Lock 1</w:t>
      </w:r>
      <w:r w:rsidRPr="008D2B6B">
        <w:rPr>
          <w:sz w:val="20"/>
          <w:szCs w:val="20"/>
        </w:rPr>
        <w:t>, Commonwealth Environmental Water Office.</w:t>
      </w:r>
    </w:p>
    <w:p w:rsidR="00060C7A" w:rsidRDefault="00060C7A" w:rsidP="00060C7A">
      <w:pPr>
        <w:pStyle w:val="BodyText1"/>
        <w:spacing w:line="240" w:lineRule="auto"/>
        <w:jc w:val="left"/>
        <w:rPr>
          <w:sz w:val="20"/>
          <w:szCs w:val="20"/>
        </w:rPr>
      </w:pPr>
      <w:r w:rsidRPr="008D2B6B">
        <w:rPr>
          <w:sz w:val="20"/>
          <w:szCs w:val="20"/>
        </w:rPr>
        <w:t xml:space="preserve">Ecological Associates (2010), </w:t>
      </w:r>
      <w:proofErr w:type="gramStart"/>
      <w:r w:rsidRPr="008D2B6B">
        <w:rPr>
          <w:i/>
          <w:sz w:val="20"/>
          <w:szCs w:val="20"/>
        </w:rPr>
        <w:t>The</w:t>
      </w:r>
      <w:proofErr w:type="gramEnd"/>
      <w:r w:rsidRPr="008D2B6B">
        <w:rPr>
          <w:i/>
          <w:sz w:val="20"/>
          <w:szCs w:val="20"/>
        </w:rPr>
        <w:t xml:space="preserve"> Environmental Watering Requirements of the South Australian River Murray</w:t>
      </w:r>
      <w:r w:rsidRPr="008D2B6B">
        <w:rPr>
          <w:sz w:val="20"/>
          <w:szCs w:val="20"/>
        </w:rPr>
        <w:t>.</w:t>
      </w:r>
    </w:p>
    <w:p w:rsidR="00060C7A" w:rsidRPr="008D2B6B" w:rsidRDefault="00060C7A" w:rsidP="00060C7A">
      <w:pPr>
        <w:pStyle w:val="BodyText1"/>
        <w:spacing w:line="240" w:lineRule="auto"/>
        <w:jc w:val="left"/>
        <w:rPr>
          <w:sz w:val="20"/>
          <w:szCs w:val="20"/>
        </w:rPr>
      </w:pPr>
      <w:r w:rsidRPr="008D2B6B">
        <w:rPr>
          <w:sz w:val="20"/>
          <w:szCs w:val="20"/>
        </w:rPr>
        <w:t xml:space="preserve">Ecological Associates (2015), </w:t>
      </w:r>
      <w:r w:rsidRPr="008D2B6B">
        <w:rPr>
          <w:i/>
          <w:sz w:val="20"/>
          <w:szCs w:val="20"/>
        </w:rPr>
        <w:t>Environmental Water Management Plan for the River Murray from Lock 6 to Lock 10 – System Characterisation</w:t>
      </w:r>
      <w:r w:rsidRPr="008D2B6B">
        <w:rPr>
          <w:sz w:val="20"/>
          <w:szCs w:val="20"/>
        </w:rPr>
        <w:t xml:space="preserve">. </w:t>
      </w:r>
    </w:p>
    <w:p w:rsidR="00060C7A" w:rsidRPr="008D2B6B" w:rsidRDefault="00060C7A" w:rsidP="00060C7A">
      <w:pPr>
        <w:pStyle w:val="BodyText1"/>
        <w:spacing w:line="240" w:lineRule="auto"/>
        <w:jc w:val="left"/>
        <w:rPr>
          <w:sz w:val="20"/>
          <w:szCs w:val="20"/>
        </w:rPr>
      </w:pPr>
      <w:r w:rsidRPr="008D2B6B">
        <w:rPr>
          <w:sz w:val="20"/>
          <w:szCs w:val="20"/>
        </w:rPr>
        <w:t>MDBA—see Murray-Darling Basin Authority</w:t>
      </w:r>
    </w:p>
    <w:p w:rsidR="00060C7A" w:rsidRPr="005200C1" w:rsidRDefault="00060C7A" w:rsidP="00060C7A">
      <w:pPr>
        <w:pStyle w:val="BodyText1"/>
        <w:spacing w:line="240" w:lineRule="auto"/>
        <w:jc w:val="left"/>
        <w:rPr>
          <w:i/>
          <w:sz w:val="20"/>
          <w:szCs w:val="20"/>
        </w:rPr>
      </w:pPr>
      <w:r w:rsidRPr="007C76E4">
        <w:rPr>
          <w:sz w:val="20"/>
          <w:szCs w:val="20"/>
        </w:rPr>
        <w:t>Murray-Darling Basin Authority (201</w:t>
      </w:r>
      <w:r>
        <w:rPr>
          <w:sz w:val="20"/>
          <w:szCs w:val="20"/>
        </w:rPr>
        <w:t>5</w:t>
      </w:r>
      <w:r w:rsidRPr="007C76E4">
        <w:rPr>
          <w:sz w:val="20"/>
          <w:szCs w:val="20"/>
        </w:rPr>
        <w:t xml:space="preserve">), </w:t>
      </w:r>
      <w:r w:rsidRPr="007C76E4">
        <w:rPr>
          <w:i/>
          <w:sz w:val="20"/>
          <w:szCs w:val="20"/>
        </w:rPr>
        <w:t>Basin</w:t>
      </w:r>
      <w:r>
        <w:rPr>
          <w:i/>
          <w:sz w:val="20"/>
          <w:szCs w:val="20"/>
        </w:rPr>
        <w:t xml:space="preserve"> environmental watering outlook for 2015–16</w:t>
      </w:r>
    </w:p>
    <w:p w:rsidR="00060C7A" w:rsidRPr="008D2B6B" w:rsidRDefault="00060C7A" w:rsidP="00060C7A">
      <w:pPr>
        <w:pStyle w:val="BodyText1"/>
        <w:spacing w:line="240" w:lineRule="auto"/>
        <w:jc w:val="left"/>
        <w:rPr>
          <w:sz w:val="20"/>
          <w:szCs w:val="20"/>
        </w:rPr>
      </w:pPr>
      <w:proofErr w:type="gramStart"/>
      <w:r w:rsidRPr="008D2B6B">
        <w:rPr>
          <w:sz w:val="20"/>
          <w:szCs w:val="20"/>
        </w:rPr>
        <w:t xml:space="preserve">Murray-Darling Basin Authority (2014 (a)), </w:t>
      </w:r>
      <w:r w:rsidRPr="008D2B6B">
        <w:rPr>
          <w:i/>
          <w:sz w:val="20"/>
          <w:szCs w:val="20"/>
        </w:rPr>
        <w:t>Basin-wide environmental watering strategy</w:t>
      </w:r>
      <w:r w:rsidRPr="008D2B6B">
        <w:rPr>
          <w:sz w:val="20"/>
          <w:szCs w:val="20"/>
        </w:rPr>
        <w:t>.</w:t>
      </w:r>
      <w:proofErr w:type="gramEnd"/>
    </w:p>
    <w:p w:rsidR="00060C7A" w:rsidRPr="008D2B6B" w:rsidRDefault="00060C7A" w:rsidP="00060C7A">
      <w:pPr>
        <w:tabs>
          <w:tab w:val="left" w:pos="851"/>
        </w:tabs>
        <w:spacing w:before="120" w:after="120"/>
        <w:rPr>
          <w:rFonts w:ascii="Century Gothic" w:hAnsi="Century Gothic" w:cs="Angsana New"/>
          <w:sz w:val="20"/>
          <w:szCs w:val="20"/>
          <w:lang w:eastAsia="zh-CN" w:bidi="th-TH"/>
        </w:rPr>
      </w:pPr>
      <w:r w:rsidRPr="008D2B6B">
        <w:rPr>
          <w:rFonts w:ascii="Century Gothic" w:hAnsi="Century Gothic" w:cs="Angsana New"/>
          <w:sz w:val="20"/>
          <w:szCs w:val="20"/>
          <w:lang w:eastAsia="zh-CN" w:bidi="th-TH"/>
        </w:rPr>
        <w:t>Murray-Darling Basin Authority</w:t>
      </w:r>
      <w:r w:rsidRPr="008D2B6B">
        <w:rPr>
          <w:rFonts w:ascii="Century Gothic" w:hAnsi="Century Gothic" w:cs="Angsana New"/>
          <w:i/>
          <w:sz w:val="20"/>
          <w:szCs w:val="20"/>
          <w:lang w:eastAsia="zh-CN" w:bidi="th-TH"/>
        </w:rPr>
        <w:t xml:space="preserve"> </w:t>
      </w:r>
      <w:r w:rsidRPr="008D2B6B">
        <w:rPr>
          <w:rFonts w:ascii="Century Gothic" w:hAnsi="Century Gothic" w:cs="Angsana New"/>
          <w:sz w:val="20"/>
          <w:szCs w:val="20"/>
          <w:lang w:eastAsia="zh-CN" w:bidi="th-TH"/>
        </w:rPr>
        <w:t>(2014 (b))</w:t>
      </w:r>
      <w:r w:rsidRPr="008D2B6B">
        <w:rPr>
          <w:rFonts w:ascii="Century Gothic" w:hAnsi="Century Gothic" w:cs="Angsana New"/>
          <w:i/>
          <w:sz w:val="20"/>
          <w:szCs w:val="20"/>
          <w:lang w:eastAsia="zh-CN" w:bidi="th-TH"/>
        </w:rPr>
        <w:t xml:space="preserve"> Chowilla Floodplain: Operations Plan for Chowilla Creek Regulator and ancillary structures</w:t>
      </w:r>
      <w:r w:rsidRPr="008D2B6B">
        <w:rPr>
          <w:rFonts w:ascii="Century Gothic" w:hAnsi="Century Gothic" w:cs="Angsana New"/>
          <w:sz w:val="20"/>
          <w:szCs w:val="20"/>
          <w:lang w:eastAsia="zh-CN" w:bidi="th-TH"/>
        </w:rPr>
        <w:t>.</w:t>
      </w:r>
    </w:p>
    <w:p w:rsidR="00060C7A" w:rsidRPr="008D2B6B" w:rsidRDefault="00060C7A" w:rsidP="00060C7A">
      <w:pPr>
        <w:spacing w:after="120"/>
        <w:rPr>
          <w:rFonts w:ascii="Century Gothic" w:hAnsi="Century Gothic" w:cstheme="minorHAnsi"/>
          <w:sz w:val="20"/>
        </w:rPr>
      </w:pPr>
      <w:r w:rsidRPr="008D2B6B">
        <w:rPr>
          <w:rFonts w:ascii="Century Gothic" w:hAnsi="Century Gothic" w:cstheme="minorHAnsi"/>
          <w:sz w:val="20"/>
        </w:rPr>
        <w:t xml:space="preserve">Murray-Darling Basin Authority (2013), </w:t>
      </w:r>
      <w:r w:rsidRPr="008D2B6B">
        <w:rPr>
          <w:rFonts w:ascii="Century Gothic" w:hAnsi="Century Gothic"/>
          <w:i/>
          <w:iCs/>
          <w:sz w:val="20"/>
        </w:rPr>
        <w:t xml:space="preserve">Constraints Management Strategy 2013 to 2024, </w:t>
      </w:r>
      <w:r w:rsidRPr="008D2B6B">
        <w:rPr>
          <w:rFonts w:ascii="Century Gothic" w:hAnsi="Century Gothic" w:cstheme="minorHAnsi"/>
          <w:sz w:val="20"/>
        </w:rPr>
        <w:t xml:space="preserve">viewed 20 </w:t>
      </w:r>
      <w:r w:rsidRPr="008D2B6B">
        <w:rPr>
          <w:rFonts w:ascii="Century Gothic" w:hAnsi="Century Gothic" w:cs="Angsana New"/>
          <w:sz w:val="20"/>
          <w:lang w:eastAsia="zh-CN" w:bidi="th-TH"/>
        </w:rPr>
        <w:t>March 2015</w:t>
      </w:r>
      <w:r w:rsidRPr="008D2B6B">
        <w:rPr>
          <w:rFonts w:ascii="Century Gothic" w:hAnsi="Century Gothic"/>
          <w:sz w:val="20"/>
        </w:rPr>
        <w:t>, &lt;</w:t>
      </w:r>
      <w:hyperlink r:id="rId32" w:history="1">
        <w:r w:rsidRPr="008D2B6B">
          <w:rPr>
            <w:rStyle w:val="Hyperlink"/>
            <w:rFonts w:ascii="Century Gothic" w:hAnsi="Century Gothic"/>
            <w:iCs/>
            <w:color w:val="000000" w:themeColor="text1"/>
            <w:sz w:val="20"/>
            <w:u w:val="none"/>
          </w:rPr>
          <w:t>www.mdba.gov.au/what-we-do/water-planning/managing-constraints</w:t>
        </w:r>
      </w:hyperlink>
      <w:r w:rsidRPr="008D2B6B">
        <w:rPr>
          <w:rFonts w:ascii="Century Gothic" w:hAnsi="Century Gothic"/>
          <w:sz w:val="20"/>
        </w:rPr>
        <w:t>&gt;</w:t>
      </w:r>
      <w:r w:rsidRPr="008D2B6B">
        <w:rPr>
          <w:rFonts w:ascii="Century Gothic" w:hAnsi="Century Gothic" w:cs="Angsana New"/>
          <w:sz w:val="20"/>
          <w:lang w:eastAsia="zh-CN" w:bidi="th-TH"/>
        </w:rPr>
        <w:t>.</w:t>
      </w:r>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(a)), </w:t>
      </w:r>
      <w:r w:rsidRPr="008D2B6B">
        <w:rPr>
          <w:i/>
          <w:sz w:val="20"/>
          <w:szCs w:val="20"/>
        </w:rPr>
        <w:t>Assessment of environmental water requirements for the proposed Basin Plan: Hattah Lakes</w:t>
      </w:r>
      <w:r w:rsidRPr="008D2B6B">
        <w:rPr>
          <w:sz w:val="20"/>
          <w:szCs w:val="20"/>
        </w:rPr>
        <w:t xml:space="preserve">.  </w:t>
      </w:r>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(b)), </w:t>
      </w:r>
      <w:r w:rsidRPr="008D2B6B">
        <w:rPr>
          <w:i/>
          <w:sz w:val="20"/>
          <w:szCs w:val="20"/>
        </w:rPr>
        <w:t>Assessment of environmental water requirements for the proposed Basin Plan: Lower Darling River System</w:t>
      </w:r>
      <w:r w:rsidRPr="008D2B6B">
        <w:rPr>
          <w:sz w:val="20"/>
          <w:szCs w:val="20"/>
        </w:rPr>
        <w:t>.</w:t>
      </w:r>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(c)), </w:t>
      </w:r>
      <w:r w:rsidRPr="008D2B6B">
        <w:rPr>
          <w:i/>
          <w:sz w:val="20"/>
          <w:szCs w:val="20"/>
        </w:rPr>
        <w:t>Assessment of environmental water requirements for the proposed Basin Plan: Riverland Chowilla Floodplain</w:t>
      </w:r>
      <w:r w:rsidRPr="008D2B6B">
        <w:rPr>
          <w:sz w:val="20"/>
          <w:szCs w:val="20"/>
        </w:rPr>
        <w:t>.</w:t>
      </w:r>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(d)), </w:t>
      </w:r>
      <w:r w:rsidRPr="008D2B6B">
        <w:rPr>
          <w:i/>
          <w:sz w:val="20"/>
          <w:szCs w:val="20"/>
        </w:rPr>
        <w:t>Assessment of environmental water requirements for the proposed Basin Plan: Lower River Murray In-channel Flows</w:t>
      </w:r>
      <w:r w:rsidRPr="008D2B6B">
        <w:rPr>
          <w:sz w:val="20"/>
          <w:szCs w:val="20"/>
        </w:rPr>
        <w:t>.</w:t>
      </w:r>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(e)), </w:t>
      </w:r>
      <w:r w:rsidRPr="008D2B6B">
        <w:rPr>
          <w:i/>
          <w:sz w:val="20"/>
          <w:szCs w:val="20"/>
        </w:rPr>
        <w:t>Assessment of environmental water requirements for the proposed Basin Plan: Coorong, Lower Lakes and Murray Mouth</w:t>
      </w:r>
      <w:r w:rsidRPr="008D2B6B">
        <w:rPr>
          <w:sz w:val="20"/>
          <w:szCs w:val="20"/>
        </w:rPr>
        <w:t>.</w:t>
      </w:r>
    </w:p>
    <w:p w:rsidR="00060C7A" w:rsidRPr="008D2B6B" w:rsidRDefault="00060C7A" w:rsidP="00060C7A">
      <w:pPr>
        <w:pStyle w:val="BodyText1"/>
        <w:spacing w:line="240" w:lineRule="auto"/>
        <w:jc w:val="left"/>
        <w:rPr>
          <w:b/>
          <w:sz w:val="20"/>
          <w:szCs w:val="20"/>
        </w:rPr>
      </w:pPr>
      <w:proofErr w:type="gramStart"/>
      <w:r w:rsidRPr="008D2B6B">
        <w:rPr>
          <w:sz w:val="20"/>
          <w:szCs w:val="20"/>
        </w:rPr>
        <w:t xml:space="preserve">Murray-Darling Basin Authority (2012 (f)), </w:t>
      </w:r>
      <w:r w:rsidRPr="008D2B6B">
        <w:rPr>
          <w:i/>
          <w:sz w:val="20"/>
          <w:szCs w:val="20"/>
        </w:rPr>
        <w:t>Lindsay-Wallpolla Islands Environmental Water Management Plan</w:t>
      </w:r>
      <w:r w:rsidRPr="008D2B6B">
        <w:rPr>
          <w:sz w:val="20"/>
          <w:szCs w:val="20"/>
        </w:rPr>
        <w:t>.</w:t>
      </w:r>
      <w:proofErr w:type="gramEnd"/>
    </w:p>
    <w:p w:rsidR="00060C7A" w:rsidRPr="008D2B6B" w:rsidRDefault="00060C7A" w:rsidP="00060C7A">
      <w:pPr>
        <w:pStyle w:val="BodyText1"/>
        <w:spacing w:line="240" w:lineRule="auto"/>
        <w:jc w:val="left"/>
        <w:rPr>
          <w:b/>
          <w:sz w:val="20"/>
          <w:szCs w:val="20"/>
        </w:rPr>
      </w:pPr>
      <w:proofErr w:type="gramStart"/>
      <w:r w:rsidRPr="008D2B6B">
        <w:rPr>
          <w:sz w:val="20"/>
          <w:szCs w:val="20"/>
        </w:rPr>
        <w:t xml:space="preserve">Murray-Darling Basin Authority (2012 (g)), </w:t>
      </w:r>
      <w:r w:rsidRPr="008D2B6B">
        <w:rPr>
          <w:i/>
          <w:sz w:val="20"/>
          <w:szCs w:val="20"/>
        </w:rPr>
        <w:t>Hattah Lakes Environmental Water Management Plan</w:t>
      </w:r>
      <w:r w:rsidRPr="008D2B6B">
        <w:rPr>
          <w:sz w:val="20"/>
          <w:szCs w:val="20"/>
        </w:rPr>
        <w:t>.</w:t>
      </w:r>
      <w:proofErr w:type="gramEnd"/>
    </w:p>
    <w:p w:rsidR="00060C7A" w:rsidRPr="008D2B6B" w:rsidRDefault="00060C7A" w:rsidP="00060C7A">
      <w:pPr>
        <w:pStyle w:val="BodyText1"/>
        <w:spacing w:line="240" w:lineRule="auto"/>
        <w:jc w:val="left"/>
        <w:rPr>
          <w:b/>
          <w:sz w:val="20"/>
          <w:szCs w:val="20"/>
        </w:rPr>
      </w:pPr>
      <w:r w:rsidRPr="008D2B6B">
        <w:rPr>
          <w:sz w:val="20"/>
          <w:szCs w:val="20"/>
        </w:rPr>
        <w:t xml:space="preserve">Murray-Darling Basin Authority (2012 (h)), </w:t>
      </w:r>
      <w:r w:rsidRPr="008D2B6B">
        <w:rPr>
          <w:i/>
          <w:sz w:val="20"/>
          <w:szCs w:val="20"/>
        </w:rPr>
        <w:t>Chowilla Floodplain Environmental Water Management Plan</w:t>
      </w:r>
      <w:r w:rsidRPr="008D2B6B">
        <w:rPr>
          <w:sz w:val="20"/>
          <w:szCs w:val="20"/>
        </w:rPr>
        <w:t>.</w:t>
      </w:r>
    </w:p>
    <w:p w:rsidR="00060C7A" w:rsidRPr="008D2B6B" w:rsidRDefault="00060C7A" w:rsidP="00060C7A">
      <w:pPr>
        <w:pStyle w:val="BodyText1"/>
        <w:spacing w:line="240" w:lineRule="auto"/>
        <w:jc w:val="left"/>
        <w:rPr>
          <w:sz w:val="20"/>
          <w:szCs w:val="20"/>
        </w:rPr>
      </w:pPr>
      <w:r w:rsidRPr="008D2B6B">
        <w:rPr>
          <w:sz w:val="20"/>
          <w:szCs w:val="20"/>
        </w:rPr>
        <w:t>Murray-Darling Basin Authority (2012 (</w:t>
      </w:r>
      <w:proofErr w:type="spellStart"/>
      <w:r w:rsidRPr="008D2B6B">
        <w:rPr>
          <w:sz w:val="20"/>
          <w:szCs w:val="20"/>
        </w:rPr>
        <w:t>i</w:t>
      </w:r>
      <w:proofErr w:type="spellEnd"/>
      <w:r w:rsidRPr="008D2B6B">
        <w:rPr>
          <w:sz w:val="20"/>
          <w:szCs w:val="20"/>
        </w:rPr>
        <w:t xml:space="preserve">)), </w:t>
      </w:r>
      <w:r w:rsidRPr="008D2B6B">
        <w:rPr>
          <w:i/>
          <w:sz w:val="20"/>
          <w:szCs w:val="20"/>
        </w:rPr>
        <w:t>Coorong, Lower Lakes and Murray Mouth Environmental Water Management Plan</w:t>
      </w:r>
      <w:r w:rsidRPr="008D2B6B">
        <w:rPr>
          <w:sz w:val="20"/>
          <w:szCs w:val="20"/>
        </w:rPr>
        <w:t>.</w:t>
      </w:r>
    </w:p>
    <w:p w:rsidR="00060C7A" w:rsidRPr="008D2B6B" w:rsidRDefault="00060C7A" w:rsidP="00060C7A">
      <w:pPr>
        <w:pStyle w:val="BodyText1"/>
        <w:spacing w:line="240" w:lineRule="auto"/>
        <w:jc w:val="left"/>
        <w:rPr>
          <w:sz w:val="20"/>
          <w:szCs w:val="20"/>
        </w:rPr>
      </w:pPr>
      <w:r w:rsidRPr="008D2B6B">
        <w:rPr>
          <w:sz w:val="20"/>
          <w:szCs w:val="20"/>
        </w:rPr>
        <w:t xml:space="preserve">Murray-Darling Basin Authority (2012 (j)), </w:t>
      </w:r>
      <w:r w:rsidRPr="008D2B6B">
        <w:rPr>
          <w:i/>
          <w:sz w:val="20"/>
          <w:szCs w:val="20"/>
        </w:rPr>
        <w:t>Hydrologic modelling to inform the proposed Basin Plan: Methods and results</w:t>
      </w:r>
      <w:r w:rsidRPr="008D2B6B">
        <w:rPr>
          <w:sz w:val="20"/>
          <w:szCs w:val="20"/>
        </w:rPr>
        <w:t>.</w:t>
      </w:r>
    </w:p>
    <w:p w:rsidR="00060C7A" w:rsidRPr="008D2B6B" w:rsidRDefault="00060C7A" w:rsidP="00060C7A">
      <w:pPr>
        <w:pStyle w:val="BodyText1"/>
        <w:spacing w:line="240" w:lineRule="auto"/>
        <w:jc w:val="left"/>
        <w:rPr>
          <w:sz w:val="20"/>
          <w:szCs w:val="20"/>
        </w:rPr>
      </w:pPr>
      <w:r w:rsidRPr="008D2B6B">
        <w:rPr>
          <w:sz w:val="20"/>
          <w:szCs w:val="20"/>
        </w:rPr>
        <w:t xml:space="preserve">Murray-Darling Basin Authority (2012 (k)), </w:t>
      </w:r>
      <w:r w:rsidRPr="008D2B6B">
        <w:rPr>
          <w:i/>
          <w:sz w:val="20"/>
          <w:szCs w:val="20"/>
        </w:rPr>
        <w:t xml:space="preserve">The Living Murray Interim Operating Plan 2012-13, Hattah Lakes Environmental Works and Measures Program. </w:t>
      </w:r>
    </w:p>
    <w:p w:rsidR="00060C7A" w:rsidRPr="008D2B6B" w:rsidRDefault="00060C7A" w:rsidP="00060C7A">
      <w:pPr>
        <w:spacing w:before="120" w:after="120"/>
        <w:rPr>
          <w:rFonts w:ascii="Century Gothic" w:hAnsi="Century Gothic"/>
        </w:rPr>
      </w:pPr>
      <w:proofErr w:type="spellStart"/>
      <w:r w:rsidRPr="008D2B6B">
        <w:rPr>
          <w:rFonts w:ascii="Century Gothic" w:hAnsi="Century Gothic" w:cs="Arial Narrow"/>
          <w:color w:val="000000"/>
          <w:sz w:val="20"/>
          <w:szCs w:val="20"/>
        </w:rPr>
        <w:t>Nias</w:t>
      </w:r>
      <w:proofErr w:type="spellEnd"/>
      <w:r w:rsidRPr="008D2B6B">
        <w:rPr>
          <w:rFonts w:ascii="Century Gothic" w:hAnsi="Century Gothic" w:cs="Arial Narrow"/>
          <w:color w:val="000000"/>
          <w:sz w:val="20"/>
          <w:szCs w:val="20"/>
        </w:rPr>
        <w:t xml:space="preserve">, D (2002) </w:t>
      </w:r>
      <w:proofErr w:type="gramStart"/>
      <w:r w:rsidRPr="008D2B6B">
        <w:rPr>
          <w:rFonts w:ascii="Century Gothic" w:hAnsi="Century Gothic" w:cs="Arial Narrow"/>
          <w:i/>
          <w:iCs/>
          <w:color w:val="000000"/>
          <w:sz w:val="20"/>
          <w:szCs w:val="20"/>
        </w:rPr>
        <w:t>The</w:t>
      </w:r>
      <w:proofErr w:type="gramEnd"/>
      <w:r w:rsidRPr="008D2B6B">
        <w:rPr>
          <w:rFonts w:ascii="Century Gothic" w:hAnsi="Century Gothic" w:cs="Arial Narrow"/>
          <w:i/>
          <w:iCs/>
          <w:color w:val="000000"/>
          <w:sz w:val="20"/>
          <w:szCs w:val="20"/>
        </w:rPr>
        <w:t xml:space="preserve"> Darling Anabranch Management Plan: A Proposal for the Future of the Darling Anabranch, </w:t>
      </w:r>
      <w:r w:rsidRPr="008D2B6B">
        <w:rPr>
          <w:rFonts w:ascii="Century Gothic" w:hAnsi="Century Gothic" w:cs="Arial Narrow"/>
          <w:color w:val="000000"/>
          <w:sz w:val="20"/>
          <w:szCs w:val="20"/>
        </w:rPr>
        <w:t xml:space="preserve">The Great Anabranch of the Darling Water Trust, Wentworth. </w:t>
      </w:r>
      <w:r w:rsidRPr="008D2B6B">
        <w:rPr>
          <w:rFonts w:ascii="Century Gothic" w:hAnsi="Century Gothic"/>
        </w:rPr>
        <w:t xml:space="preserve"> </w:t>
      </w:r>
    </w:p>
    <w:p w:rsidR="00060C7A" w:rsidRPr="008833BA" w:rsidRDefault="00060C7A" w:rsidP="00060C7A">
      <w:pPr>
        <w:rPr>
          <w:rFonts w:ascii="Century Gothic" w:hAnsi="Century Gothic" w:cs="Angsana New"/>
          <w:sz w:val="20"/>
          <w:lang w:eastAsia="zh-CN" w:bidi="th-TH"/>
        </w:rPr>
      </w:pPr>
      <w:r w:rsidRPr="008833BA">
        <w:rPr>
          <w:rFonts w:ascii="Century Gothic" w:hAnsi="Century Gothic" w:cs="Angsana New"/>
          <w:sz w:val="20"/>
          <w:lang w:eastAsia="zh-CN" w:bidi="th-TH"/>
        </w:rPr>
        <w:lastRenderedPageBreak/>
        <w:t xml:space="preserve">New South Wales Office of Environment and Heritage </w:t>
      </w:r>
      <w:r>
        <w:rPr>
          <w:rFonts w:ascii="Century Gothic" w:hAnsi="Century Gothic" w:cs="Angsana New"/>
          <w:sz w:val="20"/>
          <w:lang w:eastAsia="zh-CN" w:bidi="th-TH"/>
        </w:rPr>
        <w:t xml:space="preserve">(2014) </w:t>
      </w:r>
      <w:r>
        <w:rPr>
          <w:rFonts w:ascii="Century Gothic" w:hAnsi="Century Gothic" w:cs="Angsana New"/>
          <w:i/>
          <w:sz w:val="20"/>
          <w:lang w:eastAsia="zh-CN" w:bidi="th-TH"/>
        </w:rPr>
        <w:t>Murray and Lower Darling Valleys: Annual Environmental Watering Plan 2015–2016</w:t>
      </w:r>
      <w:r w:rsidRPr="008833BA">
        <w:rPr>
          <w:rFonts w:ascii="Century Gothic" w:hAnsi="Century Gothic" w:cs="Angsana New"/>
          <w:i/>
          <w:color w:val="FF0000"/>
          <w:sz w:val="20"/>
          <w:lang w:eastAsia="zh-CN" w:bidi="th-TH"/>
        </w:rPr>
        <w:t xml:space="preserve"> </w:t>
      </w:r>
    </w:p>
    <w:p w:rsidR="00060C7A" w:rsidRDefault="00060C7A" w:rsidP="00060C7A">
      <w:pPr>
        <w:rPr>
          <w:rFonts w:ascii="Century Gothic" w:hAnsi="Century Gothic" w:cs="Angsana New"/>
          <w:i/>
          <w:sz w:val="20"/>
          <w:lang w:eastAsia="zh-CN" w:bidi="th-TH"/>
        </w:rPr>
      </w:pPr>
    </w:p>
    <w:p w:rsidR="00060C7A" w:rsidRPr="008D2B6B" w:rsidRDefault="00060C7A" w:rsidP="00060C7A">
      <w:pPr>
        <w:rPr>
          <w:rFonts w:ascii="Century Gothic" w:hAnsi="Century Gothic"/>
          <w:sz w:val="20"/>
        </w:rPr>
      </w:pPr>
      <w:r w:rsidRPr="008D2B6B">
        <w:rPr>
          <w:rFonts w:ascii="Century Gothic" w:hAnsi="Century Gothic" w:cs="Angsana New"/>
          <w:i/>
          <w:sz w:val="20"/>
          <w:lang w:eastAsia="zh-CN" w:bidi="th-TH"/>
        </w:rPr>
        <w:t>New South Wales Murray and Lower Darling Regulated Rivers Water Sources 2003</w:t>
      </w:r>
      <w:r w:rsidRPr="008D2B6B">
        <w:rPr>
          <w:rFonts w:ascii="Century Gothic" w:hAnsi="Century Gothic"/>
          <w:i/>
          <w:sz w:val="20"/>
        </w:rPr>
        <w:t xml:space="preserve"> </w:t>
      </w:r>
      <w:r w:rsidRPr="008D2B6B">
        <w:rPr>
          <w:rFonts w:ascii="Century Gothic" w:hAnsi="Century Gothic"/>
          <w:sz w:val="20"/>
        </w:rPr>
        <w:t>(NSW)</w:t>
      </w:r>
      <w:r>
        <w:rPr>
          <w:rFonts w:ascii="Century Gothic" w:hAnsi="Century Gothic"/>
          <w:sz w:val="20"/>
        </w:rPr>
        <w:t>.</w:t>
      </w:r>
    </w:p>
    <w:p w:rsidR="00060C7A" w:rsidRPr="008D2B6B" w:rsidRDefault="00060C7A" w:rsidP="00060C7A">
      <w:pPr>
        <w:pStyle w:val="BodyText1"/>
        <w:spacing w:line="240" w:lineRule="auto"/>
        <w:jc w:val="left"/>
        <w:rPr>
          <w:rStyle w:val="A3"/>
          <w:rFonts w:ascii="Century Gothic" w:hAnsi="Century Gothic"/>
          <w:color w:val="auto"/>
          <w:sz w:val="20"/>
          <w:szCs w:val="20"/>
        </w:rPr>
      </w:pPr>
      <w:r w:rsidRPr="008D2B6B">
        <w:rPr>
          <w:rStyle w:val="A3"/>
          <w:rFonts w:ascii="Century Gothic" w:hAnsi="Century Gothic"/>
          <w:color w:val="auto"/>
          <w:sz w:val="20"/>
          <w:szCs w:val="20"/>
        </w:rPr>
        <w:t xml:space="preserve">Roberts, J and Marston, F (2011), </w:t>
      </w:r>
      <w:r w:rsidRPr="008D2B6B">
        <w:rPr>
          <w:rStyle w:val="A3"/>
          <w:rFonts w:ascii="Century Gothic" w:hAnsi="Century Gothic"/>
          <w:i/>
          <w:color w:val="auto"/>
          <w:sz w:val="20"/>
          <w:szCs w:val="20"/>
        </w:rPr>
        <w:t>Water regime for wetlands and floodplain plants: A source book for the Murray-Darling Basin</w:t>
      </w:r>
      <w:r w:rsidRPr="008D2B6B">
        <w:rPr>
          <w:rStyle w:val="A3"/>
          <w:rFonts w:ascii="Century Gothic" w:hAnsi="Century Gothic"/>
          <w:color w:val="auto"/>
          <w:sz w:val="20"/>
          <w:szCs w:val="20"/>
        </w:rPr>
        <w:t>.</w:t>
      </w:r>
    </w:p>
    <w:p w:rsidR="00060C7A" w:rsidRPr="008D2B6B" w:rsidRDefault="00060C7A" w:rsidP="00060C7A">
      <w:pPr>
        <w:pStyle w:val="BodyText1"/>
        <w:spacing w:line="240" w:lineRule="auto"/>
        <w:jc w:val="left"/>
        <w:rPr>
          <w:noProof/>
          <w:sz w:val="20"/>
          <w:szCs w:val="20"/>
        </w:rPr>
      </w:pPr>
      <w:r w:rsidRPr="008D2B6B">
        <w:rPr>
          <w:noProof/>
          <w:sz w:val="20"/>
          <w:szCs w:val="20"/>
        </w:rPr>
        <w:t xml:space="preserve">Victorian Environmental Water Holder (2015), </w:t>
      </w:r>
      <w:r w:rsidRPr="008D2B6B">
        <w:rPr>
          <w:i/>
          <w:noProof/>
          <w:sz w:val="20"/>
          <w:szCs w:val="20"/>
        </w:rPr>
        <w:t>Seasonal Watering Plan 2015</w:t>
      </w:r>
      <w:r>
        <w:rPr>
          <w:i/>
          <w:noProof/>
          <w:sz w:val="20"/>
          <w:szCs w:val="20"/>
        </w:rPr>
        <w:t>–</w:t>
      </w:r>
      <w:r w:rsidRPr="008D2B6B">
        <w:rPr>
          <w:i/>
          <w:noProof/>
          <w:sz w:val="20"/>
          <w:szCs w:val="20"/>
        </w:rPr>
        <w:t xml:space="preserve">16. </w:t>
      </w:r>
      <w:r w:rsidRPr="008D2B6B">
        <w:rPr>
          <w:noProof/>
          <w:sz w:val="20"/>
          <w:szCs w:val="20"/>
        </w:rPr>
        <w:t xml:space="preserve">Victorian Environmental Water Holder, Melbourne, Victoria. </w:t>
      </w:r>
    </w:p>
    <w:p w:rsidR="00060C7A" w:rsidRPr="008D2B6B" w:rsidRDefault="00060C7A" w:rsidP="00060C7A">
      <w:pPr>
        <w:pStyle w:val="BodyText1"/>
        <w:spacing w:line="240" w:lineRule="auto"/>
        <w:jc w:val="left"/>
        <w:rPr>
          <w:rFonts w:cs="AvantGarde"/>
          <w:sz w:val="20"/>
          <w:szCs w:val="20"/>
        </w:rPr>
      </w:pPr>
      <w:r w:rsidRPr="008D2B6B">
        <w:rPr>
          <w:rStyle w:val="A3"/>
          <w:rFonts w:ascii="Century Gothic" w:hAnsi="Century Gothic"/>
          <w:color w:val="auto"/>
          <w:sz w:val="20"/>
          <w:szCs w:val="20"/>
        </w:rPr>
        <w:t xml:space="preserve">Wallace, T, Daly, R, Aldridge, K, Cox, J, Gibbs, M, </w:t>
      </w:r>
      <w:proofErr w:type="spellStart"/>
      <w:r w:rsidRPr="008D2B6B">
        <w:rPr>
          <w:rStyle w:val="A3"/>
          <w:rFonts w:ascii="Century Gothic" w:hAnsi="Century Gothic"/>
          <w:color w:val="auto"/>
          <w:sz w:val="20"/>
          <w:szCs w:val="20"/>
        </w:rPr>
        <w:t>Nicol</w:t>
      </w:r>
      <w:proofErr w:type="spellEnd"/>
      <w:r w:rsidRPr="008D2B6B">
        <w:rPr>
          <w:rStyle w:val="A3"/>
          <w:rFonts w:ascii="Century Gothic" w:hAnsi="Century Gothic"/>
          <w:color w:val="auto"/>
          <w:sz w:val="20"/>
          <w:szCs w:val="20"/>
        </w:rPr>
        <w:t xml:space="preserve">, J, Oliver, R, Walker, K, Ye, Q &amp; </w:t>
      </w:r>
      <w:proofErr w:type="spellStart"/>
      <w:r w:rsidRPr="008D2B6B">
        <w:rPr>
          <w:rStyle w:val="A3"/>
          <w:rFonts w:ascii="Century Gothic" w:hAnsi="Century Gothic"/>
          <w:color w:val="auto"/>
          <w:sz w:val="20"/>
          <w:szCs w:val="20"/>
        </w:rPr>
        <w:t>Zampatti</w:t>
      </w:r>
      <w:proofErr w:type="spellEnd"/>
      <w:r w:rsidRPr="008D2B6B">
        <w:rPr>
          <w:rStyle w:val="A3"/>
          <w:rFonts w:ascii="Century Gothic" w:hAnsi="Century Gothic"/>
          <w:color w:val="auto"/>
          <w:sz w:val="20"/>
          <w:szCs w:val="20"/>
        </w:rPr>
        <w:t xml:space="preserve">, B (2014), </w:t>
      </w:r>
      <w:r w:rsidRPr="008D2B6B">
        <w:rPr>
          <w:rStyle w:val="A3"/>
          <w:rFonts w:ascii="Century Gothic" w:hAnsi="Century Gothic"/>
          <w:i/>
          <w:color w:val="auto"/>
          <w:sz w:val="20"/>
          <w:szCs w:val="20"/>
        </w:rPr>
        <w:t>River Murray Channel Environmental Water Requirements: Ecological Objectives and Targets</w:t>
      </w:r>
      <w:r w:rsidRPr="008D2B6B">
        <w:rPr>
          <w:rStyle w:val="A3"/>
          <w:rFonts w:ascii="Century Gothic" w:hAnsi="Century Gothic"/>
          <w:color w:val="auto"/>
          <w:sz w:val="20"/>
          <w:szCs w:val="20"/>
        </w:rPr>
        <w:t>.</w:t>
      </w:r>
    </w:p>
    <w:p w:rsidR="00060C7A" w:rsidRPr="008D2B6B" w:rsidRDefault="00060C7A" w:rsidP="00060C7A">
      <w:pPr>
        <w:pStyle w:val="BodyText1"/>
        <w:spacing w:line="240" w:lineRule="auto"/>
        <w:jc w:val="left"/>
        <w:rPr>
          <w:sz w:val="20"/>
          <w:szCs w:val="20"/>
          <w:lang w:eastAsia="en-AU"/>
        </w:rPr>
      </w:pPr>
      <w:r w:rsidRPr="008D2B6B">
        <w:rPr>
          <w:i/>
          <w:sz w:val="20"/>
        </w:rPr>
        <w:t>Water Allocation Plan for the River Murray Prescribed Water Course</w:t>
      </w:r>
      <w:r w:rsidRPr="008D2B6B">
        <w:rPr>
          <w:sz w:val="20"/>
        </w:rPr>
        <w:t xml:space="preserve"> </w:t>
      </w:r>
      <w:r w:rsidRPr="008D2B6B">
        <w:rPr>
          <w:i/>
          <w:sz w:val="20"/>
        </w:rPr>
        <w:t xml:space="preserve">2002 </w:t>
      </w:r>
      <w:r w:rsidRPr="008D2B6B">
        <w:rPr>
          <w:sz w:val="20"/>
        </w:rPr>
        <w:t>(SA)</w:t>
      </w:r>
      <w:r>
        <w:rPr>
          <w:sz w:val="20"/>
        </w:rPr>
        <w:t>.</w:t>
      </w:r>
    </w:p>
    <w:p w:rsidR="00060C7A" w:rsidRPr="008D2B6B" w:rsidRDefault="00060C7A" w:rsidP="00060C7A">
      <w:pPr>
        <w:pStyle w:val="BodyText1"/>
        <w:spacing w:line="240" w:lineRule="auto"/>
        <w:jc w:val="left"/>
        <w:rPr>
          <w:sz w:val="20"/>
          <w:szCs w:val="20"/>
          <w:lang w:eastAsia="en-AU"/>
        </w:rPr>
      </w:pPr>
    </w:p>
    <w:p w:rsidR="00060C7A" w:rsidRPr="008D2B6B" w:rsidRDefault="00060C7A" w:rsidP="00060C7A">
      <w:pPr>
        <w:pStyle w:val="BodyText1"/>
        <w:spacing w:line="240" w:lineRule="auto"/>
        <w:jc w:val="left"/>
        <w:rPr>
          <w:sz w:val="20"/>
          <w:szCs w:val="20"/>
          <w:lang w:eastAsia="en-AU"/>
        </w:rPr>
      </w:pPr>
    </w:p>
    <w:p w:rsidR="00060C7A" w:rsidRPr="008D2B6B" w:rsidRDefault="00060C7A" w:rsidP="00060C7A">
      <w:pPr>
        <w:pStyle w:val="BodyText1"/>
        <w:spacing w:line="240" w:lineRule="auto"/>
        <w:jc w:val="left"/>
        <w:rPr>
          <w:sz w:val="20"/>
          <w:szCs w:val="20"/>
          <w:lang w:eastAsia="en-AU"/>
        </w:rPr>
      </w:pPr>
    </w:p>
    <w:p w:rsidR="00E51CFE" w:rsidRDefault="00E51CFE" w:rsidP="006328AD">
      <w:pPr>
        <w:pStyle w:val="BodyText1"/>
        <w:spacing w:line="240" w:lineRule="auto"/>
        <w:jc w:val="left"/>
        <w:rPr>
          <w:sz w:val="20"/>
          <w:szCs w:val="20"/>
          <w:lang w:eastAsia="en-AU"/>
        </w:rPr>
        <w:sectPr w:rsidR="00E51CFE" w:rsidSect="00E51CFE">
          <w:headerReference w:type="even" r:id="rId33"/>
          <w:footerReference w:type="default" r:id="rId34"/>
          <w:pgSz w:w="11907" w:h="16839" w:code="9"/>
          <w:pgMar w:top="993" w:right="1133" w:bottom="1134" w:left="993" w:header="709" w:footer="347" w:gutter="0"/>
          <w:cols w:space="708"/>
          <w:titlePg/>
          <w:docGrid w:linePitch="360"/>
        </w:sectPr>
      </w:pPr>
      <w:bookmarkStart w:id="36" w:name="_GoBack"/>
      <w:bookmarkEnd w:id="0"/>
      <w:bookmarkEnd w:id="1"/>
      <w:bookmarkEnd w:id="36"/>
    </w:p>
    <w:p w:rsidR="004F1E6B" w:rsidRPr="008D2B6B" w:rsidRDefault="004F1E6B" w:rsidP="00E51CFE">
      <w:pPr>
        <w:pStyle w:val="BodyText1"/>
        <w:spacing w:line="240" w:lineRule="auto"/>
        <w:ind w:hanging="993"/>
        <w:jc w:val="left"/>
        <w:rPr>
          <w:sz w:val="20"/>
          <w:szCs w:val="20"/>
          <w:lang w:eastAsia="en-AU"/>
        </w:rPr>
      </w:pPr>
    </w:p>
    <w:sectPr w:rsidR="004F1E6B" w:rsidRPr="008D2B6B" w:rsidSect="00E51CFE">
      <w:pgSz w:w="11907" w:h="16839" w:code="9"/>
      <w:pgMar w:top="0" w:right="1133" w:bottom="1134" w:left="993" w:header="709" w:footer="3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651" w:rsidRDefault="00363651">
      <w:r>
        <w:separator/>
      </w:r>
    </w:p>
  </w:endnote>
  <w:endnote w:type="continuationSeparator" w:id="0">
    <w:p w:rsidR="00363651" w:rsidRDefault="003636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41594"/>
      <w:docPartObj>
        <w:docPartGallery w:val="Page Numbers (Bottom of Page)"/>
        <w:docPartUnique/>
      </w:docPartObj>
    </w:sdtPr>
    <w:sdtContent>
      <w:p w:rsidR="00363651" w:rsidRDefault="00B64803">
        <w:pPr>
          <w:pStyle w:val="Footer"/>
          <w:jc w:val="center"/>
        </w:pPr>
        <w:fldSimple w:instr=" PAGE   \* MERGEFORMAT ">
          <w:r w:rsidR="00C70838">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41595"/>
      <w:docPartObj>
        <w:docPartGallery w:val="Page Numbers (Bottom of Page)"/>
        <w:docPartUnique/>
      </w:docPartObj>
    </w:sdtPr>
    <w:sdtContent>
      <w:p w:rsidR="00363651" w:rsidRDefault="00B64803">
        <w:pPr>
          <w:pStyle w:val="Footer"/>
          <w:jc w:val="center"/>
        </w:pPr>
        <w:fldSimple w:instr=" PAGE   \* MERGEFORMAT ">
          <w:r w:rsidR="00C70838">
            <w:rPr>
              <w:noProof/>
            </w:rPr>
            <w:t>25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02626"/>
      <w:docPartObj>
        <w:docPartGallery w:val="Page Numbers (Bottom of Page)"/>
        <w:docPartUnique/>
      </w:docPartObj>
    </w:sdtPr>
    <w:sdtContent>
      <w:p w:rsidR="00363651" w:rsidRDefault="00B64803">
        <w:pPr>
          <w:pStyle w:val="Footer"/>
          <w:jc w:val="center"/>
        </w:pPr>
        <w:fldSimple w:instr=" PAGE   \* MERGEFORMAT ">
          <w:r w:rsidR="00C70838">
            <w:rPr>
              <w:noProof/>
            </w:rPr>
            <w:t>39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651" w:rsidRDefault="00363651">
      <w:r>
        <w:separator/>
      </w:r>
    </w:p>
  </w:footnote>
  <w:footnote w:type="continuationSeparator" w:id="0">
    <w:p w:rsidR="00363651" w:rsidRDefault="00363651">
      <w:r>
        <w:continuationSeparator/>
      </w:r>
    </w:p>
  </w:footnote>
  <w:footnote w:id="1">
    <w:p w:rsidR="00363651" w:rsidRDefault="00363651" w:rsidP="00060C7A">
      <w:pPr>
        <w:pStyle w:val="FootnoteText"/>
        <w:jc w:val="left"/>
      </w:pPr>
      <w:r>
        <w:rPr>
          <w:rStyle w:val="FootnoteReference"/>
        </w:rPr>
        <w:footnoteRef/>
      </w:r>
      <w:r>
        <w:t xml:space="preserve"> For full details on the Basin annual environmental watering priorities refer to the MDBA website at </w:t>
      </w:r>
      <w:r w:rsidRPr="00882136">
        <w:t>http://www.mdba.gov.au/what-we-do/environmental-water/environmental-watering-priorities</w:t>
      </w:r>
    </w:p>
  </w:footnote>
  <w:footnote w:id="2">
    <w:p w:rsidR="00363651" w:rsidRDefault="00363651" w:rsidP="00060C7A">
      <w:pPr>
        <w:pStyle w:val="FootnoteText"/>
        <w:spacing w:after="0"/>
      </w:pPr>
    </w:p>
  </w:footnote>
  <w:footnote w:id="3">
    <w:p w:rsidR="00363651" w:rsidRDefault="00363651" w:rsidP="00060C7A">
      <w:pPr>
        <w:pStyle w:val="FootnoteText"/>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51" w:rsidRDefault="00B64803" w:rsidP="004D2A3A">
    <w:pPr>
      <w:pStyle w:val="Classification"/>
    </w:pPr>
    <w:r>
      <w:fldChar w:fldCharType="begin"/>
    </w:r>
    <w:r w:rsidR="00363651">
      <w:instrText xml:space="preserve"> DOCPROPERTY SecurityClassification \* MERGEFORMAT </w:instrText>
    </w:r>
    <w:r>
      <w:fldChar w:fldCharType="separate"/>
    </w:r>
    <w:r w:rsidR="00363651">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51" w:rsidRDefault="00B64803" w:rsidP="004D2A3A">
    <w:pPr>
      <w:pStyle w:val="Classification"/>
    </w:pPr>
    <w:r>
      <w:fldChar w:fldCharType="begin"/>
    </w:r>
    <w:r w:rsidR="00363651">
      <w:instrText xml:space="preserve"> DOCPROPERTY SecurityClassification \* MERGEFORMAT </w:instrText>
    </w:r>
    <w:r>
      <w:fldChar w:fldCharType="separate"/>
    </w:r>
    <w:r w:rsidR="00363651">
      <w:rPr>
        <w:b/>
        <w:bCs/>
        <w:lang w:val="en-US"/>
      </w:rPr>
      <w:t>Error! Unknown document property name.</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51" w:rsidRDefault="00B64803" w:rsidP="004D2A3A">
    <w:pPr>
      <w:pStyle w:val="Classification"/>
    </w:pPr>
    <w:r>
      <w:fldChar w:fldCharType="begin"/>
    </w:r>
    <w:r w:rsidR="00363651">
      <w:instrText xml:space="preserve"> DOCPROPERTY SecurityClassification \* MERGEFORMAT </w:instrText>
    </w:r>
    <w:r>
      <w:fldChar w:fldCharType="separate"/>
    </w:r>
    <w:r w:rsidR="00363651">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857313D"/>
    <w:multiLevelType w:val="hybridMultilevel"/>
    <w:tmpl w:val="4274BC0C"/>
    <w:name w:val="StandardBulletedList"/>
    <w:lvl w:ilvl="0" w:tplc="96F265D0">
      <w:start w:val="1"/>
      <w:numFmt w:val="bullet"/>
      <w:lvlText w:val=""/>
      <w:lvlJc w:val="left"/>
      <w:pPr>
        <w:ind w:left="720" w:hanging="360"/>
      </w:pPr>
      <w:rPr>
        <w:rFonts w:ascii="Symbol" w:hAnsi="Symbol" w:hint="default"/>
        <w:color w:val="auto"/>
      </w:rPr>
    </w:lvl>
    <w:lvl w:ilvl="1" w:tplc="D372385E">
      <w:start w:val="1"/>
      <w:numFmt w:val="bullet"/>
      <w:lvlText w:val="o"/>
      <w:lvlJc w:val="left"/>
      <w:pPr>
        <w:ind w:left="1440" w:hanging="360"/>
      </w:pPr>
      <w:rPr>
        <w:rFonts w:ascii="Courier New" w:hAnsi="Courier New" w:hint="default"/>
      </w:rPr>
    </w:lvl>
    <w:lvl w:ilvl="2" w:tplc="C6CC3982">
      <w:start w:val="1"/>
      <w:numFmt w:val="bullet"/>
      <w:lvlText w:val=""/>
      <w:lvlJc w:val="left"/>
      <w:pPr>
        <w:ind w:left="2160" w:hanging="360"/>
      </w:pPr>
      <w:rPr>
        <w:rFonts w:ascii="Wingdings" w:hAnsi="Wingdings" w:hint="default"/>
      </w:rPr>
    </w:lvl>
    <w:lvl w:ilvl="3" w:tplc="ADE4BA7A" w:tentative="1">
      <w:start w:val="1"/>
      <w:numFmt w:val="bullet"/>
      <w:lvlText w:val=""/>
      <w:lvlJc w:val="left"/>
      <w:pPr>
        <w:ind w:left="2880" w:hanging="360"/>
      </w:pPr>
      <w:rPr>
        <w:rFonts w:ascii="Symbol" w:hAnsi="Symbol" w:hint="default"/>
      </w:rPr>
    </w:lvl>
    <w:lvl w:ilvl="4" w:tplc="5B869E8C" w:tentative="1">
      <w:start w:val="1"/>
      <w:numFmt w:val="bullet"/>
      <w:lvlText w:val="o"/>
      <w:lvlJc w:val="left"/>
      <w:pPr>
        <w:ind w:left="3600" w:hanging="360"/>
      </w:pPr>
      <w:rPr>
        <w:rFonts w:ascii="Courier New" w:hAnsi="Courier New" w:hint="default"/>
      </w:rPr>
    </w:lvl>
    <w:lvl w:ilvl="5" w:tplc="F2DA44E2" w:tentative="1">
      <w:start w:val="1"/>
      <w:numFmt w:val="bullet"/>
      <w:lvlText w:val=""/>
      <w:lvlJc w:val="left"/>
      <w:pPr>
        <w:ind w:left="4320" w:hanging="360"/>
      </w:pPr>
      <w:rPr>
        <w:rFonts w:ascii="Wingdings" w:hAnsi="Wingdings" w:hint="default"/>
      </w:rPr>
    </w:lvl>
    <w:lvl w:ilvl="6" w:tplc="F5E641F4" w:tentative="1">
      <w:start w:val="1"/>
      <w:numFmt w:val="bullet"/>
      <w:lvlText w:val=""/>
      <w:lvlJc w:val="left"/>
      <w:pPr>
        <w:ind w:left="5040" w:hanging="360"/>
      </w:pPr>
      <w:rPr>
        <w:rFonts w:ascii="Symbol" w:hAnsi="Symbol" w:hint="default"/>
      </w:rPr>
    </w:lvl>
    <w:lvl w:ilvl="7" w:tplc="86782F98" w:tentative="1">
      <w:start w:val="1"/>
      <w:numFmt w:val="bullet"/>
      <w:lvlText w:val="o"/>
      <w:lvlJc w:val="left"/>
      <w:pPr>
        <w:ind w:left="5760" w:hanging="360"/>
      </w:pPr>
      <w:rPr>
        <w:rFonts w:ascii="Courier New" w:hAnsi="Courier New" w:hint="default"/>
      </w:rPr>
    </w:lvl>
    <w:lvl w:ilvl="8" w:tplc="4B1AB3A4" w:tentative="1">
      <w:start w:val="1"/>
      <w:numFmt w:val="bullet"/>
      <w:lvlText w:val=""/>
      <w:lvlJc w:val="left"/>
      <w:pPr>
        <w:ind w:left="6480" w:hanging="360"/>
      </w:pPr>
      <w:rPr>
        <w:rFonts w:ascii="Wingdings" w:hAnsi="Wingdings" w:hint="default"/>
      </w:rPr>
    </w:lvl>
  </w:abstractNum>
  <w:abstractNum w:abstractNumId="4">
    <w:nsid w:val="09BB015D"/>
    <w:multiLevelType w:val="hybridMultilevel"/>
    <w:tmpl w:val="E8EC3F1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11F0AA3"/>
    <w:multiLevelType w:val="hybridMultilevel"/>
    <w:tmpl w:val="868E73D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7">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nsid w:val="17960D8D"/>
    <w:multiLevelType w:val="hybridMultilevel"/>
    <w:tmpl w:val="0F22084E"/>
    <w:styleLink w:val="BulletList1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F745BC2"/>
    <w:multiLevelType w:val="multilevel"/>
    <w:tmpl w:val="63926E78"/>
    <w:lvl w:ilvl="0">
      <w:start w:val="1"/>
      <w:numFmt w:val="bullet"/>
      <w:pStyle w:val="ListBullet"/>
      <w:lvlText w:val=""/>
      <w:lvlJc w:val="left"/>
      <w:pPr>
        <w:ind w:left="369" w:hanging="369"/>
      </w:pPr>
      <w:rPr>
        <w:rFonts w:ascii="Symbol" w:hAnsi="Symbol" w:hint="default"/>
        <w:color w:val="auto"/>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273F45FE"/>
    <w:multiLevelType w:val="hybridMultilevel"/>
    <w:tmpl w:val="F864D268"/>
    <w:lvl w:ilvl="0" w:tplc="C9427B9C">
      <w:start w:val="1"/>
      <w:numFmt w:val="decimal"/>
      <w:pStyle w:val="Para1number"/>
      <w:lvlText w:val="%1)"/>
      <w:lvlJc w:val="left"/>
      <w:pPr>
        <w:tabs>
          <w:tab w:val="num" w:pos="794"/>
        </w:tabs>
        <w:ind w:left="794" w:hanging="397"/>
      </w:pPr>
      <w:rPr>
        <w:rFonts w:cs="Times New Roman" w:hint="default"/>
      </w:rPr>
    </w:lvl>
    <w:lvl w:ilvl="1" w:tplc="ABDC93CC" w:tentative="1">
      <w:start w:val="1"/>
      <w:numFmt w:val="lowerLetter"/>
      <w:lvlText w:val="%2."/>
      <w:lvlJc w:val="left"/>
      <w:pPr>
        <w:tabs>
          <w:tab w:val="num" w:pos="1440"/>
        </w:tabs>
        <w:ind w:left="1440" w:hanging="360"/>
      </w:pPr>
      <w:rPr>
        <w:rFonts w:cs="Times New Roman"/>
      </w:rPr>
    </w:lvl>
    <w:lvl w:ilvl="2" w:tplc="8A7E918C" w:tentative="1">
      <w:start w:val="1"/>
      <w:numFmt w:val="lowerRoman"/>
      <w:lvlText w:val="%3."/>
      <w:lvlJc w:val="right"/>
      <w:pPr>
        <w:tabs>
          <w:tab w:val="num" w:pos="2160"/>
        </w:tabs>
        <w:ind w:left="2160" w:hanging="180"/>
      </w:pPr>
      <w:rPr>
        <w:rFonts w:cs="Times New Roman"/>
      </w:rPr>
    </w:lvl>
    <w:lvl w:ilvl="3" w:tplc="0CDCB53E" w:tentative="1">
      <w:start w:val="1"/>
      <w:numFmt w:val="decimal"/>
      <w:lvlText w:val="%4."/>
      <w:lvlJc w:val="left"/>
      <w:pPr>
        <w:tabs>
          <w:tab w:val="num" w:pos="2880"/>
        </w:tabs>
        <w:ind w:left="2880" w:hanging="360"/>
      </w:pPr>
      <w:rPr>
        <w:rFonts w:cs="Times New Roman"/>
      </w:rPr>
    </w:lvl>
    <w:lvl w:ilvl="4" w:tplc="7A72EA7E" w:tentative="1">
      <w:start w:val="1"/>
      <w:numFmt w:val="lowerLetter"/>
      <w:lvlText w:val="%5."/>
      <w:lvlJc w:val="left"/>
      <w:pPr>
        <w:tabs>
          <w:tab w:val="num" w:pos="3600"/>
        </w:tabs>
        <w:ind w:left="3600" w:hanging="360"/>
      </w:pPr>
      <w:rPr>
        <w:rFonts w:cs="Times New Roman"/>
      </w:rPr>
    </w:lvl>
    <w:lvl w:ilvl="5" w:tplc="9D9CEFBE" w:tentative="1">
      <w:start w:val="1"/>
      <w:numFmt w:val="lowerRoman"/>
      <w:lvlText w:val="%6."/>
      <w:lvlJc w:val="right"/>
      <w:pPr>
        <w:tabs>
          <w:tab w:val="num" w:pos="4320"/>
        </w:tabs>
        <w:ind w:left="4320" w:hanging="180"/>
      </w:pPr>
      <w:rPr>
        <w:rFonts w:cs="Times New Roman"/>
      </w:rPr>
    </w:lvl>
    <w:lvl w:ilvl="6" w:tplc="0E9A7FDC" w:tentative="1">
      <w:start w:val="1"/>
      <w:numFmt w:val="decimal"/>
      <w:lvlText w:val="%7."/>
      <w:lvlJc w:val="left"/>
      <w:pPr>
        <w:tabs>
          <w:tab w:val="num" w:pos="5040"/>
        </w:tabs>
        <w:ind w:left="5040" w:hanging="360"/>
      </w:pPr>
      <w:rPr>
        <w:rFonts w:cs="Times New Roman"/>
      </w:rPr>
    </w:lvl>
    <w:lvl w:ilvl="7" w:tplc="82EAE00C" w:tentative="1">
      <w:start w:val="1"/>
      <w:numFmt w:val="lowerLetter"/>
      <w:lvlText w:val="%8."/>
      <w:lvlJc w:val="left"/>
      <w:pPr>
        <w:tabs>
          <w:tab w:val="num" w:pos="5760"/>
        </w:tabs>
        <w:ind w:left="5760" w:hanging="360"/>
      </w:pPr>
      <w:rPr>
        <w:rFonts w:cs="Times New Roman"/>
      </w:rPr>
    </w:lvl>
    <w:lvl w:ilvl="8" w:tplc="A732D3FC" w:tentative="1">
      <w:start w:val="1"/>
      <w:numFmt w:val="lowerRoman"/>
      <w:lvlText w:val="%9."/>
      <w:lvlJc w:val="right"/>
      <w:pPr>
        <w:tabs>
          <w:tab w:val="num" w:pos="6480"/>
        </w:tabs>
        <w:ind w:left="6480" w:hanging="180"/>
      </w:pPr>
      <w:rPr>
        <w:rFonts w:cs="Times New Roman"/>
      </w:r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8407026"/>
    <w:multiLevelType w:val="hybridMultilevel"/>
    <w:tmpl w:val="70A27F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16">
    <w:nsid w:val="5EB10191"/>
    <w:multiLevelType w:val="hybridMultilevel"/>
    <w:tmpl w:val="9FA039E2"/>
    <w:lvl w:ilvl="0" w:tplc="780CCF22">
      <w:start w:val="1"/>
      <w:numFmt w:val="bullet"/>
      <w:lvlText w:val=""/>
      <w:lvlJc w:val="left"/>
      <w:pPr>
        <w:ind w:left="360" w:hanging="360"/>
      </w:pPr>
      <w:rPr>
        <w:rFonts w:ascii="Symbol" w:hAnsi="Symbol" w:hint="default"/>
      </w:rPr>
    </w:lvl>
    <w:lvl w:ilvl="1" w:tplc="04B04D2E">
      <w:start w:val="1"/>
      <w:numFmt w:val="bullet"/>
      <w:lvlText w:val="o"/>
      <w:lvlJc w:val="left"/>
      <w:pPr>
        <w:ind w:left="1080" w:hanging="360"/>
      </w:pPr>
      <w:rPr>
        <w:rFonts w:ascii="Courier New" w:hAnsi="Courier New" w:cs="Courier New" w:hint="default"/>
      </w:rPr>
    </w:lvl>
    <w:lvl w:ilvl="2" w:tplc="53BA6A6A" w:tentative="1">
      <w:start w:val="1"/>
      <w:numFmt w:val="bullet"/>
      <w:lvlText w:val=""/>
      <w:lvlJc w:val="left"/>
      <w:pPr>
        <w:ind w:left="1800" w:hanging="360"/>
      </w:pPr>
      <w:rPr>
        <w:rFonts w:ascii="Wingdings" w:hAnsi="Wingdings" w:hint="default"/>
      </w:rPr>
    </w:lvl>
    <w:lvl w:ilvl="3" w:tplc="EB9E95F4" w:tentative="1">
      <w:start w:val="1"/>
      <w:numFmt w:val="bullet"/>
      <w:lvlText w:val=""/>
      <w:lvlJc w:val="left"/>
      <w:pPr>
        <w:ind w:left="2520" w:hanging="360"/>
      </w:pPr>
      <w:rPr>
        <w:rFonts w:ascii="Symbol" w:hAnsi="Symbol" w:hint="default"/>
      </w:rPr>
    </w:lvl>
    <w:lvl w:ilvl="4" w:tplc="5BF8A254" w:tentative="1">
      <w:start w:val="1"/>
      <w:numFmt w:val="bullet"/>
      <w:lvlText w:val="o"/>
      <w:lvlJc w:val="left"/>
      <w:pPr>
        <w:ind w:left="3240" w:hanging="360"/>
      </w:pPr>
      <w:rPr>
        <w:rFonts w:ascii="Courier New" w:hAnsi="Courier New" w:cs="Courier New" w:hint="default"/>
      </w:rPr>
    </w:lvl>
    <w:lvl w:ilvl="5" w:tplc="F97C8BA8" w:tentative="1">
      <w:start w:val="1"/>
      <w:numFmt w:val="bullet"/>
      <w:lvlText w:val=""/>
      <w:lvlJc w:val="left"/>
      <w:pPr>
        <w:ind w:left="3960" w:hanging="360"/>
      </w:pPr>
      <w:rPr>
        <w:rFonts w:ascii="Wingdings" w:hAnsi="Wingdings" w:hint="default"/>
      </w:rPr>
    </w:lvl>
    <w:lvl w:ilvl="6" w:tplc="447A4802" w:tentative="1">
      <w:start w:val="1"/>
      <w:numFmt w:val="bullet"/>
      <w:lvlText w:val=""/>
      <w:lvlJc w:val="left"/>
      <w:pPr>
        <w:ind w:left="4680" w:hanging="360"/>
      </w:pPr>
      <w:rPr>
        <w:rFonts w:ascii="Symbol" w:hAnsi="Symbol" w:hint="default"/>
      </w:rPr>
    </w:lvl>
    <w:lvl w:ilvl="7" w:tplc="E80E054E" w:tentative="1">
      <w:start w:val="1"/>
      <w:numFmt w:val="bullet"/>
      <w:lvlText w:val="o"/>
      <w:lvlJc w:val="left"/>
      <w:pPr>
        <w:ind w:left="5400" w:hanging="360"/>
      </w:pPr>
      <w:rPr>
        <w:rFonts w:ascii="Courier New" w:hAnsi="Courier New" w:cs="Courier New" w:hint="default"/>
      </w:rPr>
    </w:lvl>
    <w:lvl w:ilvl="8" w:tplc="F1C483DC" w:tentative="1">
      <w:start w:val="1"/>
      <w:numFmt w:val="bullet"/>
      <w:lvlText w:val=""/>
      <w:lvlJc w:val="left"/>
      <w:pPr>
        <w:ind w:left="6120" w:hanging="360"/>
      </w:pPr>
      <w:rPr>
        <w:rFonts w:ascii="Wingdings" w:hAnsi="Wingdings" w:hint="default"/>
      </w:rPr>
    </w:lvl>
  </w:abstractNum>
  <w:abstractNum w:abstractNumId="17">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nsid w:val="72AC06F7"/>
    <w:multiLevelType w:val="hybridMultilevel"/>
    <w:tmpl w:val="C60A08FC"/>
    <w:lvl w:ilvl="0" w:tplc="563211E6">
      <w:start w:val="1"/>
      <w:numFmt w:val="bullet"/>
      <w:lvlText w:val=""/>
      <w:lvlJc w:val="left"/>
      <w:pPr>
        <w:ind w:left="393" w:hanging="360"/>
      </w:pPr>
      <w:rPr>
        <w:rFonts w:ascii="Symbol" w:hAnsi="Symbol" w:hint="default"/>
      </w:rPr>
    </w:lvl>
    <w:lvl w:ilvl="1" w:tplc="0820092E">
      <w:start w:val="1"/>
      <w:numFmt w:val="bullet"/>
      <w:lvlText w:val="o"/>
      <w:lvlJc w:val="left"/>
      <w:pPr>
        <w:ind w:left="1113" w:hanging="360"/>
      </w:pPr>
      <w:rPr>
        <w:rFonts w:ascii="Courier New" w:hAnsi="Courier New" w:cs="Courier New" w:hint="default"/>
      </w:rPr>
    </w:lvl>
    <w:lvl w:ilvl="2" w:tplc="6872482E" w:tentative="1">
      <w:start w:val="1"/>
      <w:numFmt w:val="bullet"/>
      <w:lvlText w:val=""/>
      <w:lvlJc w:val="left"/>
      <w:pPr>
        <w:ind w:left="1833" w:hanging="360"/>
      </w:pPr>
      <w:rPr>
        <w:rFonts w:ascii="Wingdings" w:hAnsi="Wingdings" w:hint="default"/>
      </w:rPr>
    </w:lvl>
    <w:lvl w:ilvl="3" w:tplc="65969CC0" w:tentative="1">
      <w:start w:val="1"/>
      <w:numFmt w:val="bullet"/>
      <w:lvlText w:val=""/>
      <w:lvlJc w:val="left"/>
      <w:pPr>
        <w:ind w:left="2553" w:hanging="360"/>
      </w:pPr>
      <w:rPr>
        <w:rFonts w:ascii="Symbol" w:hAnsi="Symbol" w:hint="default"/>
      </w:rPr>
    </w:lvl>
    <w:lvl w:ilvl="4" w:tplc="EB1E8628" w:tentative="1">
      <w:start w:val="1"/>
      <w:numFmt w:val="bullet"/>
      <w:lvlText w:val="o"/>
      <w:lvlJc w:val="left"/>
      <w:pPr>
        <w:ind w:left="3273" w:hanging="360"/>
      </w:pPr>
      <w:rPr>
        <w:rFonts w:ascii="Courier New" w:hAnsi="Courier New" w:cs="Courier New" w:hint="default"/>
      </w:rPr>
    </w:lvl>
    <w:lvl w:ilvl="5" w:tplc="2D70A938" w:tentative="1">
      <w:start w:val="1"/>
      <w:numFmt w:val="bullet"/>
      <w:lvlText w:val=""/>
      <w:lvlJc w:val="left"/>
      <w:pPr>
        <w:ind w:left="3993" w:hanging="360"/>
      </w:pPr>
      <w:rPr>
        <w:rFonts w:ascii="Wingdings" w:hAnsi="Wingdings" w:hint="default"/>
      </w:rPr>
    </w:lvl>
    <w:lvl w:ilvl="6" w:tplc="42A2D142" w:tentative="1">
      <w:start w:val="1"/>
      <w:numFmt w:val="bullet"/>
      <w:lvlText w:val=""/>
      <w:lvlJc w:val="left"/>
      <w:pPr>
        <w:ind w:left="4713" w:hanging="360"/>
      </w:pPr>
      <w:rPr>
        <w:rFonts w:ascii="Symbol" w:hAnsi="Symbol" w:hint="default"/>
      </w:rPr>
    </w:lvl>
    <w:lvl w:ilvl="7" w:tplc="68A26C56" w:tentative="1">
      <w:start w:val="1"/>
      <w:numFmt w:val="bullet"/>
      <w:lvlText w:val="o"/>
      <w:lvlJc w:val="left"/>
      <w:pPr>
        <w:ind w:left="5433" w:hanging="360"/>
      </w:pPr>
      <w:rPr>
        <w:rFonts w:ascii="Courier New" w:hAnsi="Courier New" w:cs="Courier New" w:hint="default"/>
      </w:rPr>
    </w:lvl>
    <w:lvl w:ilvl="8" w:tplc="B330D8BC" w:tentative="1">
      <w:start w:val="1"/>
      <w:numFmt w:val="bullet"/>
      <w:lvlText w:val=""/>
      <w:lvlJc w:val="left"/>
      <w:pPr>
        <w:ind w:left="6153" w:hanging="360"/>
      </w:pPr>
      <w:rPr>
        <w:rFonts w:ascii="Wingdings" w:hAnsi="Wingdings" w:hint="default"/>
      </w:rPr>
    </w:lvl>
  </w:abstractNum>
  <w:abstractNum w:abstractNumId="19">
    <w:nsid w:val="74B92D98"/>
    <w:multiLevelType w:val="hybridMultilevel"/>
    <w:tmpl w:val="C9403332"/>
    <w:lvl w:ilvl="0" w:tplc="C6B0EA16">
      <w:start w:val="1"/>
      <w:numFmt w:val="bullet"/>
      <w:lvlText w:val=""/>
      <w:lvlJc w:val="left"/>
      <w:pPr>
        <w:tabs>
          <w:tab w:val="num" w:pos="360"/>
        </w:tabs>
        <w:ind w:left="360" w:hanging="360"/>
      </w:pPr>
      <w:rPr>
        <w:rFonts w:ascii="Symbol" w:hAnsi="Symbol" w:hint="default"/>
      </w:rPr>
    </w:lvl>
    <w:lvl w:ilvl="1" w:tplc="DC7E8440">
      <w:start w:val="1"/>
      <w:numFmt w:val="bullet"/>
      <w:lvlText w:val="•"/>
      <w:lvlJc w:val="left"/>
      <w:pPr>
        <w:tabs>
          <w:tab w:val="num" w:pos="1080"/>
        </w:tabs>
        <w:ind w:left="1080" w:hanging="360"/>
      </w:pPr>
      <w:rPr>
        <w:rFonts w:ascii="Arial" w:hAnsi="Arial" w:hint="default"/>
      </w:rPr>
    </w:lvl>
    <w:lvl w:ilvl="2" w:tplc="F816FFE0" w:tentative="1">
      <w:start w:val="1"/>
      <w:numFmt w:val="bullet"/>
      <w:lvlText w:val="•"/>
      <w:lvlJc w:val="left"/>
      <w:pPr>
        <w:tabs>
          <w:tab w:val="num" w:pos="1800"/>
        </w:tabs>
        <w:ind w:left="1800" w:hanging="360"/>
      </w:pPr>
      <w:rPr>
        <w:rFonts w:ascii="Arial" w:hAnsi="Arial" w:hint="default"/>
      </w:rPr>
    </w:lvl>
    <w:lvl w:ilvl="3" w:tplc="B730421C" w:tentative="1">
      <w:start w:val="1"/>
      <w:numFmt w:val="bullet"/>
      <w:lvlText w:val="•"/>
      <w:lvlJc w:val="left"/>
      <w:pPr>
        <w:tabs>
          <w:tab w:val="num" w:pos="2520"/>
        </w:tabs>
        <w:ind w:left="2520" w:hanging="360"/>
      </w:pPr>
      <w:rPr>
        <w:rFonts w:ascii="Arial" w:hAnsi="Arial" w:hint="default"/>
      </w:rPr>
    </w:lvl>
    <w:lvl w:ilvl="4" w:tplc="822078C2" w:tentative="1">
      <w:start w:val="1"/>
      <w:numFmt w:val="bullet"/>
      <w:lvlText w:val="•"/>
      <w:lvlJc w:val="left"/>
      <w:pPr>
        <w:tabs>
          <w:tab w:val="num" w:pos="3240"/>
        </w:tabs>
        <w:ind w:left="3240" w:hanging="360"/>
      </w:pPr>
      <w:rPr>
        <w:rFonts w:ascii="Arial" w:hAnsi="Arial" w:hint="default"/>
      </w:rPr>
    </w:lvl>
    <w:lvl w:ilvl="5" w:tplc="2BEAF4E2" w:tentative="1">
      <w:start w:val="1"/>
      <w:numFmt w:val="bullet"/>
      <w:lvlText w:val="•"/>
      <w:lvlJc w:val="left"/>
      <w:pPr>
        <w:tabs>
          <w:tab w:val="num" w:pos="3960"/>
        </w:tabs>
        <w:ind w:left="3960" w:hanging="360"/>
      </w:pPr>
      <w:rPr>
        <w:rFonts w:ascii="Arial" w:hAnsi="Arial" w:hint="default"/>
      </w:rPr>
    </w:lvl>
    <w:lvl w:ilvl="6" w:tplc="48A0A576" w:tentative="1">
      <w:start w:val="1"/>
      <w:numFmt w:val="bullet"/>
      <w:lvlText w:val="•"/>
      <w:lvlJc w:val="left"/>
      <w:pPr>
        <w:tabs>
          <w:tab w:val="num" w:pos="4680"/>
        </w:tabs>
        <w:ind w:left="4680" w:hanging="360"/>
      </w:pPr>
      <w:rPr>
        <w:rFonts w:ascii="Arial" w:hAnsi="Arial" w:hint="default"/>
      </w:rPr>
    </w:lvl>
    <w:lvl w:ilvl="7" w:tplc="35FC4ED6" w:tentative="1">
      <w:start w:val="1"/>
      <w:numFmt w:val="bullet"/>
      <w:lvlText w:val="•"/>
      <w:lvlJc w:val="left"/>
      <w:pPr>
        <w:tabs>
          <w:tab w:val="num" w:pos="5400"/>
        </w:tabs>
        <w:ind w:left="5400" w:hanging="360"/>
      </w:pPr>
      <w:rPr>
        <w:rFonts w:ascii="Arial" w:hAnsi="Arial" w:hint="default"/>
      </w:rPr>
    </w:lvl>
    <w:lvl w:ilvl="8" w:tplc="01AC64BA" w:tentative="1">
      <w:start w:val="1"/>
      <w:numFmt w:val="bullet"/>
      <w:lvlText w:val="•"/>
      <w:lvlJc w:val="left"/>
      <w:pPr>
        <w:tabs>
          <w:tab w:val="num" w:pos="6120"/>
        </w:tabs>
        <w:ind w:left="6120" w:hanging="360"/>
      </w:pPr>
      <w:rPr>
        <w:rFonts w:ascii="Arial" w:hAnsi="Arial" w:hint="default"/>
      </w:rPr>
    </w:lvl>
  </w:abstractNum>
  <w:abstractNum w:abstractNumId="2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1">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2">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8AE095D"/>
    <w:multiLevelType w:val="hybridMultilevel"/>
    <w:tmpl w:val="A984DF3C"/>
    <w:lvl w:ilvl="0" w:tplc="5942C97E">
      <w:start w:val="1"/>
      <w:numFmt w:val="bullet"/>
      <w:lvlText w:val=""/>
      <w:lvlJc w:val="left"/>
      <w:pPr>
        <w:ind w:left="360" w:hanging="360"/>
      </w:pPr>
      <w:rPr>
        <w:rFonts w:ascii="Symbol" w:hAnsi="Symbol" w:hint="default"/>
      </w:rPr>
    </w:lvl>
    <w:lvl w:ilvl="1" w:tplc="7AF0BCE4">
      <w:start w:val="1"/>
      <w:numFmt w:val="bullet"/>
      <w:lvlText w:val=""/>
      <w:lvlJc w:val="left"/>
      <w:pPr>
        <w:ind w:left="426" w:hanging="360"/>
      </w:pPr>
      <w:rPr>
        <w:rFonts w:ascii="Symbol" w:hAnsi="Symbol" w:hint="default"/>
      </w:rPr>
    </w:lvl>
    <w:lvl w:ilvl="2" w:tplc="02BC2C7A" w:tentative="1">
      <w:start w:val="1"/>
      <w:numFmt w:val="bullet"/>
      <w:lvlText w:val=""/>
      <w:lvlJc w:val="left"/>
      <w:pPr>
        <w:ind w:left="1800" w:hanging="360"/>
      </w:pPr>
      <w:rPr>
        <w:rFonts w:ascii="Wingdings" w:hAnsi="Wingdings" w:hint="default"/>
      </w:rPr>
    </w:lvl>
    <w:lvl w:ilvl="3" w:tplc="8F1A4BDC" w:tentative="1">
      <w:start w:val="1"/>
      <w:numFmt w:val="bullet"/>
      <w:lvlText w:val=""/>
      <w:lvlJc w:val="left"/>
      <w:pPr>
        <w:ind w:left="2520" w:hanging="360"/>
      </w:pPr>
      <w:rPr>
        <w:rFonts w:ascii="Symbol" w:hAnsi="Symbol" w:hint="default"/>
      </w:rPr>
    </w:lvl>
    <w:lvl w:ilvl="4" w:tplc="B56ECDFE" w:tentative="1">
      <w:start w:val="1"/>
      <w:numFmt w:val="bullet"/>
      <w:lvlText w:val="o"/>
      <w:lvlJc w:val="left"/>
      <w:pPr>
        <w:ind w:left="3240" w:hanging="360"/>
      </w:pPr>
      <w:rPr>
        <w:rFonts w:ascii="Courier New" w:hAnsi="Courier New" w:cs="Courier New" w:hint="default"/>
      </w:rPr>
    </w:lvl>
    <w:lvl w:ilvl="5" w:tplc="3F504622" w:tentative="1">
      <w:start w:val="1"/>
      <w:numFmt w:val="bullet"/>
      <w:lvlText w:val=""/>
      <w:lvlJc w:val="left"/>
      <w:pPr>
        <w:ind w:left="3960" w:hanging="360"/>
      </w:pPr>
      <w:rPr>
        <w:rFonts w:ascii="Wingdings" w:hAnsi="Wingdings" w:hint="default"/>
      </w:rPr>
    </w:lvl>
    <w:lvl w:ilvl="6" w:tplc="09E4E032" w:tentative="1">
      <w:start w:val="1"/>
      <w:numFmt w:val="bullet"/>
      <w:lvlText w:val=""/>
      <w:lvlJc w:val="left"/>
      <w:pPr>
        <w:ind w:left="4680" w:hanging="360"/>
      </w:pPr>
      <w:rPr>
        <w:rFonts w:ascii="Symbol" w:hAnsi="Symbol" w:hint="default"/>
      </w:rPr>
    </w:lvl>
    <w:lvl w:ilvl="7" w:tplc="7CB6D804" w:tentative="1">
      <w:start w:val="1"/>
      <w:numFmt w:val="bullet"/>
      <w:lvlText w:val="o"/>
      <w:lvlJc w:val="left"/>
      <w:pPr>
        <w:ind w:left="5400" w:hanging="360"/>
      </w:pPr>
      <w:rPr>
        <w:rFonts w:ascii="Courier New" w:hAnsi="Courier New" w:cs="Courier New" w:hint="default"/>
      </w:rPr>
    </w:lvl>
    <w:lvl w:ilvl="8" w:tplc="89A2801A" w:tentative="1">
      <w:start w:val="1"/>
      <w:numFmt w:val="bullet"/>
      <w:lvlText w:val=""/>
      <w:lvlJc w:val="left"/>
      <w:pPr>
        <w:ind w:left="6120" w:hanging="360"/>
      </w:pPr>
      <w:rPr>
        <w:rFonts w:ascii="Wingdings" w:hAnsi="Wingdings" w:hint="default"/>
      </w:rPr>
    </w:lvl>
  </w:abstractNum>
  <w:abstractNum w:abstractNumId="24">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5"/>
  </w:num>
  <w:num w:numId="3">
    <w:abstractNumId w:val="11"/>
  </w:num>
  <w:num w:numId="4">
    <w:abstractNumId w:val="13"/>
  </w:num>
  <w:num w:numId="5">
    <w:abstractNumId w:val="20"/>
  </w:num>
  <w:num w:numId="6">
    <w:abstractNumId w:val="9"/>
  </w:num>
  <w:num w:numId="7">
    <w:abstractNumId w:val="25"/>
  </w:num>
  <w:num w:numId="8">
    <w:abstractNumId w:val="2"/>
  </w:num>
  <w:num w:numId="9">
    <w:abstractNumId w:val="1"/>
  </w:num>
  <w:num w:numId="10">
    <w:abstractNumId w:val="21"/>
  </w:num>
  <w:num w:numId="11">
    <w:abstractNumId w:val="10"/>
  </w:num>
  <w:num w:numId="12">
    <w:abstractNumId w:val="18"/>
  </w:num>
  <w:num w:numId="13">
    <w:abstractNumId w:val="12"/>
  </w:num>
  <w:num w:numId="14">
    <w:abstractNumId w:val="8"/>
  </w:num>
  <w:num w:numId="15">
    <w:abstractNumId w:val="0"/>
  </w:num>
  <w:num w:numId="16">
    <w:abstractNumId w:val="2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5"/>
  </w:num>
  <w:num w:numId="20">
    <w:abstractNumId w:val="16"/>
  </w:num>
  <w:num w:numId="21">
    <w:abstractNumId w:val="19"/>
  </w:num>
  <w:num w:numId="22">
    <w:abstractNumId w:val="6"/>
  </w:num>
  <w:num w:numId="23">
    <w:abstractNumId w:val="4"/>
  </w:num>
  <w:num w:numId="24">
    <w:abstractNumId w:val="23"/>
  </w:num>
  <w:num w:numId="25">
    <w:abstractNumId w:val="14"/>
  </w:num>
  <w:num w:numId="26">
    <w:abstractNumId w:val="5"/>
  </w:num>
  <w:num w:numId="27">
    <w:abstractNumId w:val="5"/>
  </w:num>
  <w:num w:numId="28">
    <w:abstractNumId w:val="5"/>
  </w:num>
  <w:num w:numId="29">
    <w:abstractNumId w:val="10"/>
    <w:lvlOverride w:ilvl="0">
      <w:lvl w:ilvl="0">
        <w:start w:val="1"/>
        <w:numFmt w:val="bullet"/>
        <w:pStyle w:val="ListBullet"/>
        <w:lvlText w:val=""/>
        <w:lvlJc w:val="left"/>
        <w:pPr>
          <w:ind w:left="369" w:hanging="369"/>
        </w:pPr>
        <w:rPr>
          <w:rFonts w:ascii="Symbol" w:hAnsi="Symbol" w:hint="default"/>
        </w:rPr>
      </w:lvl>
    </w:lvlOverride>
  </w:num>
  <w:num w:numId="30">
    <w:abstractNumId w:val="10"/>
    <w:lvlOverride w:ilvl="0">
      <w:lvl w:ilvl="0">
        <w:start w:val="1"/>
        <w:numFmt w:val="bullet"/>
        <w:pStyle w:val="ListBullet"/>
        <w:lvlText w:val=""/>
        <w:lvlJc w:val="left"/>
        <w:pPr>
          <w:ind w:left="369" w:hanging="369"/>
        </w:pPr>
        <w:rPr>
          <w:rFonts w:ascii="Symbol" w:hAnsi="Symbol" w:hint="default"/>
          <w:sz w:val="16"/>
          <w:szCs w:val="16"/>
        </w:rPr>
      </w:lvl>
    </w:lvlOverride>
  </w:num>
  <w:num w:numId="31">
    <w:abstractNumId w:val="10"/>
  </w:num>
  <w:num w:numId="32">
    <w:abstractNumId w:val="10"/>
  </w:num>
  <w:num w:numId="33">
    <w:abstractNumId w:val="10"/>
  </w:num>
  <w:num w:numId="34">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oNotTrackFormatting/>
  <w:defaultTabStop w:val="227"/>
  <w:drawingGridHorizontalSpacing w:val="110"/>
  <w:displayHorizontalDrawingGridEvery w:val="2"/>
  <w:characterSpacingControl w:val="doNotCompress"/>
  <w:hdrShapeDefaults>
    <o:shapedefaults v:ext="edit" spidmax="460801" style="mso-position-horizontal:left" fill="f" fillcolor="white" stroke="f">
      <v:fill color="white" on="f"/>
      <v:stroke on="f"/>
      <o:colormenu v:ext="edit" fillcolor="none [3212]" strokecolor="none [3204]"/>
    </o:shapedefaults>
  </w:hdrShapeDefaults>
  <w:footnotePr>
    <w:footnote w:id="-1"/>
    <w:footnote w:id="0"/>
  </w:footnotePr>
  <w:endnotePr>
    <w:endnote w:id="-1"/>
    <w:endnote w:id="0"/>
  </w:endnotePr>
  <w:compat/>
  <w:rsids>
    <w:rsidRoot w:val="0056742F"/>
    <w:rsid w:val="00000381"/>
    <w:rsid w:val="00002099"/>
    <w:rsid w:val="00002378"/>
    <w:rsid w:val="000024EA"/>
    <w:rsid w:val="000028D9"/>
    <w:rsid w:val="00002B8A"/>
    <w:rsid w:val="00004AF1"/>
    <w:rsid w:val="00005285"/>
    <w:rsid w:val="00005582"/>
    <w:rsid w:val="000056E2"/>
    <w:rsid w:val="00005BEC"/>
    <w:rsid w:val="00007478"/>
    <w:rsid w:val="00007FDD"/>
    <w:rsid w:val="00010A93"/>
    <w:rsid w:val="00010B79"/>
    <w:rsid w:val="00012A6E"/>
    <w:rsid w:val="000136F6"/>
    <w:rsid w:val="000139E5"/>
    <w:rsid w:val="0001409D"/>
    <w:rsid w:val="00014891"/>
    <w:rsid w:val="00015EE4"/>
    <w:rsid w:val="00016616"/>
    <w:rsid w:val="00017748"/>
    <w:rsid w:val="00017EB9"/>
    <w:rsid w:val="000200A4"/>
    <w:rsid w:val="0002261E"/>
    <w:rsid w:val="00023638"/>
    <w:rsid w:val="0002396E"/>
    <w:rsid w:val="00023E37"/>
    <w:rsid w:val="0002400B"/>
    <w:rsid w:val="00024B03"/>
    <w:rsid w:val="00025C9F"/>
    <w:rsid w:val="0002674E"/>
    <w:rsid w:val="00026BFF"/>
    <w:rsid w:val="00026DA1"/>
    <w:rsid w:val="000277BC"/>
    <w:rsid w:val="00027EE6"/>
    <w:rsid w:val="00031EDA"/>
    <w:rsid w:val="0003322D"/>
    <w:rsid w:val="00033967"/>
    <w:rsid w:val="00034218"/>
    <w:rsid w:val="00034AB6"/>
    <w:rsid w:val="00035DF5"/>
    <w:rsid w:val="00036335"/>
    <w:rsid w:val="00036416"/>
    <w:rsid w:val="00036ADD"/>
    <w:rsid w:val="00037C03"/>
    <w:rsid w:val="00037CBF"/>
    <w:rsid w:val="00037DC7"/>
    <w:rsid w:val="000408B6"/>
    <w:rsid w:val="000408CA"/>
    <w:rsid w:val="00041C25"/>
    <w:rsid w:val="00042A08"/>
    <w:rsid w:val="000436E2"/>
    <w:rsid w:val="00044691"/>
    <w:rsid w:val="00044722"/>
    <w:rsid w:val="00045C6E"/>
    <w:rsid w:val="000466F6"/>
    <w:rsid w:val="00046984"/>
    <w:rsid w:val="00046CD5"/>
    <w:rsid w:val="000474D4"/>
    <w:rsid w:val="00050D87"/>
    <w:rsid w:val="000512B3"/>
    <w:rsid w:val="000514FD"/>
    <w:rsid w:val="00051CD0"/>
    <w:rsid w:val="00051F70"/>
    <w:rsid w:val="00052416"/>
    <w:rsid w:val="000538A0"/>
    <w:rsid w:val="00054232"/>
    <w:rsid w:val="00054CB4"/>
    <w:rsid w:val="00055578"/>
    <w:rsid w:val="000556D7"/>
    <w:rsid w:val="00056FAD"/>
    <w:rsid w:val="000579BA"/>
    <w:rsid w:val="00060C7A"/>
    <w:rsid w:val="00061D71"/>
    <w:rsid w:val="00061E6F"/>
    <w:rsid w:val="00063566"/>
    <w:rsid w:val="00063869"/>
    <w:rsid w:val="00063A6B"/>
    <w:rsid w:val="0006675F"/>
    <w:rsid w:val="00067000"/>
    <w:rsid w:val="00067B6D"/>
    <w:rsid w:val="0007104E"/>
    <w:rsid w:val="00071C4B"/>
    <w:rsid w:val="00071D3B"/>
    <w:rsid w:val="0007212E"/>
    <w:rsid w:val="00075DF2"/>
    <w:rsid w:val="000763A2"/>
    <w:rsid w:val="000766D7"/>
    <w:rsid w:val="00076F5C"/>
    <w:rsid w:val="00076F8C"/>
    <w:rsid w:val="000801F7"/>
    <w:rsid w:val="00080CC4"/>
    <w:rsid w:val="00081106"/>
    <w:rsid w:val="00081710"/>
    <w:rsid w:val="00083B63"/>
    <w:rsid w:val="0008555D"/>
    <w:rsid w:val="000858E5"/>
    <w:rsid w:val="00085B95"/>
    <w:rsid w:val="00085CE7"/>
    <w:rsid w:val="00085D2D"/>
    <w:rsid w:val="00086014"/>
    <w:rsid w:val="000867AB"/>
    <w:rsid w:val="00086FF0"/>
    <w:rsid w:val="0008722B"/>
    <w:rsid w:val="0008724E"/>
    <w:rsid w:val="0009012D"/>
    <w:rsid w:val="00091DE7"/>
    <w:rsid w:val="00093433"/>
    <w:rsid w:val="00093447"/>
    <w:rsid w:val="00093553"/>
    <w:rsid w:val="0009510B"/>
    <w:rsid w:val="00095D5A"/>
    <w:rsid w:val="000969BF"/>
    <w:rsid w:val="000A0D14"/>
    <w:rsid w:val="000A3AF3"/>
    <w:rsid w:val="000A4779"/>
    <w:rsid w:val="000A5FB7"/>
    <w:rsid w:val="000A707B"/>
    <w:rsid w:val="000B0A77"/>
    <w:rsid w:val="000B187A"/>
    <w:rsid w:val="000B226C"/>
    <w:rsid w:val="000B2A70"/>
    <w:rsid w:val="000B30B9"/>
    <w:rsid w:val="000B363A"/>
    <w:rsid w:val="000B456D"/>
    <w:rsid w:val="000B4745"/>
    <w:rsid w:val="000B49B0"/>
    <w:rsid w:val="000B5111"/>
    <w:rsid w:val="000B5E83"/>
    <w:rsid w:val="000B6786"/>
    <w:rsid w:val="000B79E6"/>
    <w:rsid w:val="000B7EAF"/>
    <w:rsid w:val="000C00BE"/>
    <w:rsid w:val="000C0E21"/>
    <w:rsid w:val="000C140C"/>
    <w:rsid w:val="000C152E"/>
    <w:rsid w:val="000C1FEF"/>
    <w:rsid w:val="000C239F"/>
    <w:rsid w:val="000C45B2"/>
    <w:rsid w:val="000C5717"/>
    <w:rsid w:val="000C5ED9"/>
    <w:rsid w:val="000C6B19"/>
    <w:rsid w:val="000C6B5F"/>
    <w:rsid w:val="000C6CD1"/>
    <w:rsid w:val="000C6FFF"/>
    <w:rsid w:val="000D0B16"/>
    <w:rsid w:val="000D0E8A"/>
    <w:rsid w:val="000D0ECA"/>
    <w:rsid w:val="000D21C8"/>
    <w:rsid w:val="000D3A09"/>
    <w:rsid w:val="000D437F"/>
    <w:rsid w:val="000D4EED"/>
    <w:rsid w:val="000D55E5"/>
    <w:rsid w:val="000D5B9F"/>
    <w:rsid w:val="000D6050"/>
    <w:rsid w:val="000D7022"/>
    <w:rsid w:val="000D7681"/>
    <w:rsid w:val="000E0755"/>
    <w:rsid w:val="000E0CA0"/>
    <w:rsid w:val="000E106F"/>
    <w:rsid w:val="000E1E9D"/>
    <w:rsid w:val="000E1EC6"/>
    <w:rsid w:val="000E44E0"/>
    <w:rsid w:val="000E5398"/>
    <w:rsid w:val="000E7714"/>
    <w:rsid w:val="000F0BD7"/>
    <w:rsid w:val="000F1AAB"/>
    <w:rsid w:val="000F264B"/>
    <w:rsid w:val="000F2847"/>
    <w:rsid w:val="000F2A43"/>
    <w:rsid w:val="000F33DD"/>
    <w:rsid w:val="000F3757"/>
    <w:rsid w:val="000F46C7"/>
    <w:rsid w:val="00100F06"/>
    <w:rsid w:val="0010118E"/>
    <w:rsid w:val="00101E6F"/>
    <w:rsid w:val="00102059"/>
    <w:rsid w:val="00102627"/>
    <w:rsid w:val="0010273F"/>
    <w:rsid w:val="001038D7"/>
    <w:rsid w:val="00104295"/>
    <w:rsid w:val="001060E6"/>
    <w:rsid w:val="00106734"/>
    <w:rsid w:val="001107B1"/>
    <w:rsid w:val="00112FD8"/>
    <w:rsid w:val="001131A9"/>
    <w:rsid w:val="00113476"/>
    <w:rsid w:val="001157B5"/>
    <w:rsid w:val="00116A5F"/>
    <w:rsid w:val="00116CF3"/>
    <w:rsid w:val="00120DFD"/>
    <w:rsid w:val="00121269"/>
    <w:rsid w:val="00121AB9"/>
    <w:rsid w:val="00122734"/>
    <w:rsid w:val="00122EAD"/>
    <w:rsid w:val="00126B59"/>
    <w:rsid w:val="00126D38"/>
    <w:rsid w:val="0013080E"/>
    <w:rsid w:val="00130DD1"/>
    <w:rsid w:val="0013193C"/>
    <w:rsid w:val="00131B6A"/>
    <w:rsid w:val="001322DF"/>
    <w:rsid w:val="001327EC"/>
    <w:rsid w:val="00132975"/>
    <w:rsid w:val="0013308A"/>
    <w:rsid w:val="00133FA2"/>
    <w:rsid w:val="001352F3"/>
    <w:rsid w:val="001376D1"/>
    <w:rsid w:val="00141846"/>
    <w:rsid w:val="00141EE5"/>
    <w:rsid w:val="00142642"/>
    <w:rsid w:val="00142705"/>
    <w:rsid w:val="00142B94"/>
    <w:rsid w:val="00143E16"/>
    <w:rsid w:val="00145D20"/>
    <w:rsid w:val="00146F6D"/>
    <w:rsid w:val="00147090"/>
    <w:rsid w:val="001479F5"/>
    <w:rsid w:val="00147BF7"/>
    <w:rsid w:val="0015153C"/>
    <w:rsid w:val="00152AD6"/>
    <w:rsid w:val="00152B02"/>
    <w:rsid w:val="00152C75"/>
    <w:rsid w:val="0015333D"/>
    <w:rsid w:val="00153C57"/>
    <w:rsid w:val="00154217"/>
    <w:rsid w:val="00155313"/>
    <w:rsid w:val="00155A04"/>
    <w:rsid w:val="00155E0E"/>
    <w:rsid w:val="00156815"/>
    <w:rsid w:val="00157E34"/>
    <w:rsid w:val="00157F03"/>
    <w:rsid w:val="00160558"/>
    <w:rsid w:val="001612AF"/>
    <w:rsid w:val="00161636"/>
    <w:rsid w:val="0016191A"/>
    <w:rsid w:val="00162EAD"/>
    <w:rsid w:val="00163D29"/>
    <w:rsid w:val="00164F2C"/>
    <w:rsid w:val="0016505C"/>
    <w:rsid w:val="00166982"/>
    <w:rsid w:val="00166AFF"/>
    <w:rsid w:val="00167D96"/>
    <w:rsid w:val="00170491"/>
    <w:rsid w:val="00171883"/>
    <w:rsid w:val="00172471"/>
    <w:rsid w:val="00172728"/>
    <w:rsid w:val="00172A07"/>
    <w:rsid w:val="00173040"/>
    <w:rsid w:val="001731D7"/>
    <w:rsid w:val="00174E33"/>
    <w:rsid w:val="00176550"/>
    <w:rsid w:val="0017694B"/>
    <w:rsid w:val="00176D2A"/>
    <w:rsid w:val="00177161"/>
    <w:rsid w:val="00177D8E"/>
    <w:rsid w:val="001803DD"/>
    <w:rsid w:val="001806D0"/>
    <w:rsid w:val="00180C7D"/>
    <w:rsid w:val="00181177"/>
    <w:rsid w:val="00181D22"/>
    <w:rsid w:val="00183510"/>
    <w:rsid w:val="00184B55"/>
    <w:rsid w:val="001851C3"/>
    <w:rsid w:val="00185E5A"/>
    <w:rsid w:val="00186A35"/>
    <w:rsid w:val="00186F08"/>
    <w:rsid w:val="001901FC"/>
    <w:rsid w:val="001914EA"/>
    <w:rsid w:val="001925DB"/>
    <w:rsid w:val="001928F4"/>
    <w:rsid w:val="00192DDB"/>
    <w:rsid w:val="00193298"/>
    <w:rsid w:val="0019343A"/>
    <w:rsid w:val="001935AA"/>
    <w:rsid w:val="001937AE"/>
    <w:rsid w:val="001943C7"/>
    <w:rsid w:val="001947CF"/>
    <w:rsid w:val="00194962"/>
    <w:rsid w:val="001949D1"/>
    <w:rsid w:val="00195B18"/>
    <w:rsid w:val="00195C4E"/>
    <w:rsid w:val="001962A8"/>
    <w:rsid w:val="0019743C"/>
    <w:rsid w:val="00197DFF"/>
    <w:rsid w:val="001A02CA"/>
    <w:rsid w:val="001A05CF"/>
    <w:rsid w:val="001A0FE5"/>
    <w:rsid w:val="001A10B4"/>
    <w:rsid w:val="001A2101"/>
    <w:rsid w:val="001A41CD"/>
    <w:rsid w:val="001A49D0"/>
    <w:rsid w:val="001A61C7"/>
    <w:rsid w:val="001A7414"/>
    <w:rsid w:val="001A7F79"/>
    <w:rsid w:val="001B0111"/>
    <w:rsid w:val="001B211C"/>
    <w:rsid w:val="001B2EBB"/>
    <w:rsid w:val="001B31E1"/>
    <w:rsid w:val="001B4D42"/>
    <w:rsid w:val="001B6746"/>
    <w:rsid w:val="001C01A5"/>
    <w:rsid w:val="001C081F"/>
    <w:rsid w:val="001C1F53"/>
    <w:rsid w:val="001C2B15"/>
    <w:rsid w:val="001C2B8E"/>
    <w:rsid w:val="001C4139"/>
    <w:rsid w:val="001C5808"/>
    <w:rsid w:val="001C6B08"/>
    <w:rsid w:val="001C6D5C"/>
    <w:rsid w:val="001C7251"/>
    <w:rsid w:val="001C7DED"/>
    <w:rsid w:val="001D0971"/>
    <w:rsid w:val="001D3F56"/>
    <w:rsid w:val="001D48AD"/>
    <w:rsid w:val="001D4DE1"/>
    <w:rsid w:val="001D655C"/>
    <w:rsid w:val="001D7325"/>
    <w:rsid w:val="001D7780"/>
    <w:rsid w:val="001E1642"/>
    <w:rsid w:val="001E22B9"/>
    <w:rsid w:val="001E2453"/>
    <w:rsid w:val="001E262C"/>
    <w:rsid w:val="001E4BFD"/>
    <w:rsid w:val="001E5CFB"/>
    <w:rsid w:val="001E6DAE"/>
    <w:rsid w:val="001E6F8F"/>
    <w:rsid w:val="001E7174"/>
    <w:rsid w:val="001E797D"/>
    <w:rsid w:val="001F27E6"/>
    <w:rsid w:val="001F3B7D"/>
    <w:rsid w:val="001F66E6"/>
    <w:rsid w:val="001F6B42"/>
    <w:rsid w:val="00200BBF"/>
    <w:rsid w:val="00201D59"/>
    <w:rsid w:val="0020276B"/>
    <w:rsid w:val="0020300A"/>
    <w:rsid w:val="002034DF"/>
    <w:rsid w:val="002039BE"/>
    <w:rsid w:val="00204565"/>
    <w:rsid w:val="00205099"/>
    <w:rsid w:val="002064B0"/>
    <w:rsid w:val="002071F1"/>
    <w:rsid w:val="00207883"/>
    <w:rsid w:val="00210EAC"/>
    <w:rsid w:val="00211040"/>
    <w:rsid w:val="00211049"/>
    <w:rsid w:val="002119A3"/>
    <w:rsid w:val="00212502"/>
    <w:rsid w:val="0021266E"/>
    <w:rsid w:val="002173B2"/>
    <w:rsid w:val="00217D3A"/>
    <w:rsid w:val="0022163D"/>
    <w:rsid w:val="00222D78"/>
    <w:rsid w:val="00223B45"/>
    <w:rsid w:val="002259D6"/>
    <w:rsid w:val="00225DE6"/>
    <w:rsid w:val="00227BFE"/>
    <w:rsid w:val="002302DE"/>
    <w:rsid w:val="002312FB"/>
    <w:rsid w:val="0023178A"/>
    <w:rsid w:val="00231932"/>
    <w:rsid w:val="00231A1B"/>
    <w:rsid w:val="002329B7"/>
    <w:rsid w:val="002333F8"/>
    <w:rsid w:val="00234569"/>
    <w:rsid w:val="00234CEC"/>
    <w:rsid w:val="002359B4"/>
    <w:rsid w:val="00237242"/>
    <w:rsid w:val="00240EA8"/>
    <w:rsid w:val="00244287"/>
    <w:rsid w:val="002451D1"/>
    <w:rsid w:val="002455FD"/>
    <w:rsid w:val="0024585E"/>
    <w:rsid w:val="00245DE1"/>
    <w:rsid w:val="00247B97"/>
    <w:rsid w:val="00250AE3"/>
    <w:rsid w:val="00250C5F"/>
    <w:rsid w:val="00251E03"/>
    <w:rsid w:val="00252B55"/>
    <w:rsid w:val="00252F98"/>
    <w:rsid w:val="00253C6D"/>
    <w:rsid w:val="0025481F"/>
    <w:rsid w:val="00254991"/>
    <w:rsid w:val="00254E31"/>
    <w:rsid w:val="00257A7A"/>
    <w:rsid w:val="0026078A"/>
    <w:rsid w:val="002608F4"/>
    <w:rsid w:val="00260D80"/>
    <w:rsid w:val="00260DAF"/>
    <w:rsid w:val="0026162F"/>
    <w:rsid w:val="00261738"/>
    <w:rsid w:val="002619B9"/>
    <w:rsid w:val="00261BC1"/>
    <w:rsid w:val="0026302A"/>
    <w:rsid w:val="002639F6"/>
    <w:rsid w:val="00263C61"/>
    <w:rsid w:val="00265492"/>
    <w:rsid w:val="00265A6C"/>
    <w:rsid w:val="002661A9"/>
    <w:rsid w:val="0026624B"/>
    <w:rsid w:val="0027026E"/>
    <w:rsid w:val="0027104C"/>
    <w:rsid w:val="002715DA"/>
    <w:rsid w:val="0027180C"/>
    <w:rsid w:val="00272710"/>
    <w:rsid w:val="002735A7"/>
    <w:rsid w:val="00274DF6"/>
    <w:rsid w:val="00275648"/>
    <w:rsid w:val="00275A95"/>
    <w:rsid w:val="00275CF7"/>
    <w:rsid w:val="00276998"/>
    <w:rsid w:val="00276AD7"/>
    <w:rsid w:val="0027713D"/>
    <w:rsid w:val="00277677"/>
    <w:rsid w:val="00277E76"/>
    <w:rsid w:val="002800CB"/>
    <w:rsid w:val="00280787"/>
    <w:rsid w:val="00280D26"/>
    <w:rsid w:val="002814F8"/>
    <w:rsid w:val="002816A7"/>
    <w:rsid w:val="002816F2"/>
    <w:rsid w:val="00281959"/>
    <w:rsid w:val="00282843"/>
    <w:rsid w:val="00283A5B"/>
    <w:rsid w:val="00284ACF"/>
    <w:rsid w:val="002858E3"/>
    <w:rsid w:val="00286471"/>
    <w:rsid w:val="00286971"/>
    <w:rsid w:val="00286F29"/>
    <w:rsid w:val="002872D2"/>
    <w:rsid w:val="00287C36"/>
    <w:rsid w:val="00287C9A"/>
    <w:rsid w:val="00287CEB"/>
    <w:rsid w:val="00287F3B"/>
    <w:rsid w:val="00291239"/>
    <w:rsid w:val="00291EC7"/>
    <w:rsid w:val="00292376"/>
    <w:rsid w:val="00292843"/>
    <w:rsid w:val="00293657"/>
    <w:rsid w:val="00293FD3"/>
    <w:rsid w:val="00293FE0"/>
    <w:rsid w:val="00294FD1"/>
    <w:rsid w:val="00295807"/>
    <w:rsid w:val="00296785"/>
    <w:rsid w:val="00296797"/>
    <w:rsid w:val="0029757E"/>
    <w:rsid w:val="002976F8"/>
    <w:rsid w:val="002A226E"/>
    <w:rsid w:val="002A476A"/>
    <w:rsid w:val="002A50C9"/>
    <w:rsid w:val="002A5750"/>
    <w:rsid w:val="002B1419"/>
    <w:rsid w:val="002B218B"/>
    <w:rsid w:val="002B290F"/>
    <w:rsid w:val="002B2968"/>
    <w:rsid w:val="002B2B24"/>
    <w:rsid w:val="002B2B79"/>
    <w:rsid w:val="002B3015"/>
    <w:rsid w:val="002B383D"/>
    <w:rsid w:val="002B40CB"/>
    <w:rsid w:val="002B4D8A"/>
    <w:rsid w:val="002B59E1"/>
    <w:rsid w:val="002B65D5"/>
    <w:rsid w:val="002B6FE6"/>
    <w:rsid w:val="002B7EC1"/>
    <w:rsid w:val="002C2ADD"/>
    <w:rsid w:val="002C2FCB"/>
    <w:rsid w:val="002C42AF"/>
    <w:rsid w:val="002C4547"/>
    <w:rsid w:val="002C4690"/>
    <w:rsid w:val="002C5B07"/>
    <w:rsid w:val="002C65EB"/>
    <w:rsid w:val="002C7EDD"/>
    <w:rsid w:val="002C7F1E"/>
    <w:rsid w:val="002D0E7F"/>
    <w:rsid w:val="002D137E"/>
    <w:rsid w:val="002D162F"/>
    <w:rsid w:val="002D18B5"/>
    <w:rsid w:val="002D27E7"/>
    <w:rsid w:val="002D2DBE"/>
    <w:rsid w:val="002D3298"/>
    <w:rsid w:val="002D41C7"/>
    <w:rsid w:val="002D4278"/>
    <w:rsid w:val="002D464B"/>
    <w:rsid w:val="002D57BA"/>
    <w:rsid w:val="002D5BC4"/>
    <w:rsid w:val="002D5BF4"/>
    <w:rsid w:val="002D647C"/>
    <w:rsid w:val="002D6FE2"/>
    <w:rsid w:val="002D7487"/>
    <w:rsid w:val="002D7929"/>
    <w:rsid w:val="002D7B19"/>
    <w:rsid w:val="002E048C"/>
    <w:rsid w:val="002E1361"/>
    <w:rsid w:val="002E2085"/>
    <w:rsid w:val="002E2881"/>
    <w:rsid w:val="002E28F4"/>
    <w:rsid w:val="002E366B"/>
    <w:rsid w:val="002E3F4C"/>
    <w:rsid w:val="002E538C"/>
    <w:rsid w:val="002F032A"/>
    <w:rsid w:val="002F0762"/>
    <w:rsid w:val="002F0C43"/>
    <w:rsid w:val="002F1608"/>
    <w:rsid w:val="002F1B46"/>
    <w:rsid w:val="002F24DA"/>
    <w:rsid w:val="002F2980"/>
    <w:rsid w:val="002F2C2B"/>
    <w:rsid w:val="002F3361"/>
    <w:rsid w:val="002F3763"/>
    <w:rsid w:val="002F3DF8"/>
    <w:rsid w:val="002F4D82"/>
    <w:rsid w:val="002F614E"/>
    <w:rsid w:val="003009EE"/>
    <w:rsid w:val="00300AFD"/>
    <w:rsid w:val="00301133"/>
    <w:rsid w:val="00301A25"/>
    <w:rsid w:val="00303712"/>
    <w:rsid w:val="00303963"/>
    <w:rsid w:val="0030485D"/>
    <w:rsid w:val="00305319"/>
    <w:rsid w:val="00305899"/>
    <w:rsid w:val="00305BFC"/>
    <w:rsid w:val="003062B4"/>
    <w:rsid w:val="00306FAE"/>
    <w:rsid w:val="00307208"/>
    <w:rsid w:val="00307490"/>
    <w:rsid w:val="003112B5"/>
    <w:rsid w:val="00312939"/>
    <w:rsid w:val="003145A1"/>
    <w:rsid w:val="0031473C"/>
    <w:rsid w:val="00315490"/>
    <w:rsid w:val="003154BF"/>
    <w:rsid w:val="003155C7"/>
    <w:rsid w:val="00317026"/>
    <w:rsid w:val="0032109A"/>
    <w:rsid w:val="003219DD"/>
    <w:rsid w:val="00321BC8"/>
    <w:rsid w:val="003223CE"/>
    <w:rsid w:val="0032343B"/>
    <w:rsid w:val="00324B26"/>
    <w:rsid w:val="00324F33"/>
    <w:rsid w:val="003263BB"/>
    <w:rsid w:val="00326902"/>
    <w:rsid w:val="00326979"/>
    <w:rsid w:val="00327813"/>
    <w:rsid w:val="0033110A"/>
    <w:rsid w:val="003316DB"/>
    <w:rsid w:val="003327EA"/>
    <w:rsid w:val="003334A7"/>
    <w:rsid w:val="00333A6E"/>
    <w:rsid w:val="00333C1B"/>
    <w:rsid w:val="00333F29"/>
    <w:rsid w:val="00334D79"/>
    <w:rsid w:val="00335AF6"/>
    <w:rsid w:val="00335EE1"/>
    <w:rsid w:val="0033620F"/>
    <w:rsid w:val="00336652"/>
    <w:rsid w:val="003367F3"/>
    <w:rsid w:val="0034022C"/>
    <w:rsid w:val="00340F6C"/>
    <w:rsid w:val="0034312A"/>
    <w:rsid w:val="0034344D"/>
    <w:rsid w:val="00343BA7"/>
    <w:rsid w:val="0034423E"/>
    <w:rsid w:val="00346504"/>
    <w:rsid w:val="003467BC"/>
    <w:rsid w:val="00346A62"/>
    <w:rsid w:val="00346D07"/>
    <w:rsid w:val="00346EBD"/>
    <w:rsid w:val="00350EDF"/>
    <w:rsid w:val="00351107"/>
    <w:rsid w:val="00351323"/>
    <w:rsid w:val="003515A4"/>
    <w:rsid w:val="003529C1"/>
    <w:rsid w:val="003530EE"/>
    <w:rsid w:val="003545FB"/>
    <w:rsid w:val="003556D1"/>
    <w:rsid w:val="00355A59"/>
    <w:rsid w:val="00356183"/>
    <w:rsid w:val="00356E2D"/>
    <w:rsid w:val="00357986"/>
    <w:rsid w:val="00360374"/>
    <w:rsid w:val="003606F1"/>
    <w:rsid w:val="00360759"/>
    <w:rsid w:val="003618BB"/>
    <w:rsid w:val="0036231B"/>
    <w:rsid w:val="0036244A"/>
    <w:rsid w:val="00362AB3"/>
    <w:rsid w:val="0036348E"/>
    <w:rsid w:val="00363641"/>
    <w:rsid w:val="00363651"/>
    <w:rsid w:val="00364AF4"/>
    <w:rsid w:val="0036652A"/>
    <w:rsid w:val="00367206"/>
    <w:rsid w:val="00371A1A"/>
    <w:rsid w:val="00373C16"/>
    <w:rsid w:val="00374407"/>
    <w:rsid w:val="00374FC9"/>
    <w:rsid w:val="003750A3"/>
    <w:rsid w:val="00375516"/>
    <w:rsid w:val="003758D0"/>
    <w:rsid w:val="00376903"/>
    <w:rsid w:val="00376EF5"/>
    <w:rsid w:val="003775FE"/>
    <w:rsid w:val="00377A0D"/>
    <w:rsid w:val="003810EF"/>
    <w:rsid w:val="003812B8"/>
    <w:rsid w:val="00382172"/>
    <w:rsid w:val="00382824"/>
    <w:rsid w:val="00384592"/>
    <w:rsid w:val="00385B91"/>
    <w:rsid w:val="0038683D"/>
    <w:rsid w:val="003871B3"/>
    <w:rsid w:val="00387B59"/>
    <w:rsid w:val="00390908"/>
    <w:rsid w:val="00390B75"/>
    <w:rsid w:val="00390BB8"/>
    <w:rsid w:val="00391B12"/>
    <w:rsid w:val="003921C8"/>
    <w:rsid w:val="00392EE1"/>
    <w:rsid w:val="003933BD"/>
    <w:rsid w:val="00393DA2"/>
    <w:rsid w:val="0039495D"/>
    <w:rsid w:val="00394C89"/>
    <w:rsid w:val="00394D96"/>
    <w:rsid w:val="0039689A"/>
    <w:rsid w:val="0039746B"/>
    <w:rsid w:val="0039750E"/>
    <w:rsid w:val="003A0EC8"/>
    <w:rsid w:val="003A17E5"/>
    <w:rsid w:val="003A2E15"/>
    <w:rsid w:val="003A4CA1"/>
    <w:rsid w:val="003A5C89"/>
    <w:rsid w:val="003A60EC"/>
    <w:rsid w:val="003A6D97"/>
    <w:rsid w:val="003A7748"/>
    <w:rsid w:val="003A7986"/>
    <w:rsid w:val="003B0A75"/>
    <w:rsid w:val="003B1F01"/>
    <w:rsid w:val="003B24E5"/>
    <w:rsid w:val="003B2A2F"/>
    <w:rsid w:val="003B51AD"/>
    <w:rsid w:val="003B6ABC"/>
    <w:rsid w:val="003B6E1C"/>
    <w:rsid w:val="003B74AD"/>
    <w:rsid w:val="003B7955"/>
    <w:rsid w:val="003C03B0"/>
    <w:rsid w:val="003C0592"/>
    <w:rsid w:val="003C0E8A"/>
    <w:rsid w:val="003C180B"/>
    <w:rsid w:val="003C1D2C"/>
    <w:rsid w:val="003C21EA"/>
    <w:rsid w:val="003C3A54"/>
    <w:rsid w:val="003C4371"/>
    <w:rsid w:val="003C4682"/>
    <w:rsid w:val="003C4AF0"/>
    <w:rsid w:val="003C542D"/>
    <w:rsid w:val="003C5701"/>
    <w:rsid w:val="003C6342"/>
    <w:rsid w:val="003C64FE"/>
    <w:rsid w:val="003C675A"/>
    <w:rsid w:val="003D0464"/>
    <w:rsid w:val="003D049D"/>
    <w:rsid w:val="003D057F"/>
    <w:rsid w:val="003D1BD0"/>
    <w:rsid w:val="003D3881"/>
    <w:rsid w:val="003D6DC7"/>
    <w:rsid w:val="003D7109"/>
    <w:rsid w:val="003E077A"/>
    <w:rsid w:val="003E14E3"/>
    <w:rsid w:val="003E19C7"/>
    <w:rsid w:val="003E2E0C"/>
    <w:rsid w:val="003E3AC9"/>
    <w:rsid w:val="003E44C6"/>
    <w:rsid w:val="003E484A"/>
    <w:rsid w:val="003E4AC1"/>
    <w:rsid w:val="003E7971"/>
    <w:rsid w:val="003E7A5E"/>
    <w:rsid w:val="003E7D8F"/>
    <w:rsid w:val="003F3FF1"/>
    <w:rsid w:val="003F4360"/>
    <w:rsid w:val="003F5AB4"/>
    <w:rsid w:val="003F65D1"/>
    <w:rsid w:val="003F67F4"/>
    <w:rsid w:val="003F6FCF"/>
    <w:rsid w:val="003F7399"/>
    <w:rsid w:val="003F75D6"/>
    <w:rsid w:val="00401004"/>
    <w:rsid w:val="0040281C"/>
    <w:rsid w:val="00402B3D"/>
    <w:rsid w:val="00403163"/>
    <w:rsid w:val="00403237"/>
    <w:rsid w:val="0040477C"/>
    <w:rsid w:val="00404F55"/>
    <w:rsid w:val="00407AA2"/>
    <w:rsid w:val="00407C95"/>
    <w:rsid w:val="004100A4"/>
    <w:rsid w:val="0041101F"/>
    <w:rsid w:val="004112F8"/>
    <w:rsid w:val="00411A4D"/>
    <w:rsid w:val="00411EAE"/>
    <w:rsid w:val="00412CDB"/>
    <w:rsid w:val="00412FE7"/>
    <w:rsid w:val="004144EA"/>
    <w:rsid w:val="004147EA"/>
    <w:rsid w:val="004158B2"/>
    <w:rsid w:val="00416F3D"/>
    <w:rsid w:val="00416F63"/>
    <w:rsid w:val="00417AEB"/>
    <w:rsid w:val="00417E61"/>
    <w:rsid w:val="00420CE8"/>
    <w:rsid w:val="0042161C"/>
    <w:rsid w:val="00421733"/>
    <w:rsid w:val="004259A9"/>
    <w:rsid w:val="00427732"/>
    <w:rsid w:val="00427CF1"/>
    <w:rsid w:val="00427D45"/>
    <w:rsid w:val="0043298A"/>
    <w:rsid w:val="0043328A"/>
    <w:rsid w:val="0043336C"/>
    <w:rsid w:val="0043466F"/>
    <w:rsid w:val="004349E4"/>
    <w:rsid w:val="00434B58"/>
    <w:rsid w:val="004351F4"/>
    <w:rsid w:val="004353E9"/>
    <w:rsid w:val="0043678B"/>
    <w:rsid w:val="00440924"/>
    <w:rsid w:val="00441667"/>
    <w:rsid w:val="004422EE"/>
    <w:rsid w:val="004423DE"/>
    <w:rsid w:val="00443756"/>
    <w:rsid w:val="00444C4A"/>
    <w:rsid w:val="0044562F"/>
    <w:rsid w:val="004461CF"/>
    <w:rsid w:val="00446212"/>
    <w:rsid w:val="004476E0"/>
    <w:rsid w:val="00447EF9"/>
    <w:rsid w:val="00451A71"/>
    <w:rsid w:val="00453882"/>
    <w:rsid w:val="00454498"/>
    <w:rsid w:val="0045458B"/>
    <w:rsid w:val="0045472D"/>
    <w:rsid w:val="004565E4"/>
    <w:rsid w:val="00460A9C"/>
    <w:rsid w:val="004610B5"/>
    <w:rsid w:val="00461A68"/>
    <w:rsid w:val="00461BDF"/>
    <w:rsid w:val="00462653"/>
    <w:rsid w:val="00462A19"/>
    <w:rsid w:val="00462C10"/>
    <w:rsid w:val="004635EB"/>
    <w:rsid w:val="00463B72"/>
    <w:rsid w:val="0046411E"/>
    <w:rsid w:val="00464273"/>
    <w:rsid w:val="0046553F"/>
    <w:rsid w:val="00467854"/>
    <w:rsid w:val="00470C03"/>
    <w:rsid w:val="00470DB4"/>
    <w:rsid w:val="00471B36"/>
    <w:rsid w:val="00471BA1"/>
    <w:rsid w:val="00473159"/>
    <w:rsid w:val="00473AFD"/>
    <w:rsid w:val="00475501"/>
    <w:rsid w:val="00475E63"/>
    <w:rsid w:val="00475EAB"/>
    <w:rsid w:val="00475F68"/>
    <w:rsid w:val="004769C0"/>
    <w:rsid w:val="00477C30"/>
    <w:rsid w:val="00477F7D"/>
    <w:rsid w:val="00480A4F"/>
    <w:rsid w:val="00480BF4"/>
    <w:rsid w:val="00480D3D"/>
    <w:rsid w:val="00482475"/>
    <w:rsid w:val="00482566"/>
    <w:rsid w:val="00482779"/>
    <w:rsid w:val="00482C4F"/>
    <w:rsid w:val="0048501E"/>
    <w:rsid w:val="00485E78"/>
    <w:rsid w:val="00486C44"/>
    <w:rsid w:val="004875CF"/>
    <w:rsid w:val="00490736"/>
    <w:rsid w:val="00490EDD"/>
    <w:rsid w:val="00491AF7"/>
    <w:rsid w:val="00491EAB"/>
    <w:rsid w:val="00492D5A"/>
    <w:rsid w:val="004939AA"/>
    <w:rsid w:val="0049567E"/>
    <w:rsid w:val="0049576B"/>
    <w:rsid w:val="004959DF"/>
    <w:rsid w:val="004968E0"/>
    <w:rsid w:val="00496EFF"/>
    <w:rsid w:val="00497AA7"/>
    <w:rsid w:val="00497C6C"/>
    <w:rsid w:val="004A1248"/>
    <w:rsid w:val="004A1B71"/>
    <w:rsid w:val="004A2B5B"/>
    <w:rsid w:val="004A3FF5"/>
    <w:rsid w:val="004A42A8"/>
    <w:rsid w:val="004A49D0"/>
    <w:rsid w:val="004A4AF9"/>
    <w:rsid w:val="004A5389"/>
    <w:rsid w:val="004A5D30"/>
    <w:rsid w:val="004A7BBE"/>
    <w:rsid w:val="004B048C"/>
    <w:rsid w:val="004B059C"/>
    <w:rsid w:val="004B1CD1"/>
    <w:rsid w:val="004B260F"/>
    <w:rsid w:val="004B2772"/>
    <w:rsid w:val="004B27F6"/>
    <w:rsid w:val="004B32F1"/>
    <w:rsid w:val="004B35FF"/>
    <w:rsid w:val="004B480A"/>
    <w:rsid w:val="004B5DBD"/>
    <w:rsid w:val="004B6EFE"/>
    <w:rsid w:val="004B72BF"/>
    <w:rsid w:val="004B735C"/>
    <w:rsid w:val="004B7A5A"/>
    <w:rsid w:val="004C1304"/>
    <w:rsid w:val="004C1747"/>
    <w:rsid w:val="004C212A"/>
    <w:rsid w:val="004C2463"/>
    <w:rsid w:val="004C478C"/>
    <w:rsid w:val="004C48D4"/>
    <w:rsid w:val="004C4A31"/>
    <w:rsid w:val="004C5665"/>
    <w:rsid w:val="004C6013"/>
    <w:rsid w:val="004C667A"/>
    <w:rsid w:val="004D07C2"/>
    <w:rsid w:val="004D0C8B"/>
    <w:rsid w:val="004D1189"/>
    <w:rsid w:val="004D119A"/>
    <w:rsid w:val="004D17B0"/>
    <w:rsid w:val="004D17D1"/>
    <w:rsid w:val="004D2A3A"/>
    <w:rsid w:val="004D2C17"/>
    <w:rsid w:val="004D304B"/>
    <w:rsid w:val="004D35B5"/>
    <w:rsid w:val="004D6D61"/>
    <w:rsid w:val="004D7AF0"/>
    <w:rsid w:val="004D7B61"/>
    <w:rsid w:val="004D7D7F"/>
    <w:rsid w:val="004E0CAA"/>
    <w:rsid w:val="004E1EBB"/>
    <w:rsid w:val="004E237D"/>
    <w:rsid w:val="004E3147"/>
    <w:rsid w:val="004E3C03"/>
    <w:rsid w:val="004E41AC"/>
    <w:rsid w:val="004E42E3"/>
    <w:rsid w:val="004E47CA"/>
    <w:rsid w:val="004E4D5B"/>
    <w:rsid w:val="004E5009"/>
    <w:rsid w:val="004E747F"/>
    <w:rsid w:val="004E7CE5"/>
    <w:rsid w:val="004F0B44"/>
    <w:rsid w:val="004F1530"/>
    <w:rsid w:val="004F15AB"/>
    <w:rsid w:val="004F1CB0"/>
    <w:rsid w:val="004F1E6B"/>
    <w:rsid w:val="004F2F4C"/>
    <w:rsid w:val="004F36E9"/>
    <w:rsid w:val="004F4750"/>
    <w:rsid w:val="004F6A5E"/>
    <w:rsid w:val="004F7E34"/>
    <w:rsid w:val="00501899"/>
    <w:rsid w:val="0050264D"/>
    <w:rsid w:val="00505A71"/>
    <w:rsid w:val="00507C7F"/>
    <w:rsid w:val="0051027E"/>
    <w:rsid w:val="00510FE8"/>
    <w:rsid w:val="00511C7B"/>
    <w:rsid w:val="00512501"/>
    <w:rsid w:val="00512A09"/>
    <w:rsid w:val="00513A33"/>
    <w:rsid w:val="0051430B"/>
    <w:rsid w:val="005143F9"/>
    <w:rsid w:val="00515097"/>
    <w:rsid w:val="005151A0"/>
    <w:rsid w:val="00515ECB"/>
    <w:rsid w:val="00516078"/>
    <w:rsid w:val="005166A1"/>
    <w:rsid w:val="00517BE5"/>
    <w:rsid w:val="00517D7B"/>
    <w:rsid w:val="00520D3F"/>
    <w:rsid w:val="005216F3"/>
    <w:rsid w:val="005227DC"/>
    <w:rsid w:val="00523F18"/>
    <w:rsid w:val="00525A38"/>
    <w:rsid w:val="005262A7"/>
    <w:rsid w:val="005263F5"/>
    <w:rsid w:val="00526697"/>
    <w:rsid w:val="00526985"/>
    <w:rsid w:val="00527245"/>
    <w:rsid w:val="0052738B"/>
    <w:rsid w:val="005309FC"/>
    <w:rsid w:val="00531230"/>
    <w:rsid w:val="005312F1"/>
    <w:rsid w:val="005317DE"/>
    <w:rsid w:val="005329EC"/>
    <w:rsid w:val="00533D61"/>
    <w:rsid w:val="00534908"/>
    <w:rsid w:val="00535AF0"/>
    <w:rsid w:val="005367FB"/>
    <w:rsid w:val="00536B03"/>
    <w:rsid w:val="00536D2C"/>
    <w:rsid w:val="00536DED"/>
    <w:rsid w:val="0053737F"/>
    <w:rsid w:val="00537DC5"/>
    <w:rsid w:val="00537DF2"/>
    <w:rsid w:val="005431FD"/>
    <w:rsid w:val="00543243"/>
    <w:rsid w:val="005454D1"/>
    <w:rsid w:val="0054560D"/>
    <w:rsid w:val="00545D7E"/>
    <w:rsid w:val="00546454"/>
    <w:rsid w:val="00547386"/>
    <w:rsid w:val="00547DF3"/>
    <w:rsid w:val="00550A66"/>
    <w:rsid w:val="00550B7A"/>
    <w:rsid w:val="00551236"/>
    <w:rsid w:val="00551D99"/>
    <w:rsid w:val="00551F23"/>
    <w:rsid w:val="00553A76"/>
    <w:rsid w:val="00553F52"/>
    <w:rsid w:val="00554799"/>
    <w:rsid w:val="00554855"/>
    <w:rsid w:val="00554B9D"/>
    <w:rsid w:val="00554CE1"/>
    <w:rsid w:val="00555656"/>
    <w:rsid w:val="00555F6A"/>
    <w:rsid w:val="0055603A"/>
    <w:rsid w:val="005560DB"/>
    <w:rsid w:val="00557140"/>
    <w:rsid w:val="00564BFD"/>
    <w:rsid w:val="005650CB"/>
    <w:rsid w:val="00566C7E"/>
    <w:rsid w:val="00566DCC"/>
    <w:rsid w:val="00566E6C"/>
    <w:rsid w:val="0056742F"/>
    <w:rsid w:val="00570050"/>
    <w:rsid w:val="00570573"/>
    <w:rsid w:val="00571AAA"/>
    <w:rsid w:val="005721D8"/>
    <w:rsid w:val="005725F4"/>
    <w:rsid w:val="0057316A"/>
    <w:rsid w:val="005745CE"/>
    <w:rsid w:val="0057473A"/>
    <w:rsid w:val="0057560D"/>
    <w:rsid w:val="00575F79"/>
    <w:rsid w:val="00577BCC"/>
    <w:rsid w:val="00580527"/>
    <w:rsid w:val="005806B7"/>
    <w:rsid w:val="00582020"/>
    <w:rsid w:val="005828D5"/>
    <w:rsid w:val="00582AD9"/>
    <w:rsid w:val="00582F20"/>
    <w:rsid w:val="00585841"/>
    <w:rsid w:val="0058608E"/>
    <w:rsid w:val="00586B9C"/>
    <w:rsid w:val="00586CE2"/>
    <w:rsid w:val="005871F0"/>
    <w:rsid w:val="00587EBD"/>
    <w:rsid w:val="00587ED0"/>
    <w:rsid w:val="00590833"/>
    <w:rsid w:val="005917AA"/>
    <w:rsid w:val="00593D98"/>
    <w:rsid w:val="00594989"/>
    <w:rsid w:val="005963F1"/>
    <w:rsid w:val="005963F5"/>
    <w:rsid w:val="00597CEE"/>
    <w:rsid w:val="005A0485"/>
    <w:rsid w:val="005A0C32"/>
    <w:rsid w:val="005A1E9F"/>
    <w:rsid w:val="005A2830"/>
    <w:rsid w:val="005A2923"/>
    <w:rsid w:val="005A293B"/>
    <w:rsid w:val="005A3060"/>
    <w:rsid w:val="005A3794"/>
    <w:rsid w:val="005A4241"/>
    <w:rsid w:val="005A5236"/>
    <w:rsid w:val="005A52AA"/>
    <w:rsid w:val="005A58FC"/>
    <w:rsid w:val="005B05A4"/>
    <w:rsid w:val="005B076D"/>
    <w:rsid w:val="005B0A38"/>
    <w:rsid w:val="005B0C65"/>
    <w:rsid w:val="005B102C"/>
    <w:rsid w:val="005B1686"/>
    <w:rsid w:val="005B242E"/>
    <w:rsid w:val="005B2DD1"/>
    <w:rsid w:val="005B316B"/>
    <w:rsid w:val="005B3C33"/>
    <w:rsid w:val="005B3EA7"/>
    <w:rsid w:val="005B4FAF"/>
    <w:rsid w:val="005B54FD"/>
    <w:rsid w:val="005B550F"/>
    <w:rsid w:val="005B6206"/>
    <w:rsid w:val="005B7627"/>
    <w:rsid w:val="005B7A2D"/>
    <w:rsid w:val="005C01BC"/>
    <w:rsid w:val="005C02C1"/>
    <w:rsid w:val="005C1DCB"/>
    <w:rsid w:val="005C2927"/>
    <w:rsid w:val="005C2BFB"/>
    <w:rsid w:val="005C37E2"/>
    <w:rsid w:val="005C3D7D"/>
    <w:rsid w:val="005C42C1"/>
    <w:rsid w:val="005C4655"/>
    <w:rsid w:val="005C5A08"/>
    <w:rsid w:val="005C60DD"/>
    <w:rsid w:val="005C625E"/>
    <w:rsid w:val="005C71AC"/>
    <w:rsid w:val="005C7369"/>
    <w:rsid w:val="005C7C44"/>
    <w:rsid w:val="005D0194"/>
    <w:rsid w:val="005D02F5"/>
    <w:rsid w:val="005D033B"/>
    <w:rsid w:val="005D0509"/>
    <w:rsid w:val="005D0C9D"/>
    <w:rsid w:val="005D1D61"/>
    <w:rsid w:val="005D2B51"/>
    <w:rsid w:val="005D3CF5"/>
    <w:rsid w:val="005D46FA"/>
    <w:rsid w:val="005D4E4B"/>
    <w:rsid w:val="005D54C7"/>
    <w:rsid w:val="005D5F02"/>
    <w:rsid w:val="005D7518"/>
    <w:rsid w:val="005E0ED5"/>
    <w:rsid w:val="005E1451"/>
    <w:rsid w:val="005E1BDA"/>
    <w:rsid w:val="005E2FDD"/>
    <w:rsid w:val="005E4815"/>
    <w:rsid w:val="005E5490"/>
    <w:rsid w:val="005E6430"/>
    <w:rsid w:val="005E6631"/>
    <w:rsid w:val="005E682C"/>
    <w:rsid w:val="005E6C30"/>
    <w:rsid w:val="005E79C2"/>
    <w:rsid w:val="005F0570"/>
    <w:rsid w:val="005F0F35"/>
    <w:rsid w:val="005F18C7"/>
    <w:rsid w:val="005F1E13"/>
    <w:rsid w:val="005F220E"/>
    <w:rsid w:val="005F2650"/>
    <w:rsid w:val="005F294E"/>
    <w:rsid w:val="005F339D"/>
    <w:rsid w:val="005F4F2C"/>
    <w:rsid w:val="005F67BC"/>
    <w:rsid w:val="005F6856"/>
    <w:rsid w:val="005F6E89"/>
    <w:rsid w:val="005F72C2"/>
    <w:rsid w:val="005F759B"/>
    <w:rsid w:val="005F75E0"/>
    <w:rsid w:val="005F77B5"/>
    <w:rsid w:val="005F7EB5"/>
    <w:rsid w:val="00600D73"/>
    <w:rsid w:val="00601BA0"/>
    <w:rsid w:val="006048BA"/>
    <w:rsid w:val="00604C59"/>
    <w:rsid w:val="00604ED6"/>
    <w:rsid w:val="006051DB"/>
    <w:rsid w:val="00605894"/>
    <w:rsid w:val="00605F89"/>
    <w:rsid w:val="00607400"/>
    <w:rsid w:val="00607DEF"/>
    <w:rsid w:val="006113DF"/>
    <w:rsid w:val="00612A03"/>
    <w:rsid w:val="00612D86"/>
    <w:rsid w:val="00613019"/>
    <w:rsid w:val="006136C3"/>
    <w:rsid w:val="00613914"/>
    <w:rsid w:val="006143F4"/>
    <w:rsid w:val="00615797"/>
    <w:rsid w:val="006159B5"/>
    <w:rsid w:val="006165F2"/>
    <w:rsid w:val="00617799"/>
    <w:rsid w:val="006205AA"/>
    <w:rsid w:val="00620B9B"/>
    <w:rsid w:val="00620EC5"/>
    <w:rsid w:val="00621BC2"/>
    <w:rsid w:val="00621DD8"/>
    <w:rsid w:val="006238A2"/>
    <w:rsid w:val="00623F44"/>
    <w:rsid w:val="00624298"/>
    <w:rsid w:val="00625A11"/>
    <w:rsid w:val="00625E5B"/>
    <w:rsid w:val="00626005"/>
    <w:rsid w:val="0062747A"/>
    <w:rsid w:val="00630B6B"/>
    <w:rsid w:val="006328AD"/>
    <w:rsid w:val="00632942"/>
    <w:rsid w:val="0063387B"/>
    <w:rsid w:val="00635213"/>
    <w:rsid w:val="006358DD"/>
    <w:rsid w:val="0063595D"/>
    <w:rsid w:val="00635F03"/>
    <w:rsid w:val="00636249"/>
    <w:rsid w:val="00636866"/>
    <w:rsid w:val="00636874"/>
    <w:rsid w:val="0063763B"/>
    <w:rsid w:val="0064028C"/>
    <w:rsid w:val="006412EF"/>
    <w:rsid w:val="006428FE"/>
    <w:rsid w:val="00643B86"/>
    <w:rsid w:val="00643CDE"/>
    <w:rsid w:val="006455BB"/>
    <w:rsid w:val="006459E0"/>
    <w:rsid w:val="0064619B"/>
    <w:rsid w:val="0064682C"/>
    <w:rsid w:val="00646CA6"/>
    <w:rsid w:val="00647630"/>
    <w:rsid w:val="00651424"/>
    <w:rsid w:val="00656A64"/>
    <w:rsid w:val="006574E2"/>
    <w:rsid w:val="0066002C"/>
    <w:rsid w:val="006603DB"/>
    <w:rsid w:val="00660EBB"/>
    <w:rsid w:val="00662E69"/>
    <w:rsid w:val="006633FD"/>
    <w:rsid w:val="0066470C"/>
    <w:rsid w:val="00664F1A"/>
    <w:rsid w:val="00665C98"/>
    <w:rsid w:val="00665F4E"/>
    <w:rsid w:val="0066601F"/>
    <w:rsid w:val="006674DD"/>
    <w:rsid w:val="00671818"/>
    <w:rsid w:val="006739D9"/>
    <w:rsid w:val="006745B8"/>
    <w:rsid w:val="00675295"/>
    <w:rsid w:val="00675B99"/>
    <w:rsid w:val="00675FF7"/>
    <w:rsid w:val="00676DB2"/>
    <w:rsid w:val="00677906"/>
    <w:rsid w:val="006811CE"/>
    <w:rsid w:val="00681779"/>
    <w:rsid w:val="00682B3C"/>
    <w:rsid w:val="006831EE"/>
    <w:rsid w:val="00683213"/>
    <w:rsid w:val="00683B2A"/>
    <w:rsid w:val="00683E87"/>
    <w:rsid w:val="0068402E"/>
    <w:rsid w:val="00685304"/>
    <w:rsid w:val="00685E55"/>
    <w:rsid w:val="00686052"/>
    <w:rsid w:val="00687653"/>
    <w:rsid w:val="00687769"/>
    <w:rsid w:val="00687813"/>
    <w:rsid w:val="00687FDF"/>
    <w:rsid w:val="006902C6"/>
    <w:rsid w:val="006903DF"/>
    <w:rsid w:val="006927CF"/>
    <w:rsid w:val="00692A2D"/>
    <w:rsid w:val="0069423D"/>
    <w:rsid w:val="00694D44"/>
    <w:rsid w:val="006953F6"/>
    <w:rsid w:val="00695AF4"/>
    <w:rsid w:val="00695ECE"/>
    <w:rsid w:val="00696844"/>
    <w:rsid w:val="006A0402"/>
    <w:rsid w:val="006A1860"/>
    <w:rsid w:val="006A26F5"/>
    <w:rsid w:val="006A2B0E"/>
    <w:rsid w:val="006A30F1"/>
    <w:rsid w:val="006A3187"/>
    <w:rsid w:val="006A3984"/>
    <w:rsid w:val="006A51C2"/>
    <w:rsid w:val="006A5C0F"/>
    <w:rsid w:val="006A73E7"/>
    <w:rsid w:val="006A76CD"/>
    <w:rsid w:val="006A7BC9"/>
    <w:rsid w:val="006B096F"/>
    <w:rsid w:val="006B142B"/>
    <w:rsid w:val="006B1B2B"/>
    <w:rsid w:val="006B25CF"/>
    <w:rsid w:val="006B25FF"/>
    <w:rsid w:val="006B4B03"/>
    <w:rsid w:val="006B7D1A"/>
    <w:rsid w:val="006C00FB"/>
    <w:rsid w:val="006C056A"/>
    <w:rsid w:val="006C2E2A"/>
    <w:rsid w:val="006C5699"/>
    <w:rsid w:val="006C68F0"/>
    <w:rsid w:val="006D084F"/>
    <w:rsid w:val="006D0CE8"/>
    <w:rsid w:val="006D0FDA"/>
    <w:rsid w:val="006D2560"/>
    <w:rsid w:val="006D2BCC"/>
    <w:rsid w:val="006D2C58"/>
    <w:rsid w:val="006D2F11"/>
    <w:rsid w:val="006D358B"/>
    <w:rsid w:val="006D3ACB"/>
    <w:rsid w:val="006D458B"/>
    <w:rsid w:val="006D45A3"/>
    <w:rsid w:val="006D58AF"/>
    <w:rsid w:val="006D62CB"/>
    <w:rsid w:val="006D7A46"/>
    <w:rsid w:val="006D7A54"/>
    <w:rsid w:val="006E00F5"/>
    <w:rsid w:val="006E043B"/>
    <w:rsid w:val="006E1479"/>
    <w:rsid w:val="006E22B5"/>
    <w:rsid w:val="006E277A"/>
    <w:rsid w:val="006E29E1"/>
    <w:rsid w:val="006E327D"/>
    <w:rsid w:val="006E32E9"/>
    <w:rsid w:val="006E645B"/>
    <w:rsid w:val="006E653F"/>
    <w:rsid w:val="006E6A0C"/>
    <w:rsid w:val="006E73EA"/>
    <w:rsid w:val="006E7A26"/>
    <w:rsid w:val="006F03C2"/>
    <w:rsid w:val="006F29E2"/>
    <w:rsid w:val="006F2E73"/>
    <w:rsid w:val="006F52F0"/>
    <w:rsid w:val="006F543A"/>
    <w:rsid w:val="006F5C9A"/>
    <w:rsid w:val="006F67EE"/>
    <w:rsid w:val="006F6A2C"/>
    <w:rsid w:val="006F6D9D"/>
    <w:rsid w:val="006F755B"/>
    <w:rsid w:val="006F795B"/>
    <w:rsid w:val="00701F5B"/>
    <w:rsid w:val="007025A7"/>
    <w:rsid w:val="007036FC"/>
    <w:rsid w:val="007047BC"/>
    <w:rsid w:val="00704D7E"/>
    <w:rsid w:val="00705053"/>
    <w:rsid w:val="0070630A"/>
    <w:rsid w:val="0070647E"/>
    <w:rsid w:val="00706A12"/>
    <w:rsid w:val="00706C74"/>
    <w:rsid w:val="007070AA"/>
    <w:rsid w:val="007104C6"/>
    <w:rsid w:val="007111F5"/>
    <w:rsid w:val="00711986"/>
    <w:rsid w:val="00713146"/>
    <w:rsid w:val="007138CC"/>
    <w:rsid w:val="00713C4D"/>
    <w:rsid w:val="00714AC3"/>
    <w:rsid w:val="0071506E"/>
    <w:rsid w:val="0071716C"/>
    <w:rsid w:val="00717921"/>
    <w:rsid w:val="0072066B"/>
    <w:rsid w:val="00720A06"/>
    <w:rsid w:val="007212AA"/>
    <w:rsid w:val="00721F54"/>
    <w:rsid w:val="00723DD6"/>
    <w:rsid w:val="00724492"/>
    <w:rsid w:val="00724FF2"/>
    <w:rsid w:val="0072660D"/>
    <w:rsid w:val="007271EF"/>
    <w:rsid w:val="007276B6"/>
    <w:rsid w:val="00727CBB"/>
    <w:rsid w:val="0073019C"/>
    <w:rsid w:val="007306F8"/>
    <w:rsid w:val="00730BE4"/>
    <w:rsid w:val="00731236"/>
    <w:rsid w:val="00731F7D"/>
    <w:rsid w:val="00733F45"/>
    <w:rsid w:val="0073743C"/>
    <w:rsid w:val="00740E5F"/>
    <w:rsid w:val="00740F75"/>
    <w:rsid w:val="007418CD"/>
    <w:rsid w:val="00741E4B"/>
    <w:rsid w:val="00743847"/>
    <w:rsid w:val="007439CE"/>
    <w:rsid w:val="0074401B"/>
    <w:rsid w:val="0074448E"/>
    <w:rsid w:val="00745E82"/>
    <w:rsid w:val="00747178"/>
    <w:rsid w:val="007471E2"/>
    <w:rsid w:val="007479B0"/>
    <w:rsid w:val="0075153A"/>
    <w:rsid w:val="007523EE"/>
    <w:rsid w:val="007538A2"/>
    <w:rsid w:val="007539E5"/>
    <w:rsid w:val="007541D9"/>
    <w:rsid w:val="00754B58"/>
    <w:rsid w:val="0075522E"/>
    <w:rsid w:val="00755A57"/>
    <w:rsid w:val="00755A9C"/>
    <w:rsid w:val="0075676A"/>
    <w:rsid w:val="00756A12"/>
    <w:rsid w:val="00756D00"/>
    <w:rsid w:val="00757C69"/>
    <w:rsid w:val="0076034D"/>
    <w:rsid w:val="007604F6"/>
    <w:rsid w:val="00760615"/>
    <w:rsid w:val="0076239A"/>
    <w:rsid w:val="00762D38"/>
    <w:rsid w:val="0076433B"/>
    <w:rsid w:val="00765A5B"/>
    <w:rsid w:val="0076678D"/>
    <w:rsid w:val="00767BA7"/>
    <w:rsid w:val="0077079F"/>
    <w:rsid w:val="00770D7F"/>
    <w:rsid w:val="00770FBC"/>
    <w:rsid w:val="00774D10"/>
    <w:rsid w:val="00775105"/>
    <w:rsid w:val="00776231"/>
    <w:rsid w:val="007777A2"/>
    <w:rsid w:val="00780794"/>
    <w:rsid w:val="007808A0"/>
    <w:rsid w:val="007809D9"/>
    <w:rsid w:val="00781003"/>
    <w:rsid w:val="0078199B"/>
    <w:rsid w:val="00783509"/>
    <w:rsid w:val="00784651"/>
    <w:rsid w:val="00786D4B"/>
    <w:rsid w:val="00786E42"/>
    <w:rsid w:val="00786EFB"/>
    <w:rsid w:val="007871D4"/>
    <w:rsid w:val="00787DD9"/>
    <w:rsid w:val="00790834"/>
    <w:rsid w:val="0079129B"/>
    <w:rsid w:val="00791594"/>
    <w:rsid w:val="00791AE2"/>
    <w:rsid w:val="00792082"/>
    <w:rsid w:val="007939E1"/>
    <w:rsid w:val="00793BCF"/>
    <w:rsid w:val="00794230"/>
    <w:rsid w:val="00794D2B"/>
    <w:rsid w:val="00795651"/>
    <w:rsid w:val="00797BB2"/>
    <w:rsid w:val="007A058E"/>
    <w:rsid w:val="007A0EBF"/>
    <w:rsid w:val="007A1110"/>
    <w:rsid w:val="007A2005"/>
    <w:rsid w:val="007A31D8"/>
    <w:rsid w:val="007A323C"/>
    <w:rsid w:val="007A5D99"/>
    <w:rsid w:val="007A6877"/>
    <w:rsid w:val="007A6EE7"/>
    <w:rsid w:val="007A71FF"/>
    <w:rsid w:val="007A72AA"/>
    <w:rsid w:val="007A7DC5"/>
    <w:rsid w:val="007B0BB2"/>
    <w:rsid w:val="007B1FAE"/>
    <w:rsid w:val="007B2855"/>
    <w:rsid w:val="007B29D4"/>
    <w:rsid w:val="007B320E"/>
    <w:rsid w:val="007B36EB"/>
    <w:rsid w:val="007B46B8"/>
    <w:rsid w:val="007B5238"/>
    <w:rsid w:val="007B5328"/>
    <w:rsid w:val="007B53AD"/>
    <w:rsid w:val="007B57C8"/>
    <w:rsid w:val="007B63E6"/>
    <w:rsid w:val="007B6A88"/>
    <w:rsid w:val="007C29B2"/>
    <w:rsid w:val="007C2A61"/>
    <w:rsid w:val="007C39FD"/>
    <w:rsid w:val="007C3E19"/>
    <w:rsid w:val="007C420F"/>
    <w:rsid w:val="007C45D2"/>
    <w:rsid w:val="007C5260"/>
    <w:rsid w:val="007C53C0"/>
    <w:rsid w:val="007C54AD"/>
    <w:rsid w:val="007C55E0"/>
    <w:rsid w:val="007C5A7E"/>
    <w:rsid w:val="007C65D3"/>
    <w:rsid w:val="007C6A05"/>
    <w:rsid w:val="007C6ED1"/>
    <w:rsid w:val="007C7B17"/>
    <w:rsid w:val="007C7B73"/>
    <w:rsid w:val="007C7CF7"/>
    <w:rsid w:val="007D09FF"/>
    <w:rsid w:val="007D0A58"/>
    <w:rsid w:val="007D123D"/>
    <w:rsid w:val="007D1899"/>
    <w:rsid w:val="007D190D"/>
    <w:rsid w:val="007D1DEC"/>
    <w:rsid w:val="007D2787"/>
    <w:rsid w:val="007D292A"/>
    <w:rsid w:val="007D3219"/>
    <w:rsid w:val="007D4730"/>
    <w:rsid w:val="007D4A06"/>
    <w:rsid w:val="007D4E93"/>
    <w:rsid w:val="007D4F2C"/>
    <w:rsid w:val="007D62FF"/>
    <w:rsid w:val="007D6AB8"/>
    <w:rsid w:val="007D6E60"/>
    <w:rsid w:val="007D7E3C"/>
    <w:rsid w:val="007E0990"/>
    <w:rsid w:val="007E0CEE"/>
    <w:rsid w:val="007E17AF"/>
    <w:rsid w:val="007E1F71"/>
    <w:rsid w:val="007E24B7"/>
    <w:rsid w:val="007E4C15"/>
    <w:rsid w:val="007E784F"/>
    <w:rsid w:val="007F046F"/>
    <w:rsid w:val="007F082B"/>
    <w:rsid w:val="007F0F3F"/>
    <w:rsid w:val="007F183C"/>
    <w:rsid w:val="007F29C7"/>
    <w:rsid w:val="007F2B87"/>
    <w:rsid w:val="007F2F9C"/>
    <w:rsid w:val="007F4D83"/>
    <w:rsid w:val="007F57A4"/>
    <w:rsid w:val="007F6134"/>
    <w:rsid w:val="007F62E2"/>
    <w:rsid w:val="007F6E58"/>
    <w:rsid w:val="007F72FF"/>
    <w:rsid w:val="007F7361"/>
    <w:rsid w:val="00800035"/>
    <w:rsid w:val="00800444"/>
    <w:rsid w:val="00800A5A"/>
    <w:rsid w:val="00801568"/>
    <w:rsid w:val="00802EF9"/>
    <w:rsid w:val="008048B8"/>
    <w:rsid w:val="008058D5"/>
    <w:rsid w:val="008060E6"/>
    <w:rsid w:val="008064C1"/>
    <w:rsid w:val="00807B5E"/>
    <w:rsid w:val="00811598"/>
    <w:rsid w:val="00811621"/>
    <w:rsid w:val="008117A5"/>
    <w:rsid w:val="0081180D"/>
    <w:rsid w:val="008125D5"/>
    <w:rsid w:val="00812EAC"/>
    <w:rsid w:val="00813308"/>
    <w:rsid w:val="00813848"/>
    <w:rsid w:val="008140C2"/>
    <w:rsid w:val="00814AD4"/>
    <w:rsid w:val="00814DC1"/>
    <w:rsid w:val="008150EF"/>
    <w:rsid w:val="008151F8"/>
    <w:rsid w:val="00815233"/>
    <w:rsid w:val="00815711"/>
    <w:rsid w:val="00815F80"/>
    <w:rsid w:val="0081619E"/>
    <w:rsid w:val="008177AE"/>
    <w:rsid w:val="0082052E"/>
    <w:rsid w:val="00822022"/>
    <w:rsid w:val="00822DB5"/>
    <w:rsid w:val="00822EDE"/>
    <w:rsid w:val="00823170"/>
    <w:rsid w:val="00824FD7"/>
    <w:rsid w:val="00825BFD"/>
    <w:rsid w:val="008268DF"/>
    <w:rsid w:val="00826ADA"/>
    <w:rsid w:val="00827F1E"/>
    <w:rsid w:val="00830E97"/>
    <w:rsid w:val="008312AE"/>
    <w:rsid w:val="00831E4A"/>
    <w:rsid w:val="00832813"/>
    <w:rsid w:val="00832E84"/>
    <w:rsid w:val="008345A3"/>
    <w:rsid w:val="00834BAB"/>
    <w:rsid w:val="008350A9"/>
    <w:rsid w:val="00835B20"/>
    <w:rsid w:val="00841533"/>
    <w:rsid w:val="008417AE"/>
    <w:rsid w:val="008417D1"/>
    <w:rsid w:val="00841BDB"/>
    <w:rsid w:val="00841DCC"/>
    <w:rsid w:val="00842BB4"/>
    <w:rsid w:val="00842C44"/>
    <w:rsid w:val="00842E64"/>
    <w:rsid w:val="00843672"/>
    <w:rsid w:val="00843B48"/>
    <w:rsid w:val="00843B5D"/>
    <w:rsid w:val="00843CAD"/>
    <w:rsid w:val="00843FA9"/>
    <w:rsid w:val="00845FD6"/>
    <w:rsid w:val="008468B2"/>
    <w:rsid w:val="00846FC6"/>
    <w:rsid w:val="0084737D"/>
    <w:rsid w:val="008477D0"/>
    <w:rsid w:val="00847E6F"/>
    <w:rsid w:val="008501C7"/>
    <w:rsid w:val="0085160F"/>
    <w:rsid w:val="008546A5"/>
    <w:rsid w:val="00855023"/>
    <w:rsid w:val="00855ED7"/>
    <w:rsid w:val="00855F06"/>
    <w:rsid w:val="00856348"/>
    <w:rsid w:val="0085636F"/>
    <w:rsid w:val="008565DC"/>
    <w:rsid w:val="008565E0"/>
    <w:rsid w:val="00856FB4"/>
    <w:rsid w:val="00857A5F"/>
    <w:rsid w:val="00860A5F"/>
    <w:rsid w:val="00861801"/>
    <w:rsid w:val="00861B73"/>
    <w:rsid w:val="00861D4D"/>
    <w:rsid w:val="00861E08"/>
    <w:rsid w:val="00862166"/>
    <w:rsid w:val="0086264E"/>
    <w:rsid w:val="0086272D"/>
    <w:rsid w:val="00862BF8"/>
    <w:rsid w:val="008638F6"/>
    <w:rsid w:val="00863DB2"/>
    <w:rsid w:val="008640D9"/>
    <w:rsid w:val="00864A9A"/>
    <w:rsid w:val="00864C20"/>
    <w:rsid w:val="00866865"/>
    <w:rsid w:val="00866C16"/>
    <w:rsid w:val="0086753F"/>
    <w:rsid w:val="0087128E"/>
    <w:rsid w:val="008717C2"/>
    <w:rsid w:val="0087190C"/>
    <w:rsid w:val="00871FC1"/>
    <w:rsid w:val="00872009"/>
    <w:rsid w:val="00872C65"/>
    <w:rsid w:val="008735D1"/>
    <w:rsid w:val="00873D01"/>
    <w:rsid w:val="008746EF"/>
    <w:rsid w:val="00874DCF"/>
    <w:rsid w:val="00874E4B"/>
    <w:rsid w:val="00875246"/>
    <w:rsid w:val="00875369"/>
    <w:rsid w:val="0087602E"/>
    <w:rsid w:val="00877B6E"/>
    <w:rsid w:val="00877FE8"/>
    <w:rsid w:val="008800A2"/>
    <w:rsid w:val="0088071C"/>
    <w:rsid w:val="00882A74"/>
    <w:rsid w:val="00882B5A"/>
    <w:rsid w:val="008833BA"/>
    <w:rsid w:val="00884395"/>
    <w:rsid w:val="00884436"/>
    <w:rsid w:val="00884761"/>
    <w:rsid w:val="00885027"/>
    <w:rsid w:val="00885651"/>
    <w:rsid w:val="00885DF4"/>
    <w:rsid w:val="00886078"/>
    <w:rsid w:val="008868FF"/>
    <w:rsid w:val="00890B9C"/>
    <w:rsid w:val="00893D3D"/>
    <w:rsid w:val="00893D44"/>
    <w:rsid w:val="008946BC"/>
    <w:rsid w:val="008948E9"/>
    <w:rsid w:val="00894F45"/>
    <w:rsid w:val="00895899"/>
    <w:rsid w:val="00895C34"/>
    <w:rsid w:val="00895CA7"/>
    <w:rsid w:val="00896C63"/>
    <w:rsid w:val="00897000"/>
    <w:rsid w:val="008A002F"/>
    <w:rsid w:val="008A26D2"/>
    <w:rsid w:val="008A3CE0"/>
    <w:rsid w:val="008A473A"/>
    <w:rsid w:val="008A4E6E"/>
    <w:rsid w:val="008A5332"/>
    <w:rsid w:val="008A66F6"/>
    <w:rsid w:val="008A71F1"/>
    <w:rsid w:val="008A79DB"/>
    <w:rsid w:val="008A7A8F"/>
    <w:rsid w:val="008B04F7"/>
    <w:rsid w:val="008B24CE"/>
    <w:rsid w:val="008B394A"/>
    <w:rsid w:val="008B440A"/>
    <w:rsid w:val="008B4DAD"/>
    <w:rsid w:val="008B5CE2"/>
    <w:rsid w:val="008B6AA5"/>
    <w:rsid w:val="008B75C5"/>
    <w:rsid w:val="008B7F71"/>
    <w:rsid w:val="008C053C"/>
    <w:rsid w:val="008C0970"/>
    <w:rsid w:val="008C126C"/>
    <w:rsid w:val="008C16F9"/>
    <w:rsid w:val="008C2326"/>
    <w:rsid w:val="008C28C6"/>
    <w:rsid w:val="008C2AF6"/>
    <w:rsid w:val="008C2BD7"/>
    <w:rsid w:val="008C2C99"/>
    <w:rsid w:val="008C2DCB"/>
    <w:rsid w:val="008C420D"/>
    <w:rsid w:val="008C6DFE"/>
    <w:rsid w:val="008C70C1"/>
    <w:rsid w:val="008C73FE"/>
    <w:rsid w:val="008D0470"/>
    <w:rsid w:val="008D04B8"/>
    <w:rsid w:val="008D0671"/>
    <w:rsid w:val="008D0A9C"/>
    <w:rsid w:val="008D0FEE"/>
    <w:rsid w:val="008D1472"/>
    <w:rsid w:val="008D21CE"/>
    <w:rsid w:val="008D2B6B"/>
    <w:rsid w:val="008D2C41"/>
    <w:rsid w:val="008D2E70"/>
    <w:rsid w:val="008D4427"/>
    <w:rsid w:val="008D7C6B"/>
    <w:rsid w:val="008D7F20"/>
    <w:rsid w:val="008E0DA3"/>
    <w:rsid w:val="008E21E6"/>
    <w:rsid w:val="008E253E"/>
    <w:rsid w:val="008E31E9"/>
    <w:rsid w:val="008E4B3C"/>
    <w:rsid w:val="008E53A7"/>
    <w:rsid w:val="008E60AE"/>
    <w:rsid w:val="008E66B5"/>
    <w:rsid w:val="008E7376"/>
    <w:rsid w:val="008E7EA7"/>
    <w:rsid w:val="008F13EC"/>
    <w:rsid w:val="008F45F2"/>
    <w:rsid w:val="008F4D02"/>
    <w:rsid w:val="008F5DD3"/>
    <w:rsid w:val="008F5ECF"/>
    <w:rsid w:val="008F728F"/>
    <w:rsid w:val="008F730C"/>
    <w:rsid w:val="008F77BE"/>
    <w:rsid w:val="009013ED"/>
    <w:rsid w:val="00902166"/>
    <w:rsid w:val="00902452"/>
    <w:rsid w:val="00902C6D"/>
    <w:rsid w:val="00903962"/>
    <w:rsid w:val="00903D2B"/>
    <w:rsid w:val="00903D36"/>
    <w:rsid w:val="00904B46"/>
    <w:rsid w:val="009056E8"/>
    <w:rsid w:val="009058C5"/>
    <w:rsid w:val="009062C7"/>
    <w:rsid w:val="00907029"/>
    <w:rsid w:val="0090743E"/>
    <w:rsid w:val="0091250C"/>
    <w:rsid w:val="00912EC9"/>
    <w:rsid w:val="00914F79"/>
    <w:rsid w:val="00915359"/>
    <w:rsid w:val="009156CD"/>
    <w:rsid w:val="00916C5A"/>
    <w:rsid w:val="00917020"/>
    <w:rsid w:val="0091750F"/>
    <w:rsid w:val="00921068"/>
    <w:rsid w:val="009211DC"/>
    <w:rsid w:val="0092155D"/>
    <w:rsid w:val="00922F9B"/>
    <w:rsid w:val="009259A7"/>
    <w:rsid w:val="009276AA"/>
    <w:rsid w:val="00927C49"/>
    <w:rsid w:val="0093065B"/>
    <w:rsid w:val="00931D80"/>
    <w:rsid w:val="009336BB"/>
    <w:rsid w:val="00934C95"/>
    <w:rsid w:val="009350A4"/>
    <w:rsid w:val="00935F94"/>
    <w:rsid w:val="00936280"/>
    <w:rsid w:val="00937960"/>
    <w:rsid w:val="009409AD"/>
    <w:rsid w:val="00940C2A"/>
    <w:rsid w:val="00940D9F"/>
    <w:rsid w:val="00940E92"/>
    <w:rsid w:val="009415B1"/>
    <w:rsid w:val="0094171D"/>
    <w:rsid w:val="00942941"/>
    <w:rsid w:val="00943E3C"/>
    <w:rsid w:val="00944CD9"/>
    <w:rsid w:val="009455F0"/>
    <w:rsid w:val="009457BC"/>
    <w:rsid w:val="00946CE7"/>
    <w:rsid w:val="00946D2C"/>
    <w:rsid w:val="0094743D"/>
    <w:rsid w:val="009501CE"/>
    <w:rsid w:val="0095060C"/>
    <w:rsid w:val="00950C72"/>
    <w:rsid w:val="00950CBF"/>
    <w:rsid w:val="009535AA"/>
    <w:rsid w:val="00953D01"/>
    <w:rsid w:val="00953D09"/>
    <w:rsid w:val="009549AB"/>
    <w:rsid w:val="00954F31"/>
    <w:rsid w:val="009555F7"/>
    <w:rsid w:val="00955BF5"/>
    <w:rsid w:val="009573DB"/>
    <w:rsid w:val="00957AF7"/>
    <w:rsid w:val="00961951"/>
    <w:rsid w:val="009620D3"/>
    <w:rsid w:val="0096234F"/>
    <w:rsid w:val="00963060"/>
    <w:rsid w:val="00964243"/>
    <w:rsid w:val="00964285"/>
    <w:rsid w:val="00964363"/>
    <w:rsid w:val="00964681"/>
    <w:rsid w:val="0096498D"/>
    <w:rsid w:val="00964B41"/>
    <w:rsid w:val="009653A9"/>
    <w:rsid w:val="00965AD5"/>
    <w:rsid w:val="00966AEE"/>
    <w:rsid w:val="00966C16"/>
    <w:rsid w:val="00966D80"/>
    <w:rsid w:val="009705DB"/>
    <w:rsid w:val="00971760"/>
    <w:rsid w:val="00972087"/>
    <w:rsid w:val="009724D3"/>
    <w:rsid w:val="0097255B"/>
    <w:rsid w:val="00972813"/>
    <w:rsid w:val="00972D06"/>
    <w:rsid w:val="00974413"/>
    <w:rsid w:val="009745F9"/>
    <w:rsid w:val="00975EAF"/>
    <w:rsid w:val="00975F35"/>
    <w:rsid w:val="009764C7"/>
    <w:rsid w:val="00977341"/>
    <w:rsid w:val="00981E3B"/>
    <w:rsid w:val="00981FAD"/>
    <w:rsid w:val="00982459"/>
    <w:rsid w:val="00982C26"/>
    <w:rsid w:val="00983933"/>
    <w:rsid w:val="0098425A"/>
    <w:rsid w:val="00984508"/>
    <w:rsid w:val="00984657"/>
    <w:rsid w:val="00985615"/>
    <w:rsid w:val="0098669C"/>
    <w:rsid w:val="00986A5F"/>
    <w:rsid w:val="00990D48"/>
    <w:rsid w:val="00991748"/>
    <w:rsid w:val="00991FAB"/>
    <w:rsid w:val="00992403"/>
    <w:rsid w:val="00992FB5"/>
    <w:rsid w:val="00993DFF"/>
    <w:rsid w:val="00994117"/>
    <w:rsid w:val="0099473E"/>
    <w:rsid w:val="0099518C"/>
    <w:rsid w:val="009956D6"/>
    <w:rsid w:val="009958E4"/>
    <w:rsid w:val="009966F3"/>
    <w:rsid w:val="00996D32"/>
    <w:rsid w:val="00997D88"/>
    <w:rsid w:val="009A0351"/>
    <w:rsid w:val="009A0BB6"/>
    <w:rsid w:val="009A1A6D"/>
    <w:rsid w:val="009A6AB4"/>
    <w:rsid w:val="009A6C49"/>
    <w:rsid w:val="009A72FC"/>
    <w:rsid w:val="009A7ADF"/>
    <w:rsid w:val="009B0426"/>
    <w:rsid w:val="009B1FF1"/>
    <w:rsid w:val="009B2203"/>
    <w:rsid w:val="009B2F70"/>
    <w:rsid w:val="009B3298"/>
    <w:rsid w:val="009B3F16"/>
    <w:rsid w:val="009B3F7B"/>
    <w:rsid w:val="009B43E1"/>
    <w:rsid w:val="009B5379"/>
    <w:rsid w:val="009B567E"/>
    <w:rsid w:val="009B59EC"/>
    <w:rsid w:val="009B5A37"/>
    <w:rsid w:val="009B6DA8"/>
    <w:rsid w:val="009C179A"/>
    <w:rsid w:val="009C1C18"/>
    <w:rsid w:val="009C22A3"/>
    <w:rsid w:val="009C2DE4"/>
    <w:rsid w:val="009C303B"/>
    <w:rsid w:val="009C43EC"/>
    <w:rsid w:val="009C5CDB"/>
    <w:rsid w:val="009C611A"/>
    <w:rsid w:val="009C6CC5"/>
    <w:rsid w:val="009C780E"/>
    <w:rsid w:val="009C7A38"/>
    <w:rsid w:val="009C7B45"/>
    <w:rsid w:val="009C7B4C"/>
    <w:rsid w:val="009D01BF"/>
    <w:rsid w:val="009D02BD"/>
    <w:rsid w:val="009D0403"/>
    <w:rsid w:val="009D0AA0"/>
    <w:rsid w:val="009D1683"/>
    <w:rsid w:val="009D1CAA"/>
    <w:rsid w:val="009D2F0F"/>
    <w:rsid w:val="009D3490"/>
    <w:rsid w:val="009D3F9D"/>
    <w:rsid w:val="009D47DE"/>
    <w:rsid w:val="009D567E"/>
    <w:rsid w:val="009D76B6"/>
    <w:rsid w:val="009E0385"/>
    <w:rsid w:val="009E14FF"/>
    <w:rsid w:val="009E2577"/>
    <w:rsid w:val="009E274B"/>
    <w:rsid w:val="009E2A7D"/>
    <w:rsid w:val="009E2BA8"/>
    <w:rsid w:val="009E3446"/>
    <w:rsid w:val="009E389E"/>
    <w:rsid w:val="009E4C3A"/>
    <w:rsid w:val="009E5754"/>
    <w:rsid w:val="009E6167"/>
    <w:rsid w:val="009E62FA"/>
    <w:rsid w:val="009E643A"/>
    <w:rsid w:val="009E6D30"/>
    <w:rsid w:val="009E762E"/>
    <w:rsid w:val="009F05E3"/>
    <w:rsid w:val="009F0783"/>
    <w:rsid w:val="009F11FB"/>
    <w:rsid w:val="009F17F1"/>
    <w:rsid w:val="009F23A5"/>
    <w:rsid w:val="009F2E79"/>
    <w:rsid w:val="009F52E1"/>
    <w:rsid w:val="009F5760"/>
    <w:rsid w:val="009F5B09"/>
    <w:rsid w:val="009F6262"/>
    <w:rsid w:val="009F7DCB"/>
    <w:rsid w:val="00A004A5"/>
    <w:rsid w:val="00A00D79"/>
    <w:rsid w:val="00A00EB4"/>
    <w:rsid w:val="00A01161"/>
    <w:rsid w:val="00A015CF"/>
    <w:rsid w:val="00A02228"/>
    <w:rsid w:val="00A024CB"/>
    <w:rsid w:val="00A0341F"/>
    <w:rsid w:val="00A035BE"/>
    <w:rsid w:val="00A042B4"/>
    <w:rsid w:val="00A049AD"/>
    <w:rsid w:val="00A04C43"/>
    <w:rsid w:val="00A057DF"/>
    <w:rsid w:val="00A059E0"/>
    <w:rsid w:val="00A0687A"/>
    <w:rsid w:val="00A07E7C"/>
    <w:rsid w:val="00A12537"/>
    <w:rsid w:val="00A14961"/>
    <w:rsid w:val="00A149A2"/>
    <w:rsid w:val="00A15745"/>
    <w:rsid w:val="00A1605D"/>
    <w:rsid w:val="00A1610E"/>
    <w:rsid w:val="00A163CD"/>
    <w:rsid w:val="00A166CD"/>
    <w:rsid w:val="00A17FA5"/>
    <w:rsid w:val="00A20E5F"/>
    <w:rsid w:val="00A2129C"/>
    <w:rsid w:val="00A21731"/>
    <w:rsid w:val="00A2175F"/>
    <w:rsid w:val="00A2211C"/>
    <w:rsid w:val="00A22C69"/>
    <w:rsid w:val="00A22EBB"/>
    <w:rsid w:val="00A23594"/>
    <w:rsid w:val="00A2365C"/>
    <w:rsid w:val="00A23E8B"/>
    <w:rsid w:val="00A24590"/>
    <w:rsid w:val="00A27242"/>
    <w:rsid w:val="00A3034C"/>
    <w:rsid w:val="00A3153B"/>
    <w:rsid w:val="00A32CB1"/>
    <w:rsid w:val="00A3319B"/>
    <w:rsid w:val="00A35E0F"/>
    <w:rsid w:val="00A41E89"/>
    <w:rsid w:val="00A420C3"/>
    <w:rsid w:val="00A43CD8"/>
    <w:rsid w:val="00A44E31"/>
    <w:rsid w:val="00A44EC6"/>
    <w:rsid w:val="00A45974"/>
    <w:rsid w:val="00A46715"/>
    <w:rsid w:val="00A47679"/>
    <w:rsid w:val="00A47B8D"/>
    <w:rsid w:val="00A5001D"/>
    <w:rsid w:val="00A50C9C"/>
    <w:rsid w:val="00A52542"/>
    <w:rsid w:val="00A52FD1"/>
    <w:rsid w:val="00A54577"/>
    <w:rsid w:val="00A56356"/>
    <w:rsid w:val="00A57097"/>
    <w:rsid w:val="00A607AC"/>
    <w:rsid w:val="00A60F00"/>
    <w:rsid w:val="00A60F0F"/>
    <w:rsid w:val="00A61863"/>
    <w:rsid w:val="00A627C5"/>
    <w:rsid w:val="00A63010"/>
    <w:rsid w:val="00A63086"/>
    <w:rsid w:val="00A637D4"/>
    <w:rsid w:val="00A639F0"/>
    <w:rsid w:val="00A63D6A"/>
    <w:rsid w:val="00A64404"/>
    <w:rsid w:val="00A64457"/>
    <w:rsid w:val="00A64685"/>
    <w:rsid w:val="00A64BCC"/>
    <w:rsid w:val="00A66A2B"/>
    <w:rsid w:val="00A678E1"/>
    <w:rsid w:val="00A67FA6"/>
    <w:rsid w:val="00A70102"/>
    <w:rsid w:val="00A70457"/>
    <w:rsid w:val="00A7092B"/>
    <w:rsid w:val="00A70F13"/>
    <w:rsid w:val="00A71695"/>
    <w:rsid w:val="00A71F90"/>
    <w:rsid w:val="00A743AE"/>
    <w:rsid w:val="00A74835"/>
    <w:rsid w:val="00A8111F"/>
    <w:rsid w:val="00A82935"/>
    <w:rsid w:val="00A8396C"/>
    <w:rsid w:val="00A85131"/>
    <w:rsid w:val="00A857CB"/>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9704D"/>
    <w:rsid w:val="00AA0464"/>
    <w:rsid w:val="00AA0C06"/>
    <w:rsid w:val="00AA13FC"/>
    <w:rsid w:val="00AA482B"/>
    <w:rsid w:val="00AA5233"/>
    <w:rsid w:val="00AA5625"/>
    <w:rsid w:val="00AA6682"/>
    <w:rsid w:val="00AA7AD6"/>
    <w:rsid w:val="00AB008F"/>
    <w:rsid w:val="00AB082A"/>
    <w:rsid w:val="00AB1BB2"/>
    <w:rsid w:val="00AB1C10"/>
    <w:rsid w:val="00AB1FC6"/>
    <w:rsid w:val="00AB4A2C"/>
    <w:rsid w:val="00AB557B"/>
    <w:rsid w:val="00AB5A12"/>
    <w:rsid w:val="00AB657B"/>
    <w:rsid w:val="00AB6B3E"/>
    <w:rsid w:val="00AB6C49"/>
    <w:rsid w:val="00AB7428"/>
    <w:rsid w:val="00AC0FBB"/>
    <w:rsid w:val="00AC1072"/>
    <w:rsid w:val="00AC15A6"/>
    <w:rsid w:val="00AC1D37"/>
    <w:rsid w:val="00AC20A4"/>
    <w:rsid w:val="00AC38C6"/>
    <w:rsid w:val="00AC416E"/>
    <w:rsid w:val="00AC4FD0"/>
    <w:rsid w:val="00AC53BE"/>
    <w:rsid w:val="00AC5FC5"/>
    <w:rsid w:val="00AC6592"/>
    <w:rsid w:val="00AC7600"/>
    <w:rsid w:val="00AC7B56"/>
    <w:rsid w:val="00AD0087"/>
    <w:rsid w:val="00AD0184"/>
    <w:rsid w:val="00AD0883"/>
    <w:rsid w:val="00AD1AFF"/>
    <w:rsid w:val="00AD1BD1"/>
    <w:rsid w:val="00AD1EC0"/>
    <w:rsid w:val="00AD407E"/>
    <w:rsid w:val="00AD4AEA"/>
    <w:rsid w:val="00AD77E3"/>
    <w:rsid w:val="00AD7A09"/>
    <w:rsid w:val="00AD7F4F"/>
    <w:rsid w:val="00AE0B64"/>
    <w:rsid w:val="00AE0C03"/>
    <w:rsid w:val="00AE2793"/>
    <w:rsid w:val="00AE33C8"/>
    <w:rsid w:val="00AE3B11"/>
    <w:rsid w:val="00AE600A"/>
    <w:rsid w:val="00AE6438"/>
    <w:rsid w:val="00AE70C5"/>
    <w:rsid w:val="00AE7930"/>
    <w:rsid w:val="00AE7B2B"/>
    <w:rsid w:val="00AF0701"/>
    <w:rsid w:val="00AF1640"/>
    <w:rsid w:val="00AF2091"/>
    <w:rsid w:val="00AF2563"/>
    <w:rsid w:val="00AF35A0"/>
    <w:rsid w:val="00AF462B"/>
    <w:rsid w:val="00AF4C26"/>
    <w:rsid w:val="00AF5274"/>
    <w:rsid w:val="00AF5820"/>
    <w:rsid w:val="00AF5D1B"/>
    <w:rsid w:val="00B00616"/>
    <w:rsid w:val="00B00BAE"/>
    <w:rsid w:val="00B014D8"/>
    <w:rsid w:val="00B0162A"/>
    <w:rsid w:val="00B018FF"/>
    <w:rsid w:val="00B03084"/>
    <w:rsid w:val="00B03DC0"/>
    <w:rsid w:val="00B041C6"/>
    <w:rsid w:val="00B051D7"/>
    <w:rsid w:val="00B05D68"/>
    <w:rsid w:val="00B06397"/>
    <w:rsid w:val="00B064A8"/>
    <w:rsid w:val="00B06F0C"/>
    <w:rsid w:val="00B07631"/>
    <w:rsid w:val="00B10897"/>
    <w:rsid w:val="00B10DF4"/>
    <w:rsid w:val="00B1144F"/>
    <w:rsid w:val="00B114EE"/>
    <w:rsid w:val="00B11561"/>
    <w:rsid w:val="00B11DA7"/>
    <w:rsid w:val="00B128BB"/>
    <w:rsid w:val="00B12D77"/>
    <w:rsid w:val="00B12E37"/>
    <w:rsid w:val="00B1345B"/>
    <w:rsid w:val="00B13BED"/>
    <w:rsid w:val="00B13DC8"/>
    <w:rsid w:val="00B14B30"/>
    <w:rsid w:val="00B14E7B"/>
    <w:rsid w:val="00B15A20"/>
    <w:rsid w:val="00B16179"/>
    <w:rsid w:val="00B16B9C"/>
    <w:rsid w:val="00B16C76"/>
    <w:rsid w:val="00B16D68"/>
    <w:rsid w:val="00B16EDA"/>
    <w:rsid w:val="00B17A4E"/>
    <w:rsid w:val="00B2040F"/>
    <w:rsid w:val="00B20D67"/>
    <w:rsid w:val="00B225A4"/>
    <w:rsid w:val="00B22CAF"/>
    <w:rsid w:val="00B23032"/>
    <w:rsid w:val="00B23D78"/>
    <w:rsid w:val="00B26B20"/>
    <w:rsid w:val="00B33586"/>
    <w:rsid w:val="00B335D6"/>
    <w:rsid w:val="00B33E01"/>
    <w:rsid w:val="00B342E5"/>
    <w:rsid w:val="00B3445F"/>
    <w:rsid w:val="00B35EB0"/>
    <w:rsid w:val="00B36D64"/>
    <w:rsid w:val="00B37B23"/>
    <w:rsid w:val="00B37EF4"/>
    <w:rsid w:val="00B37F63"/>
    <w:rsid w:val="00B40B5E"/>
    <w:rsid w:val="00B40C48"/>
    <w:rsid w:val="00B41647"/>
    <w:rsid w:val="00B416D3"/>
    <w:rsid w:val="00B41E32"/>
    <w:rsid w:val="00B426E5"/>
    <w:rsid w:val="00B430E7"/>
    <w:rsid w:val="00B43286"/>
    <w:rsid w:val="00B438A0"/>
    <w:rsid w:val="00B43DC7"/>
    <w:rsid w:val="00B440C6"/>
    <w:rsid w:val="00B44516"/>
    <w:rsid w:val="00B44575"/>
    <w:rsid w:val="00B44A3D"/>
    <w:rsid w:val="00B45674"/>
    <w:rsid w:val="00B45878"/>
    <w:rsid w:val="00B466B7"/>
    <w:rsid w:val="00B46BB0"/>
    <w:rsid w:val="00B46C9D"/>
    <w:rsid w:val="00B47126"/>
    <w:rsid w:val="00B473CB"/>
    <w:rsid w:val="00B50484"/>
    <w:rsid w:val="00B51021"/>
    <w:rsid w:val="00B512B5"/>
    <w:rsid w:val="00B514AB"/>
    <w:rsid w:val="00B519A4"/>
    <w:rsid w:val="00B52695"/>
    <w:rsid w:val="00B52772"/>
    <w:rsid w:val="00B5312A"/>
    <w:rsid w:val="00B55704"/>
    <w:rsid w:val="00B57B90"/>
    <w:rsid w:val="00B60561"/>
    <w:rsid w:val="00B60783"/>
    <w:rsid w:val="00B61388"/>
    <w:rsid w:val="00B61A29"/>
    <w:rsid w:val="00B61A33"/>
    <w:rsid w:val="00B61F5F"/>
    <w:rsid w:val="00B6211C"/>
    <w:rsid w:val="00B62AB3"/>
    <w:rsid w:val="00B63402"/>
    <w:rsid w:val="00B647A3"/>
    <w:rsid w:val="00B64803"/>
    <w:rsid w:val="00B64E39"/>
    <w:rsid w:val="00B655D7"/>
    <w:rsid w:val="00B66542"/>
    <w:rsid w:val="00B669EC"/>
    <w:rsid w:val="00B66AB0"/>
    <w:rsid w:val="00B66C87"/>
    <w:rsid w:val="00B67318"/>
    <w:rsid w:val="00B67B0F"/>
    <w:rsid w:val="00B706BD"/>
    <w:rsid w:val="00B70881"/>
    <w:rsid w:val="00B714DD"/>
    <w:rsid w:val="00B71670"/>
    <w:rsid w:val="00B71A6F"/>
    <w:rsid w:val="00B74709"/>
    <w:rsid w:val="00B75E0B"/>
    <w:rsid w:val="00B768E5"/>
    <w:rsid w:val="00B808B3"/>
    <w:rsid w:val="00B823A0"/>
    <w:rsid w:val="00B82A57"/>
    <w:rsid w:val="00B82D40"/>
    <w:rsid w:val="00B8448C"/>
    <w:rsid w:val="00B8478F"/>
    <w:rsid w:val="00B85E5D"/>
    <w:rsid w:val="00B86E95"/>
    <w:rsid w:val="00B878DA"/>
    <w:rsid w:val="00B87C0C"/>
    <w:rsid w:val="00B90FA9"/>
    <w:rsid w:val="00B92CA3"/>
    <w:rsid w:val="00B937DC"/>
    <w:rsid w:val="00B94AB4"/>
    <w:rsid w:val="00B954FC"/>
    <w:rsid w:val="00B96D43"/>
    <w:rsid w:val="00B96D6E"/>
    <w:rsid w:val="00B9717A"/>
    <w:rsid w:val="00BA0B6E"/>
    <w:rsid w:val="00BA0B78"/>
    <w:rsid w:val="00BA113D"/>
    <w:rsid w:val="00BA2E31"/>
    <w:rsid w:val="00BA324D"/>
    <w:rsid w:val="00BA4575"/>
    <w:rsid w:val="00BA496F"/>
    <w:rsid w:val="00BA57A9"/>
    <w:rsid w:val="00BA5879"/>
    <w:rsid w:val="00BA5DDC"/>
    <w:rsid w:val="00BB07ED"/>
    <w:rsid w:val="00BB11C5"/>
    <w:rsid w:val="00BB2BB9"/>
    <w:rsid w:val="00BB2DB2"/>
    <w:rsid w:val="00BB4327"/>
    <w:rsid w:val="00BB5352"/>
    <w:rsid w:val="00BB6111"/>
    <w:rsid w:val="00BB68D3"/>
    <w:rsid w:val="00BB6AFA"/>
    <w:rsid w:val="00BB6E80"/>
    <w:rsid w:val="00BC31DF"/>
    <w:rsid w:val="00BC3C47"/>
    <w:rsid w:val="00BC426F"/>
    <w:rsid w:val="00BC6DE9"/>
    <w:rsid w:val="00BC6FA7"/>
    <w:rsid w:val="00BC7461"/>
    <w:rsid w:val="00BD06D8"/>
    <w:rsid w:val="00BD0FE3"/>
    <w:rsid w:val="00BD182D"/>
    <w:rsid w:val="00BD19D7"/>
    <w:rsid w:val="00BD1CF8"/>
    <w:rsid w:val="00BD31EE"/>
    <w:rsid w:val="00BD377B"/>
    <w:rsid w:val="00BD4518"/>
    <w:rsid w:val="00BD4973"/>
    <w:rsid w:val="00BD5999"/>
    <w:rsid w:val="00BD5B8B"/>
    <w:rsid w:val="00BD6203"/>
    <w:rsid w:val="00BD6354"/>
    <w:rsid w:val="00BD7404"/>
    <w:rsid w:val="00BE10D4"/>
    <w:rsid w:val="00BE32EB"/>
    <w:rsid w:val="00BE41AB"/>
    <w:rsid w:val="00BE4FF5"/>
    <w:rsid w:val="00BE56E7"/>
    <w:rsid w:val="00BE574C"/>
    <w:rsid w:val="00BE699D"/>
    <w:rsid w:val="00BE6C35"/>
    <w:rsid w:val="00BE7032"/>
    <w:rsid w:val="00BF016A"/>
    <w:rsid w:val="00BF0732"/>
    <w:rsid w:val="00BF0833"/>
    <w:rsid w:val="00BF1227"/>
    <w:rsid w:val="00BF3AD0"/>
    <w:rsid w:val="00BF45D0"/>
    <w:rsid w:val="00BF503F"/>
    <w:rsid w:val="00BF520B"/>
    <w:rsid w:val="00BF5B9C"/>
    <w:rsid w:val="00BF5BFC"/>
    <w:rsid w:val="00BF6C11"/>
    <w:rsid w:val="00BF76F4"/>
    <w:rsid w:val="00C000A2"/>
    <w:rsid w:val="00C00E25"/>
    <w:rsid w:val="00C024C8"/>
    <w:rsid w:val="00C02705"/>
    <w:rsid w:val="00C03364"/>
    <w:rsid w:val="00C0339A"/>
    <w:rsid w:val="00C0364A"/>
    <w:rsid w:val="00C03C7D"/>
    <w:rsid w:val="00C055AD"/>
    <w:rsid w:val="00C07F09"/>
    <w:rsid w:val="00C07FA5"/>
    <w:rsid w:val="00C102AB"/>
    <w:rsid w:val="00C107A0"/>
    <w:rsid w:val="00C10A15"/>
    <w:rsid w:val="00C10AB1"/>
    <w:rsid w:val="00C126A4"/>
    <w:rsid w:val="00C12F38"/>
    <w:rsid w:val="00C136A6"/>
    <w:rsid w:val="00C149E1"/>
    <w:rsid w:val="00C14FAB"/>
    <w:rsid w:val="00C14FE9"/>
    <w:rsid w:val="00C15451"/>
    <w:rsid w:val="00C1709B"/>
    <w:rsid w:val="00C17ACA"/>
    <w:rsid w:val="00C21933"/>
    <w:rsid w:val="00C227E0"/>
    <w:rsid w:val="00C22897"/>
    <w:rsid w:val="00C23C68"/>
    <w:rsid w:val="00C246DA"/>
    <w:rsid w:val="00C25910"/>
    <w:rsid w:val="00C25941"/>
    <w:rsid w:val="00C25C40"/>
    <w:rsid w:val="00C2780D"/>
    <w:rsid w:val="00C278B2"/>
    <w:rsid w:val="00C30807"/>
    <w:rsid w:val="00C30EBC"/>
    <w:rsid w:val="00C356A1"/>
    <w:rsid w:val="00C368BD"/>
    <w:rsid w:val="00C36927"/>
    <w:rsid w:val="00C372B4"/>
    <w:rsid w:val="00C376D5"/>
    <w:rsid w:val="00C37E9C"/>
    <w:rsid w:val="00C40412"/>
    <w:rsid w:val="00C415AE"/>
    <w:rsid w:val="00C41DFE"/>
    <w:rsid w:val="00C41EB5"/>
    <w:rsid w:val="00C41F08"/>
    <w:rsid w:val="00C4206E"/>
    <w:rsid w:val="00C432D0"/>
    <w:rsid w:val="00C43590"/>
    <w:rsid w:val="00C43843"/>
    <w:rsid w:val="00C451A4"/>
    <w:rsid w:val="00C4724A"/>
    <w:rsid w:val="00C504C9"/>
    <w:rsid w:val="00C50ED6"/>
    <w:rsid w:val="00C5144F"/>
    <w:rsid w:val="00C52615"/>
    <w:rsid w:val="00C53FAB"/>
    <w:rsid w:val="00C54563"/>
    <w:rsid w:val="00C55589"/>
    <w:rsid w:val="00C56C61"/>
    <w:rsid w:val="00C56E28"/>
    <w:rsid w:val="00C570A4"/>
    <w:rsid w:val="00C60466"/>
    <w:rsid w:val="00C61587"/>
    <w:rsid w:val="00C62155"/>
    <w:rsid w:val="00C62BCF"/>
    <w:rsid w:val="00C6618D"/>
    <w:rsid w:val="00C664BA"/>
    <w:rsid w:val="00C67667"/>
    <w:rsid w:val="00C70838"/>
    <w:rsid w:val="00C70B1A"/>
    <w:rsid w:val="00C7146D"/>
    <w:rsid w:val="00C7149E"/>
    <w:rsid w:val="00C714EF"/>
    <w:rsid w:val="00C71F43"/>
    <w:rsid w:val="00C75350"/>
    <w:rsid w:val="00C7712C"/>
    <w:rsid w:val="00C77695"/>
    <w:rsid w:val="00C77CAE"/>
    <w:rsid w:val="00C77EEB"/>
    <w:rsid w:val="00C809CC"/>
    <w:rsid w:val="00C80C26"/>
    <w:rsid w:val="00C81B86"/>
    <w:rsid w:val="00C81F6E"/>
    <w:rsid w:val="00C8202F"/>
    <w:rsid w:val="00C82C70"/>
    <w:rsid w:val="00C82ED3"/>
    <w:rsid w:val="00C832CC"/>
    <w:rsid w:val="00C83F63"/>
    <w:rsid w:val="00C846A2"/>
    <w:rsid w:val="00C84BD5"/>
    <w:rsid w:val="00C8536B"/>
    <w:rsid w:val="00C85952"/>
    <w:rsid w:val="00C86171"/>
    <w:rsid w:val="00C9072D"/>
    <w:rsid w:val="00C91E9E"/>
    <w:rsid w:val="00C93B27"/>
    <w:rsid w:val="00C94B06"/>
    <w:rsid w:val="00C94D0E"/>
    <w:rsid w:val="00C97735"/>
    <w:rsid w:val="00CA107B"/>
    <w:rsid w:val="00CA126E"/>
    <w:rsid w:val="00CA1708"/>
    <w:rsid w:val="00CA2058"/>
    <w:rsid w:val="00CA2ACE"/>
    <w:rsid w:val="00CA3F57"/>
    <w:rsid w:val="00CA4AC4"/>
    <w:rsid w:val="00CA5247"/>
    <w:rsid w:val="00CA5E2B"/>
    <w:rsid w:val="00CA6467"/>
    <w:rsid w:val="00CB0361"/>
    <w:rsid w:val="00CB1392"/>
    <w:rsid w:val="00CB1633"/>
    <w:rsid w:val="00CB29C3"/>
    <w:rsid w:val="00CB3462"/>
    <w:rsid w:val="00CB3504"/>
    <w:rsid w:val="00CB3BF3"/>
    <w:rsid w:val="00CB42FE"/>
    <w:rsid w:val="00CB49B9"/>
    <w:rsid w:val="00CB53C6"/>
    <w:rsid w:val="00CB5CCE"/>
    <w:rsid w:val="00CB62A5"/>
    <w:rsid w:val="00CB6F90"/>
    <w:rsid w:val="00CB7BEB"/>
    <w:rsid w:val="00CB7C87"/>
    <w:rsid w:val="00CB7FFB"/>
    <w:rsid w:val="00CC019A"/>
    <w:rsid w:val="00CC07E3"/>
    <w:rsid w:val="00CC1EEA"/>
    <w:rsid w:val="00CC2658"/>
    <w:rsid w:val="00CC2697"/>
    <w:rsid w:val="00CC2B99"/>
    <w:rsid w:val="00CC3A2E"/>
    <w:rsid w:val="00CC3BC8"/>
    <w:rsid w:val="00CC3EC7"/>
    <w:rsid w:val="00CC4A65"/>
    <w:rsid w:val="00CC571C"/>
    <w:rsid w:val="00CC5BE0"/>
    <w:rsid w:val="00CC6678"/>
    <w:rsid w:val="00CC69AB"/>
    <w:rsid w:val="00CC7304"/>
    <w:rsid w:val="00CD07CC"/>
    <w:rsid w:val="00CD0BE3"/>
    <w:rsid w:val="00CD1DE6"/>
    <w:rsid w:val="00CD252E"/>
    <w:rsid w:val="00CD2B06"/>
    <w:rsid w:val="00CD2D43"/>
    <w:rsid w:val="00CD3301"/>
    <w:rsid w:val="00CD3ACB"/>
    <w:rsid w:val="00CD4C07"/>
    <w:rsid w:val="00CD4EF9"/>
    <w:rsid w:val="00CD587A"/>
    <w:rsid w:val="00CD6E98"/>
    <w:rsid w:val="00CD6F2D"/>
    <w:rsid w:val="00CE034C"/>
    <w:rsid w:val="00CE1EBD"/>
    <w:rsid w:val="00CE1F32"/>
    <w:rsid w:val="00CE3184"/>
    <w:rsid w:val="00CE32C6"/>
    <w:rsid w:val="00CE3E57"/>
    <w:rsid w:val="00CE4703"/>
    <w:rsid w:val="00CE4EC1"/>
    <w:rsid w:val="00CE5AB1"/>
    <w:rsid w:val="00CE614F"/>
    <w:rsid w:val="00CE731E"/>
    <w:rsid w:val="00CE7DD2"/>
    <w:rsid w:val="00CF0F2B"/>
    <w:rsid w:val="00CF1217"/>
    <w:rsid w:val="00CF22D8"/>
    <w:rsid w:val="00CF235C"/>
    <w:rsid w:val="00CF2987"/>
    <w:rsid w:val="00CF30F6"/>
    <w:rsid w:val="00CF3314"/>
    <w:rsid w:val="00CF3486"/>
    <w:rsid w:val="00CF585E"/>
    <w:rsid w:val="00CF63E3"/>
    <w:rsid w:val="00CF6909"/>
    <w:rsid w:val="00CF71CB"/>
    <w:rsid w:val="00CF723B"/>
    <w:rsid w:val="00CF7A2B"/>
    <w:rsid w:val="00D0089B"/>
    <w:rsid w:val="00D00B4C"/>
    <w:rsid w:val="00D011B9"/>
    <w:rsid w:val="00D015EA"/>
    <w:rsid w:val="00D0254A"/>
    <w:rsid w:val="00D0267D"/>
    <w:rsid w:val="00D036EF"/>
    <w:rsid w:val="00D04589"/>
    <w:rsid w:val="00D0462F"/>
    <w:rsid w:val="00D0486D"/>
    <w:rsid w:val="00D05ABC"/>
    <w:rsid w:val="00D064C6"/>
    <w:rsid w:val="00D068CB"/>
    <w:rsid w:val="00D07513"/>
    <w:rsid w:val="00D0751D"/>
    <w:rsid w:val="00D1057F"/>
    <w:rsid w:val="00D10A88"/>
    <w:rsid w:val="00D11089"/>
    <w:rsid w:val="00D12576"/>
    <w:rsid w:val="00D13C43"/>
    <w:rsid w:val="00D151E7"/>
    <w:rsid w:val="00D1548B"/>
    <w:rsid w:val="00D156A9"/>
    <w:rsid w:val="00D16B83"/>
    <w:rsid w:val="00D17961"/>
    <w:rsid w:val="00D17A27"/>
    <w:rsid w:val="00D20467"/>
    <w:rsid w:val="00D21ED9"/>
    <w:rsid w:val="00D22998"/>
    <w:rsid w:val="00D22B81"/>
    <w:rsid w:val="00D22F71"/>
    <w:rsid w:val="00D23302"/>
    <w:rsid w:val="00D23B1B"/>
    <w:rsid w:val="00D265C7"/>
    <w:rsid w:val="00D267BC"/>
    <w:rsid w:val="00D2773A"/>
    <w:rsid w:val="00D316C1"/>
    <w:rsid w:val="00D316E4"/>
    <w:rsid w:val="00D32177"/>
    <w:rsid w:val="00D32F7B"/>
    <w:rsid w:val="00D33227"/>
    <w:rsid w:val="00D33AFD"/>
    <w:rsid w:val="00D33D40"/>
    <w:rsid w:val="00D33FD3"/>
    <w:rsid w:val="00D34691"/>
    <w:rsid w:val="00D34793"/>
    <w:rsid w:val="00D34998"/>
    <w:rsid w:val="00D36112"/>
    <w:rsid w:val="00D364C5"/>
    <w:rsid w:val="00D368E6"/>
    <w:rsid w:val="00D37D91"/>
    <w:rsid w:val="00D40714"/>
    <w:rsid w:val="00D407E8"/>
    <w:rsid w:val="00D40D78"/>
    <w:rsid w:val="00D4186C"/>
    <w:rsid w:val="00D4187F"/>
    <w:rsid w:val="00D41BEC"/>
    <w:rsid w:val="00D42AEC"/>
    <w:rsid w:val="00D43618"/>
    <w:rsid w:val="00D4375E"/>
    <w:rsid w:val="00D43B66"/>
    <w:rsid w:val="00D44EA3"/>
    <w:rsid w:val="00D46362"/>
    <w:rsid w:val="00D51020"/>
    <w:rsid w:val="00D5274C"/>
    <w:rsid w:val="00D533A6"/>
    <w:rsid w:val="00D53906"/>
    <w:rsid w:val="00D570E4"/>
    <w:rsid w:val="00D57B05"/>
    <w:rsid w:val="00D604EC"/>
    <w:rsid w:val="00D61409"/>
    <w:rsid w:val="00D626D4"/>
    <w:rsid w:val="00D62F68"/>
    <w:rsid w:val="00D6323E"/>
    <w:rsid w:val="00D64152"/>
    <w:rsid w:val="00D658F3"/>
    <w:rsid w:val="00D6627D"/>
    <w:rsid w:val="00D666C7"/>
    <w:rsid w:val="00D66CFC"/>
    <w:rsid w:val="00D6762F"/>
    <w:rsid w:val="00D67861"/>
    <w:rsid w:val="00D71C91"/>
    <w:rsid w:val="00D72C71"/>
    <w:rsid w:val="00D74FFE"/>
    <w:rsid w:val="00D75018"/>
    <w:rsid w:val="00D75601"/>
    <w:rsid w:val="00D75D87"/>
    <w:rsid w:val="00D762A4"/>
    <w:rsid w:val="00D76374"/>
    <w:rsid w:val="00D766AA"/>
    <w:rsid w:val="00D77F69"/>
    <w:rsid w:val="00D80927"/>
    <w:rsid w:val="00D8361E"/>
    <w:rsid w:val="00D841B9"/>
    <w:rsid w:val="00D853BF"/>
    <w:rsid w:val="00D859CF"/>
    <w:rsid w:val="00D9090B"/>
    <w:rsid w:val="00D90D5D"/>
    <w:rsid w:val="00D911E5"/>
    <w:rsid w:val="00D9160D"/>
    <w:rsid w:val="00D9188D"/>
    <w:rsid w:val="00D95B3C"/>
    <w:rsid w:val="00D95B82"/>
    <w:rsid w:val="00D95FB7"/>
    <w:rsid w:val="00D963BC"/>
    <w:rsid w:val="00D96F35"/>
    <w:rsid w:val="00D97E2D"/>
    <w:rsid w:val="00D97EF3"/>
    <w:rsid w:val="00DA09ED"/>
    <w:rsid w:val="00DA173B"/>
    <w:rsid w:val="00DA18BB"/>
    <w:rsid w:val="00DA1BBC"/>
    <w:rsid w:val="00DA47EF"/>
    <w:rsid w:val="00DA51AA"/>
    <w:rsid w:val="00DA6946"/>
    <w:rsid w:val="00DA7482"/>
    <w:rsid w:val="00DA7C66"/>
    <w:rsid w:val="00DB02A4"/>
    <w:rsid w:val="00DB076F"/>
    <w:rsid w:val="00DB09CE"/>
    <w:rsid w:val="00DB0CBB"/>
    <w:rsid w:val="00DB0EF6"/>
    <w:rsid w:val="00DB16B4"/>
    <w:rsid w:val="00DB16FF"/>
    <w:rsid w:val="00DB227A"/>
    <w:rsid w:val="00DB24DF"/>
    <w:rsid w:val="00DB2A5F"/>
    <w:rsid w:val="00DB395E"/>
    <w:rsid w:val="00DB4E07"/>
    <w:rsid w:val="00DC070F"/>
    <w:rsid w:val="00DC1056"/>
    <w:rsid w:val="00DC1469"/>
    <w:rsid w:val="00DC26E2"/>
    <w:rsid w:val="00DC2D94"/>
    <w:rsid w:val="00DC4D5D"/>
    <w:rsid w:val="00DC4EB4"/>
    <w:rsid w:val="00DC537D"/>
    <w:rsid w:val="00DC543E"/>
    <w:rsid w:val="00DC5939"/>
    <w:rsid w:val="00DC6320"/>
    <w:rsid w:val="00DC6406"/>
    <w:rsid w:val="00DC6CE6"/>
    <w:rsid w:val="00DC78A5"/>
    <w:rsid w:val="00DD037F"/>
    <w:rsid w:val="00DD292B"/>
    <w:rsid w:val="00DD490D"/>
    <w:rsid w:val="00DE1440"/>
    <w:rsid w:val="00DE1B20"/>
    <w:rsid w:val="00DE1EEC"/>
    <w:rsid w:val="00DE25D2"/>
    <w:rsid w:val="00DE29B3"/>
    <w:rsid w:val="00DE346A"/>
    <w:rsid w:val="00DE3645"/>
    <w:rsid w:val="00DE3BC5"/>
    <w:rsid w:val="00DE4246"/>
    <w:rsid w:val="00DE4552"/>
    <w:rsid w:val="00DE4CA6"/>
    <w:rsid w:val="00DE624B"/>
    <w:rsid w:val="00DE6C61"/>
    <w:rsid w:val="00DF0942"/>
    <w:rsid w:val="00DF13FF"/>
    <w:rsid w:val="00DF1BB6"/>
    <w:rsid w:val="00DF2925"/>
    <w:rsid w:val="00DF2B2C"/>
    <w:rsid w:val="00DF3CD3"/>
    <w:rsid w:val="00DF4070"/>
    <w:rsid w:val="00DF466A"/>
    <w:rsid w:val="00DF658D"/>
    <w:rsid w:val="00DF6BE2"/>
    <w:rsid w:val="00DF7C00"/>
    <w:rsid w:val="00E01021"/>
    <w:rsid w:val="00E03D80"/>
    <w:rsid w:val="00E04DA6"/>
    <w:rsid w:val="00E0783F"/>
    <w:rsid w:val="00E10B91"/>
    <w:rsid w:val="00E10D9D"/>
    <w:rsid w:val="00E11299"/>
    <w:rsid w:val="00E1145D"/>
    <w:rsid w:val="00E118A2"/>
    <w:rsid w:val="00E121E9"/>
    <w:rsid w:val="00E12850"/>
    <w:rsid w:val="00E128E4"/>
    <w:rsid w:val="00E12E7F"/>
    <w:rsid w:val="00E13F00"/>
    <w:rsid w:val="00E14733"/>
    <w:rsid w:val="00E16C17"/>
    <w:rsid w:val="00E17A12"/>
    <w:rsid w:val="00E228BB"/>
    <w:rsid w:val="00E239E0"/>
    <w:rsid w:val="00E23F78"/>
    <w:rsid w:val="00E24E9A"/>
    <w:rsid w:val="00E25E51"/>
    <w:rsid w:val="00E2600E"/>
    <w:rsid w:val="00E26A25"/>
    <w:rsid w:val="00E27028"/>
    <w:rsid w:val="00E2702A"/>
    <w:rsid w:val="00E27048"/>
    <w:rsid w:val="00E30007"/>
    <w:rsid w:val="00E304C2"/>
    <w:rsid w:val="00E30C76"/>
    <w:rsid w:val="00E322BF"/>
    <w:rsid w:val="00E32B2A"/>
    <w:rsid w:val="00E32CD1"/>
    <w:rsid w:val="00E32DC4"/>
    <w:rsid w:val="00E332D0"/>
    <w:rsid w:val="00E337EF"/>
    <w:rsid w:val="00E33B73"/>
    <w:rsid w:val="00E36E56"/>
    <w:rsid w:val="00E3777C"/>
    <w:rsid w:val="00E37BB2"/>
    <w:rsid w:val="00E40318"/>
    <w:rsid w:val="00E41B69"/>
    <w:rsid w:val="00E41BA3"/>
    <w:rsid w:val="00E42344"/>
    <w:rsid w:val="00E42679"/>
    <w:rsid w:val="00E43714"/>
    <w:rsid w:val="00E446E5"/>
    <w:rsid w:val="00E45DE9"/>
    <w:rsid w:val="00E46B41"/>
    <w:rsid w:val="00E47145"/>
    <w:rsid w:val="00E474B8"/>
    <w:rsid w:val="00E4768F"/>
    <w:rsid w:val="00E50464"/>
    <w:rsid w:val="00E50FF6"/>
    <w:rsid w:val="00E51CFE"/>
    <w:rsid w:val="00E52BAA"/>
    <w:rsid w:val="00E53411"/>
    <w:rsid w:val="00E5349F"/>
    <w:rsid w:val="00E535AA"/>
    <w:rsid w:val="00E53BE5"/>
    <w:rsid w:val="00E541AC"/>
    <w:rsid w:val="00E56089"/>
    <w:rsid w:val="00E5656F"/>
    <w:rsid w:val="00E5675D"/>
    <w:rsid w:val="00E56D47"/>
    <w:rsid w:val="00E570E4"/>
    <w:rsid w:val="00E5787D"/>
    <w:rsid w:val="00E60029"/>
    <w:rsid w:val="00E60F06"/>
    <w:rsid w:val="00E626A8"/>
    <w:rsid w:val="00E6306B"/>
    <w:rsid w:val="00E64610"/>
    <w:rsid w:val="00E66289"/>
    <w:rsid w:val="00E66350"/>
    <w:rsid w:val="00E66785"/>
    <w:rsid w:val="00E6681A"/>
    <w:rsid w:val="00E669A3"/>
    <w:rsid w:val="00E671CC"/>
    <w:rsid w:val="00E675AF"/>
    <w:rsid w:val="00E67844"/>
    <w:rsid w:val="00E70014"/>
    <w:rsid w:val="00E704F1"/>
    <w:rsid w:val="00E71230"/>
    <w:rsid w:val="00E7173B"/>
    <w:rsid w:val="00E717E4"/>
    <w:rsid w:val="00E71D37"/>
    <w:rsid w:val="00E71E35"/>
    <w:rsid w:val="00E72AAC"/>
    <w:rsid w:val="00E72AE6"/>
    <w:rsid w:val="00E73FFF"/>
    <w:rsid w:val="00E74085"/>
    <w:rsid w:val="00E745FC"/>
    <w:rsid w:val="00E74D91"/>
    <w:rsid w:val="00E74E68"/>
    <w:rsid w:val="00E7532C"/>
    <w:rsid w:val="00E76AB6"/>
    <w:rsid w:val="00E77DBD"/>
    <w:rsid w:val="00E8031B"/>
    <w:rsid w:val="00E818C2"/>
    <w:rsid w:val="00E826BD"/>
    <w:rsid w:val="00E82BC9"/>
    <w:rsid w:val="00E82F3B"/>
    <w:rsid w:val="00E83519"/>
    <w:rsid w:val="00E85359"/>
    <w:rsid w:val="00E8580B"/>
    <w:rsid w:val="00E85EE3"/>
    <w:rsid w:val="00E86DB3"/>
    <w:rsid w:val="00E86EDD"/>
    <w:rsid w:val="00E87544"/>
    <w:rsid w:val="00E90592"/>
    <w:rsid w:val="00E913E9"/>
    <w:rsid w:val="00E916C3"/>
    <w:rsid w:val="00E91B47"/>
    <w:rsid w:val="00E91BD5"/>
    <w:rsid w:val="00E92886"/>
    <w:rsid w:val="00E928A2"/>
    <w:rsid w:val="00E930D0"/>
    <w:rsid w:val="00E948B0"/>
    <w:rsid w:val="00E963CF"/>
    <w:rsid w:val="00E964E5"/>
    <w:rsid w:val="00EA0C44"/>
    <w:rsid w:val="00EA1768"/>
    <w:rsid w:val="00EA1FD4"/>
    <w:rsid w:val="00EA3217"/>
    <w:rsid w:val="00EA333A"/>
    <w:rsid w:val="00EA54EB"/>
    <w:rsid w:val="00EA60FB"/>
    <w:rsid w:val="00EA6793"/>
    <w:rsid w:val="00EB0129"/>
    <w:rsid w:val="00EB26FF"/>
    <w:rsid w:val="00EB31F2"/>
    <w:rsid w:val="00EB4111"/>
    <w:rsid w:val="00EB45D8"/>
    <w:rsid w:val="00EB4C0F"/>
    <w:rsid w:val="00EB72FA"/>
    <w:rsid w:val="00EB74E9"/>
    <w:rsid w:val="00EB7608"/>
    <w:rsid w:val="00EC0B47"/>
    <w:rsid w:val="00EC1082"/>
    <w:rsid w:val="00EC1B78"/>
    <w:rsid w:val="00EC27A6"/>
    <w:rsid w:val="00EC281A"/>
    <w:rsid w:val="00EC2B39"/>
    <w:rsid w:val="00EC3216"/>
    <w:rsid w:val="00EC342C"/>
    <w:rsid w:val="00EC3A73"/>
    <w:rsid w:val="00EC4440"/>
    <w:rsid w:val="00EC4EAB"/>
    <w:rsid w:val="00EC500C"/>
    <w:rsid w:val="00EC6443"/>
    <w:rsid w:val="00EC64D1"/>
    <w:rsid w:val="00ED0BE6"/>
    <w:rsid w:val="00ED13A6"/>
    <w:rsid w:val="00ED1659"/>
    <w:rsid w:val="00ED2016"/>
    <w:rsid w:val="00ED3484"/>
    <w:rsid w:val="00ED3667"/>
    <w:rsid w:val="00ED4A11"/>
    <w:rsid w:val="00ED5965"/>
    <w:rsid w:val="00ED5A75"/>
    <w:rsid w:val="00ED640B"/>
    <w:rsid w:val="00ED7D95"/>
    <w:rsid w:val="00EE00BD"/>
    <w:rsid w:val="00EE0303"/>
    <w:rsid w:val="00EE08BD"/>
    <w:rsid w:val="00EE0F6C"/>
    <w:rsid w:val="00EE1484"/>
    <w:rsid w:val="00EE2670"/>
    <w:rsid w:val="00EE2CA5"/>
    <w:rsid w:val="00EE3BB1"/>
    <w:rsid w:val="00EE3C9F"/>
    <w:rsid w:val="00EE3F3E"/>
    <w:rsid w:val="00EE4106"/>
    <w:rsid w:val="00EE7381"/>
    <w:rsid w:val="00EE7481"/>
    <w:rsid w:val="00EF0591"/>
    <w:rsid w:val="00EF2000"/>
    <w:rsid w:val="00EF26A7"/>
    <w:rsid w:val="00EF2E51"/>
    <w:rsid w:val="00EF4083"/>
    <w:rsid w:val="00EF432E"/>
    <w:rsid w:val="00EF4558"/>
    <w:rsid w:val="00EF49CC"/>
    <w:rsid w:val="00EF59D9"/>
    <w:rsid w:val="00EF6D91"/>
    <w:rsid w:val="00EF7E1A"/>
    <w:rsid w:val="00EF7ED5"/>
    <w:rsid w:val="00EF7F29"/>
    <w:rsid w:val="00EF7F7D"/>
    <w:rsid w:val="00EF7FD6"/>
    <w:rsid w:val="00F01269"/>
    <w:rsid w:val="00F0177F"/>
    <w:rsid w:val="00F07E05"/>
    <w:rsid w:val="00F10687"/>
    <w:rsid w:val="00F11D57"/>
    <w:rsid w:val="00F11FD1"/>
    <w:rsid w:val="00F13754"/>
    <w:rsid w:val="00F1481F"/>
    <w:rsid w:val="00F14BC8"/>
    <w:rsid w:val="00F16B49"/>
    <w:rsid w:val="00F1796D"/>
    <w:rsid w:val="00F20032"/>
    <w:rsid w:val="00F21AA1"/>
    <w:rsid w:val="00F22F66"/>
    <w:rsid w:val="00F24E09"/>
    <w:rsid w:val="00F25088"/>
    <w:rsid w:val="00F31369"/>
    <w:rsid w:val="00F33DF0"/>
    <w:rsid w:val="00F3444C"/>
    <w:rsid w:val="00F347D7"/>
    <w:rsid w:val="00F3519D"/>
    <w:rsid w:val="00F36EF5"/>
    <w:rsid w:val="00F379EF"/>
    <w:rsid w:val="00F41537"/>
    <w:rsid w:val="00F42B64"/>
    <w:rsid w:val="00F4349F"/>
    <w:rsid w:val="00F45092"/>
    <w:rsid w:val="00F45AB6"/>
    <w:rsid w:val="00F45F3E"/>
    <w:rsid w:val="00F46348"/>
    <w:rsid w:val="00F4647F"/>
    <w:rsid w:val="00F473A7"/>
    <w:rsid w:val="00F50891"/>
    <w:rsid w:val="00F50918"/>
    <w:rsid w:val="00F51237"/>
    <w:rsid w:val="00F52215"/>
    <w:rsid w:val="00F52F2D"/>
    <w:rsid w:val="00F53A20"/>
    <w:rsid w:val="00F53F50"/>
    <w:rsid w:val="00F54D0D"/>
    <w:rsid w:val="00F54EBE"/>
    <w:rsid w:val="00F55BC6"/>
    <w:rsid w:val="00F561A2"/>
    <w:rsid w:val="00F56A56"/>
    <w:rsid w:val="00F576CA"/>
    <w:rsid w:val="00F576E2"/>
    <w:rsid w:val="00F60C8A"/>
    <w:rsid w:val="00F6117A"/>
    <w:rsid w:val="00F62314"/>
    <w:rsid w:val="00F64DAE"/>
    <w:rsid w:val="00F65287"/>
    <w:rsid w:val="00F65CD4"/>
    <w:rsid w:val="00F66151"/>
    <w:rsid w:val="00F672FE"/>
    <w:rsid w:val="00F67883"/>
    <w:rsid w:val="00F700DC"/>
    <w:rsid w:val="00F7016A"/>
    <w:rsid w:val="00F714DA"/>
    <w:rsid w:val="00F7178E"/>
    <w:rsid w:val="00F719EA"/>
    <w:rsid w:val="00F71F26"/>
    <w:rsid w:val="00F7235E"/>
    <w:rsid w:val="00F72739"/>
    <w:rsid w:val="00F72A9A"/>
    <w:rsid w:val="00F732D1"/>
    <w:rsid w:val="00F75338"/>
    <w:rsid w:val="00F75D35"/>
    <w:rsid w:val="00F765E9"/>
    <w:rsid w:val="00F76D5E"/>
    <w:rsid w:val="00F7762A"/>
    <w:rsid w:val="00F77E53"/>
    <w:rsid w:val="00F80033"/>
    <w:rsid w:val="00F80527"/>
    <w:rsid w:val="00F80C83"/>
    <w:rsid w:val="00F81091"/>
    <w:rsid w:val="00F81A1D"/>
    <w:rsid w:val="00F81F2C"/>
    <w:rsid w:val="00F82717"/>
    <w:rsid w:val="00F83904"/>
    <w:rsid w:val="00F85DF4"/>
    <w:rsid w:val="00F86E00"/>
    <w:rsid w:val="00F87261"/>
    <w:rsid w:val="00F906C2"/>
    <w:rsid w:val="00F907C1"/>
    <w:rsid w:val="00F90B5A"/>
    <w:rsid w:val="00F90D02"/>
    <w:rsid w:val="00F90E14"/>
    <w:rsid w:val="00F9140D"/>
    <w:rsid w:val="00F92012"/>
    <w:rsid w:val="00F92A73"/>
    <w:rsid w:val="00F93307"/>
    <w:rsid w:val="00F9368B"/>
    <w:rsid w:val="00F94179"/>
    <w:rsid w:val="00F94FAE"/>
    <w:rsid w:val="00F95A50"/>
    <w:rsid w:val="00F9633A"/>
    <w:rsid w:val="00F97211"/>
    <w:rsid w:val="00F97447"/>
    <w:rsid w:val="00F97FAE"/>
    <w:rsid w:val="00FA01A9"/>
    <w:rsid w:val="00FA0AB1"/>
    <w:rsid w:val="00FA1979"/>
    <w:rsid w:val="00FA1EA6"/>
    <w:rsid w:val="00FA3BA0"/>
    <w:rsid w:val="00FA447F"/>
    <w:rsid w:val="00FA4F61"/>
    <w:rsid w:val="00FA5DB2"/>
    <w:rsid w:val="00FA6BE8"/>
    <w:rsid w:val="00FA6EE2"/>
    <w:rsid w:val="00FA70A5"/>
    <w:rsid w:val="00FA7196"/>
    <w:rsid w:val="00FA71DF"/>
    <w:rsid w:val="00FA7447"/>
    <w:rsid w:val="00FA774E"/>
    <w:rsid w:val="00FB0B43"/>
    <w:rsid w:val="00FB10D0"/>
    <w:rsid w:val="00FB1755"/>
    <w:rsid w:val="00FB1A8F"/>
    <w:rsid w:val="00FB2176"/>
    <w:rsid w:val="00FB24FE"/>
    <w:rsid w:val="00FB2918"/>
    <w:rsid w:val="00FB3309"/>
    <w:rsid w:val="00FB3843"/>
    <w:rsid w:val="00FB444B"/>
    <w:rsid w:val="00FB45A7"/>
    <w:rsid w:val="00FB4BEB"/>
    <w:rsid w:val="00FB71E8"/>
    <w:rsid w:val="00FB7928"/>
    <w:rsid w:val="00FC18D8"/>
    <w:rsid w:val="00FC19F7"/>
    <w:rsid w:val="00FC1ED5"/>
    <w:rsid w:val="00FC2BE6"/>
    <w:rsid w:val="00FC2E34"/>
    <w:rsid w:val="00FC3739"/>
    <w:rsid w:val="00FC4949"/>
    <w:rsid w:val="00FC4F6E"/>
    <w:rsid w:val="00FC534F"/>
    <w:rsid w:val="00FC619B"/>
    <w:rsid w:val="00FC6370"/>
    <w:rsid w:val="00FD009A"/>
    <w:rsid w:val="00FD0BFB"/>
    <w:rsid w:val="00FD1759"/>
    <w:rsid w:val="00FD2006"/>
    <w:rsid w:val="00FD219A"/>
    <w:rsid w:val="00FD3119"/>
    <w:rsid w:val="00FD337C"/>
    <w:rsid w:val="00FD3FAB"/>
    <w:rsid w:val="00FD49D5"/>
    <w:rsid w:val="00FD5D82"/>
    <w:rsid w:val="00FD6145"/>
    <w:rsid w:val="00FD6C45"/>
    <w:rsid w:val="00FD6F69"/>
    <w:rsid w:val="00FE05A2"/>
    <w:rsid w:val="00FE066D"/>
    <w:rsid w:val="00FE0B45"/>
    <w:rsid w:val="00FE2436"/>
    <w:rsid w:val="00FE31CF"/>
    <w:rsid w:val="00FE65CB"/>
    <w:rsid w:val="00FE6667"/>
    <w:rsid w:val="00FE67CA"/>
    <w:rsid w:val="00FE6A4C"/>
    <w:rsid w:val="00FE737A"/>
    <w:rsid w:val="00FE799E"/>
    <w:rsid w:val="00FE7AD7"/>
    <w:rsid w:val="00FE7FB3"/>
    <w:rsid w:val="00FE7FED"/>
    <w:rsid w:val="00FF06CB"/>
    <w:rsid w:val="00FF17FE"/>
    <w:rsid w:val="00FF236A"/>
    <w:rsid w:val="00FF3AA7"/>
    <w:rsid w:val="00FF5BFC"/>
    <w:rsid w:val="00FF632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01" style="mso-position-horizontal:left" fill="f" fillcolor="white" stroke="f">
      <v:fill color="white" on="f"/>
      <v:stroke on="f"/>
      <o:colormenu v:ext="edit" fillcolor="none [3212]"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8E60AE"/>
    <w:rPr>
      <w:rFonts w:asciiTheme="minorHAnsi" w:hAnsiTheme="minorHAnsi" w:cstheme="minorBidi"/>
      <w:sz w:val="22"/>
      <w:szCs w:val="22"/>
      <w:lang w:eastAsia="en-US"/>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spacing w:after="220"/>
      <w:jc w:val="both"/>
    </w:pPr>
    <w:rPr>
      <w:rFonts w:ascii="Calibri" w:hAnsi="Calibri" w:cs="Times New Roman"/>
      <w:sz w:val="20"/>
      <w:szCs w:val="20"/>
      <w:lang w:eastAsia="en-AU"/>
    </w:r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spacing w:after="220"/>
      <w:jc w:val="both"/>
    </w:pPr>
    <w:rPr>
      <w:rFonts w:ascii="Times New Roman" w:hAnsi="Times New Roman" w:cs="Times New Roman"/>
      <w:sz w:val="24"/>
      <w:szCs w:val="24"/>
      <w:lang w:eastAsia="en-AU"/>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pPr>
      <w:spacing w:after="220"/>
      <w:jc w:val="both"/>
    </w:pPr>
    <w:rPr>
      <w:rFonts w:ascii="Calibri" w:hAnsi="Calibri" w:cs="Times New Roman"/>
      <w:sz w:val="20"/>
      <w:szCs w:val="20"/>
      <w:lang w:eastAsia="en-AU"/>
    </w:rPr>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pPr>
      <w:spacing w:after="220"/>
      <w:jc w:val="both"/>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pPr>
      <w:spacing w:after="220"/>
      <w:jc w:val="both"/>
    </w:pPr>
    <w:rPr>
      <w:rFonts w:ascii="Calibri" w:hAnsi="Calibri" w:cs="Times New Roman"/>
      <w:sz w:val="20"/>
      <w:szCs w:val="20"/>
      <w:lang w:eastAsia="en-AU"/>
    </w:rPr>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after="220" w:line="300" w:lineRule="auto"/>
      <w:jc w:val="both"/>
    </w:pPr>
    <w:rPr>
      <w:rFonts w:ascii="Arial" w:hAnsi="Arial" w:cs="Times New Roman"/>
      <w:color w:val="000000"/>
      <w:sz w:val="20"/>
      <w:szCs w:val="20"/>
      <w:lang w:val="en-GB"/>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jc w:val="both"/>
    </w:pPr>
    <w:rPr>
      <w:rFonts w:ascii="Arial" w:hAnsi="Arial" w:cs="Times New Roman"/>
      <w:color w:val="000000"/>
      <w:sz w:val="20"/>
      <w:szCs w:val="20"/>
      <w:lang w:val="en-GB"/>
    </w:rPr>
  </w:style>
  <w:style w:type="paragraph" w:customStyle="1" w:styleId="prodtitlesub">
    <w:name w:val="prodtitlesub"/>
    <w:basedOn w:val="Normal"/>
    <w:uiPriority w:val="99"/>
    <w:rsid w:val="003F65D1"/>
    <w:pPr>
      <w:spacing w:after="220"/>
      <w:jc w:val="both"/>
    </w:pPr>
    <w:rPr>
      <w:rFonts w:ascii="Verdana" w:hAnsi="Verdana" w:cs="Times New Roman"/>
      <w:b/>
      <w:bCs/>
      <w:color w:val="006699"/>
      <w:sz w:val="26"/>
      <w:szCs w:val="26"/>
      <w:lang w:val="en-US"/>
    </w:rPr>
  </w:style>
  <w:style w:type="paragraph" w:styleId="ListParagraph">
    <w:name w:val="List Paragraph"/>
    <w:basedOn w:val="Normal"/>
    <w:link w:val="ListParagraphChar"/>
    <w:uiPriority w:val="34"/>
    <w:qFormat/>
    <w:rsid w:val="003F65D1"/>
    <w:pPr>
      <w:spacing w:after="220"/>
      <w:ind w:left="720"/>
      <w:contextualSpacing/>
      <w:jc w:val="both"/>
    </w:pPr>
    <w:rPr>
      <w:rFonts w:ascii="Calibri" w:hAnsi="Calibri" w:cs="Times New Roman"/>
      <w:sz w:val="20"/>
      <w:szCs w:val="20"/>
      <w:lang w:eastAsia="en-AU"/>
    </w:rPr>
  </w:style>
  <w:style w:type="paragraph" w:styleId="NormalWeb">
    <w:name w:val="Normal (Web)"/>
    <w:basedOn w:val="Normal"/>
    <w:uiPriority w:val="99"/>
    <w:rsid w:val="003F65D1"/>
    <w:pPr>
      <w:spacing w:before="100" w:beforeAutospacing="1" w:after="100" w:afterAutospacing="1"/>
      <w:jc w:val="both"/>
    </w:pPr>
    <w:rPr>
      <w:rFonts w:ascii="Calibri" w:hAnsi="Calibri" w:cs="Times New Roman"/>
      <w:sz w:val="20"/>
      <w:szCs w:val="20"/>
      <w:lang w:val="en-US"/>
    </w:rPr>
  </w:style>
  <w:style w:type="paragraph" w:styleId="Caption">
    <w:name w:val="caption"/>
    <w:aliases w:val="Figure,CDM B/Caption,Table Caption,TABLE,Char,Item"/>
    <w:basedOn w:val="Normal"/>
    <w:next w:val="Normal"/>
    <w:link w:val="CaptionChar"/>
    <w:uiPriority w:val="35"/>
    <w:qFormat/>
    <w:rsid w:val="003F65D1"/>
    <w:pPr>
      <w:spacing w:after="220"/>
      <w:jc w:val="both"/>
    </w:pPr>
    <w:rPr>
      <w:rFonts w:ascii="Calibri" w:hAnsi="Calibri" w:cs="Times New Roman"/>
      <w:b/>
      <w:bCs/>
      <w:sz w:val="20"/>
      <w:szCs w:val="20"/>
      <w:lang w:eastAsia="en-AU"/>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jc w:val="both"/>
    </w:pPr>
    <w:rPr>
      <w:rFonts w:ascii="Calibri" w:hAnsi="Calibri" w:cs="Times New Roman"/>
      <w:b/>
      <w:sz w:val="24"/>
      <w:szCs w:val="20"/>
      <w:lang w:val="en-GB"/>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pPr>
    <w:rPr>
      <w:rFonts w:ascii="Times New Roman" w:hAnsi="Times New Roman" w:cs="Times New Roman"/>
      <w:sz w:val="24"/>
      <w:szCs w:val="24"/>
      <w:lang w:eastAsia="en-AU"/>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rPr>
      <w:rFonts w:ascii="Consolas" w:hAnsi="Consolas" w:cs="Times New Roman"/>
      <w:sz w:val="21"/>
      <w:szCs w:val="21"/>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pPr>
    <w:rPr>
      <w:rFonts w:ascii="Times New Roman" w:hAnsi="Times New Roman" w:cs="Times New Roman"/>
      <w:sz w:val="24"/>
      <w:szCs w:val="20"/>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spacing w:after="220"/>
      <w:contextualSpacing/>
      <w:jc w:val="both"/>
    </w:pPr>
    <w:rPr>
      <w:rFonts w:ascii="Calibri" w:hAnsi="Calibri" w:cs="Times New Roman"/>
      <w:sz w:val="20"/>
      <w:szCs w:val="20"/>
      <w:lang w:eastAsia="en-AU"/>
    </w:rPr>
  </w:style>
  <w:style w:type="paragraph" w:styleId="ListNumber">
    <w:name w:val="List Number"/>
    <w:basedOn w:val="Normal"/>
    <w:uiPriority w:val="99"/>
    <w:qFormat/>
    <w:rsid w:val="003F65D1"/>
    <w:pPr>
      <w:numPr>
        <w:numId w:val="7"/>
      </w:numPr>
      <w:spacing w:after="220"/>
      <w:contextualSpacing/>
      <w:jc w:val="both"/>
    </w:pPr>
    <w:rPr>
      <w:rFonts w:ascii="Calibri" w:hAnsi="Calibri" w:cs="Times New Roman"/>
      <w:sz w:val="20"/>
      <w:szCs w:val="20"/>
      <w:lang w:eastAsia="en-AU"/>
    </w:r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pPr>
    <w:rPr>
      <w:rFonts w:ascii="Century Gothic" w:hAnsi="Century Gothic" w:cs="Times New Roman"/>
      <w:b/>
      <w:noProof/>
      <w:sz w:val="24"/>
      <w:szCs w:val="24"/>
      <w:lang w:eastAsia="en-AU"/>
    </w:rPr>
  </w:style>
  <w:style w:type="paragraph" w:styleId="TOC2">
    <w:name w:val="toc 2"/>
    <w:basedOn w:val="Normal"/>
    <w:next w:val="Normal"/>
    <w:autoRedefine/>
    <w:uiPriority w:val="39"/>
    <w:rsid w:val="007E0990"/>
    <w:pPr>
      <w:tabs>
        <w:tab w:val="left" w:pos="880"/>
        <w:tab w:val="right" w:leader="dot" w:pos="9356"/>
      </w:tabs>
      <w:spacing w:after="100"/>
      <w:ind w:left="880" w:hanging="660"/>
    </w:pPr>
    <w:rPr>
      <w:rFonts w:ascii="Century Gothic" w:hAnsi="Century Gothic" w:cs="Times New Roman"/>
      <w:noProof/>
      <w:sz w:val="20"/>
      <w:szCs w:val="20"/>
      <w:lang w:eastAsia="en-AU"/>
    </w:rPr>
  </w:style>
  <w:style w:type="paragraph" w:styleId="TOC3">
    <w:name w:val="toc 3"/>
    <w:basedOn w:val="Normal"/>
    <w:next w:val="Normal"/>
    <w:autoRedefine/>
    <w:uiPriority w:val="39"/>
    <w:rsid w:val="007E0990"/>
    <w:pPr>
      <w:tabs>
        <w:tab w:val="left" w:pos="1320"/>
        <w:tab w:val="right" w:pos="9356"/>
      </w:tabs>
      <w:spacing w:after="100"/>
      <w:ind w:left="440" w:right="-142"/>
      <w:jc w:val="both"/>
    </w:pPr>
    <w:rPr>
      <w:rFonts w:ascii="Calibri" w:hAnsi="Calibri" w:cs="Times New Roman"/>
      <w:sz w:val="20"/>
      <w:szCs w:val="20"/>
      <w:lang w:eastAsia="en-AU"/>
    </w:r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pPr>
    <w:rPr>
      <w:rFonts w:ascii="Times New Roman" w:hAnsi="Times New Roman" w:cs="Times New Roman"/>
      <w:sz w:val="24"/>
      <w:szCs w:val="24"/>
    </w:rPr>
  </w:style>
  <w:style w:type="paragraph" w:customStyle="1" w:styleId="Dash">
    <w:name w:val="Dash"/>
    <w:basedOn w:val="Normal"/>
    <w:uiPriority w:val="99"/>
    <w:rsid w:val="00AB008F"/>
    <w:pPr>
      <w:numPr>
        <w:ilvl w:val="1"/>
        <w:numId w:val="8"/>
      </w:numPr>
      <w:spacing w:after="240"/>
    </w:pPr>
    <w:rPr>
      <w:rFonts w:ascii="Times New Roman" w:hAnsi="Times New Roman" w:cs="Times New Roman"/>
      <w:sz w:val="24"/>
      <w:szCs w:val="24"/>
    </w:rPr>
  </w:style>
  <w:style w:type="paragraph" w:customStyle="1" w:styleId="DoubleDot">
    <w:name w:val="Double Dot"/>
    <w:basedOn w:val="Normal"/>
    <w:uiPriority w:val="99"/>
    <w:rsid w:val="00AB008F"/>
    <w:pPr>
      <w:numPr>
        <w:ilvl w:val="2"/>
        <w:numId w:val="8"/>
      </w:numPr>
      <w:spacing w:after="240"/>
    </w:pPr>
    <w:rPr>
      <w:rFonts w:ascii="Times New Roman" w:hAnsi="Times New Roman" w:cs="Times New Roman"/>
      <w:sz w:val="24"/>
      <w:szCs w:val="24"/>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pPr>
    <w:rPr>
      <w:rFonts w:ascii="Arial" w:eastAsia="Calibri" w:hAnsi="Arial" w:cs="Times New Roman"/>
    </w:rPr>
  </w:style>
  <w:style w:type="paragraph" w:styleId="ListNumber3">
    <w:name w:val="List Number 3"/>
    <w:basedOn w:val="Normal"/>
    <w:uiPriority w:val="99"/>
    <w:rsid w:val="00B768E5"/>
    <w:pPr>
      <w:spacing w:after="200" w:line="276" w:lineRule="auto"/>
      <w:ind w:left="1107" w:hanging="369"/>
    </w:pPr>
    <w:rPr>
      <w:rFonts w:ascii="Arial" w:eastAsia="Calibri" w:hAnsi="Arial" w:cs="Times New Roman"/>
    </w:rPr>
  </w:style>
  <w:style w:type="paragraph" w:styleId="ListNumber4">
    <w:name w:val="List Number 4"/>
    <w:basedOn w:val="Normal"/>
    <w:uiPriority w:val="99"/>
    <w:rsid w:val="00B768E5"/>
    <w:pPr>
      <w:spacing w:after="200" w:line="276" w:lineRule="auto"/>
      <w:ind w:left="1476" w:hanging="369"/>
    </w:pPr>
    <w:rPr>
      <w:rFonts w:ascii="Arial" w:eastAsia="Calibri" w:hAnsi="Arial" w:cs="Times New Roman"/>
    </w:rPr>
  </w:style>
  <w:style w:type="paragraph" w:styleId="ListNumber5">
    <w:name w:val="List Number 5"/>
    <w:basedOn w:val="Normal"/>
    <w:uiPriority w:val="99"/>
    <w:rsid w:val="00B768E5"/>
    <w:pPr>
      <w:spacing w:after="200" w:line="276" w:lineRule="auto"/>
      <w:ind w:left="1845" w:hanging="369"/>
    </w:pPr>
    <w:rPr>
      <w:rFonts w:ascii="Arial" w:eastAsia="Calibri" w:hAnsi="Arial" w:cs="Times New Roman"/>
    </w:rPr>
  </w:style>
  <w:style w:type="paragraph" w:styleId="EndnoteText">
    <w:name w:val="endnote text"/>
    <w:basedOn w:val="Normal"/>
    <w:link w:val="EndnoteTextChar"/>
    <w:uiPriority w:val="99"/>
    <w:semiHidden/>
    <w:unhideWhenUsed/>
    <w:rsid w:val="006A76CD"/>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pPr>
    <w:rPr>
      <w:rFonts w:ascii="Times New Roman" w:eastAsia="Calibri" w:hAnsi="Times New Roman" w:cs="Times New Roman"/>
      <w:sz w:val="24"/>
      <w:szCs w:val="24"/>
      <w:lang w:eastAsia="en-AU"/>
    </w:rPr>
  </w:style>
  <w:style w:type="paragraph" w:styleId="TableofFigures">
    <w:name w:val="table of figures"/>
    <w:aliases w:val="List of Tables"/>
    <w:basedOn w:val="Normal"/>
    <w:next w:val="Normal"/>
    <w:link w:val="TableofFiguresChar"/>
    <w:uiPriority w:val="99"/>
    <w:unhideWhenUsed/>
    <w:qFormat/>
    <w:rsid w:val="00517D7B"/>
    <w:pPr>
      <w:jc w:val="both"/>
    </w:pPr>
    <w:rPr>
      <w:rFonts w:ascii="Calibri" w:hAnsi="Calibri" w:cs="Times New Roman"/>
      <w:sz w:val="20"/>
      <w:szCs w:val="20"/>
      <w:lang w:eastAsia="en-AU"/>
    </w:r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spacing w:after="220"/>
      <w:ind w:left="737" w:hanging="368"/>
      <w:jc w:val="both"/>
    </w:pPr>
    <w:rPr>
      <w:rFonts w:ascii="Calibri" w:hAnsi="Calibri" w:cs="Times New Roman"/>
      <w:sz w:val="20"/>
      <w:szCs w:val="20"/>
      <w:lang w:eastAsia="en-AU"/>
    </w:rPr>
  </w:style>
  <w:style w:type="paragraph" w:styleId="ListBullet3">
    <w:name w:val="List Bullet 3"/>
    <w:basedOn w:val="Normal"/>
    <w:uiPriority w:val="99"/>
    <w:unhideWhenUsed/>
    <w:rsid w:val="003C675A"/>
    <w:pPr>
      <w:spacing w:after="220"/>
      <w:ind w:left="1106" w:hanging="369"/>
      <w:jc w:val="both"/>
    </w:pPr>
    <w:rPr>
      <w:rFonts w:ascii="Calibri" w:hAnsi="Calibri" w:cs="Times New Roman"/>
      <w:sz w:val="20"/>
      <w:szCs w:val="20"/>
      <w:lang w:eastAsia="en-AU"/>
    </w:rPr>
  </w:style>
  <w:style w:type="paragraph" w:styleId="ListBullet4">
    <w:name w:val="List Bullet 4"/>
    <w:basedOn w:val="Normal"/>
    <w:uiPriority w:val="99"/>
    <w:unhideWhenUsed/>
    <w:rsid w:val="003C675A"/>
    <w:pPr>
      <w:spacing w:after="220"/>
      <w:ind w:left="1474" w:hanging="368"/>
      <w:jc w:val="both"/>
    </w:pPr>
    <w:rPr>
      <w:rFonts w:ascii="Calibri" w:hAnsi="Calibri" w:cs="Times New Roman"/>
      <w:sz w:val="20"/>
      <w:szCs w:val="20"/>
      <w:lang w:eastAsia="en-AU"/>
    </w:rPr>
  </w:style>
  <w:style w:type="paragraph" w:styleId="ListBullet5">
    <w:name w:val="List Bullet 5"/>
    <w:basedOn w:val="Normal"/>
    <w:uiPriority w:val="99"/>
    <w:unhideWhenUsed/>
    <w:rsid w:val="003C675A"/>
    <w:pPr>
      <w:spacing w:after="220"/>
      <w:ind w:left="1800" w:hanging="360"/>
      <w:jc w:val="both"/>
    </w:pPr>
    <w:rPr>
      <w:rFonts w:ascii="Calibri" w:hAnsi="Calibri" w:cs="Times New Roman"/>
      <w:sz w:val="20"/>
      <w:szCs w:val="20"/>
      <w:lang w:eastAsia="en-AU"/>
    </w:rPr>
  </w:style>
  <w:style w:type="paragraph" w:customStyle="1" w:styleId="Tableheader">
    <w:name w:val="Table header"/>
    <w:basedOn w:val="Normal"/>
    <w:rsid w:val="00FD3FAB"/>
    <w:pPr>
      <w:suppressAutoHyphens/>
    </w:pPr>
    <w:rPr>
      <w:rFonts w:ascii="Arial" w:hAnsi="Arial" w:cs="Myriad Pro Light"/>
      <w:b/>
      <w:sz w:val="20"/>
      <w:szCs w:val="20"/>
      <w:lang w:eastAsia="en-AU"/>
    </w:rPr>
  </w:style>
  <w:style w:type="paragraph" w:customStyle="1" w:styleId="Tabletext">
    <w:name w:val="Table text"/>
    <w:basedOn w:val="Normal"/>
    <w:uiPriority w:val="9"/>
    <w:qFormat/>
    <w:rsid w:val="00FD3FAB"/>
    <w:pPr>
      <w:spacing w:before="60" w:after="60"/>
    </w:pPr>
    <w:rPr>
      <w:rFonts w:ascii="Arial" w:hAnsi="Arial" w:cs="Times New Roman"/>
      <w:sz w:val="18"/>
      <w:szCs w:val="18"/>
      <w:lang w:eastAsia="en-AU"/>
    </w:rPr>
  </w:style>
  <w:style w:type="character" w:customStyle="1" w:styleId="ListParagraphChar">
    <w:name w:val="List Paragraph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jc w:val="both"/>
    </w:pPr>
    <w:rPr>
      <w:rFonts w:ascii="Century Gothic" w:hAnsi="Century Gothic" w:cs="Angsana New"/>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pPr>
      <w:spacing w:after="220"/>
      <w:jc w:val="both"/>
    </w:pPr>
    <w:rPr>
      <w:rFonts w:ascii="Calibri" w:hAnsi="Calibri" w:cs="Times New Roman"/>
      <w:sz w:val="20"/>
      <w:szCs w:val="20"/>
      <w:lang w:eastAsia="en-AU"/>
    </w:rPr>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ascii="Calibri" w:hAnsi="Calibri" w:cs="Arial"/>
      <w:color w:val="FF0000"/>
      <w:sz w:val="28"/>
      <w:szCs w:val="28"/>
      <w:lang w:eastAsia="en-AU"/>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pPr>
    <w:rPr>
      <w:rFonts w:ascii="Arial" w:eastAsiaTheme="minorHAnsi" w:hAnsi="Arial" w:cs="Arial"/>
      <w:lang w:eastAsia="en-AU"/>
    </w:rPr>
  </w:style>
  <w:style w:type="paragraph" w:customStyle="1" w:styleId="tableheader0">
    <w:name w:val="tableheader"/>
    <w:basedOn w:val="Normal"/>
    <w:rsid w:val="004C4A31"/>
    <w:rPr>
      <w:rFonts w:ascii="Arial" w:eastAsiaTheme="minorHAnsi" w:hAnsi="Arial" w:cs="Arial"/>
      <w:b/>
      <w:bCs/>
      <w:sz w:val="20"/>
      <w:szCs w:val="20"/>
      <w:lang w:eastAsia="en-AU"/>
    </w:rPr>
  </w:style>
  <w:style w:type="paragraph" w:customStyle="1" w:styleId="tabletext0">
    <w:name w:val="tabletext"/>
    <w:basedOn w:val="Normal"/>
    <w:rsid w:val="004C4A31"/>
    <w:pPr>
      <w:spacing w:before="60" w:after="60"/>
    </w:pPr>
    <w:rPr>
      <w:rFonts w:ascii="Arial" w:eastAsiaTheme="minorHAnsi" w:hAnsi="Arial" w:cs="Arial"/>
      <w:sz w:val="18"/>
      <w:szCs w:val="18"/>
      <w:lang w:eastAsia="en-AU"/>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pPr>
    <w:rPr>
      <w:rFonts w:ascii="Arial" w:eastAsiaTheme="minorHAnsi" w:hAnsi="Arial" w:cs="Arial"/>
      <w:b/>
      <w:bCs/>
      <w:sz w:val="32"/>
      <w:szCs w:val="32"/>
      <w:lang w:eastAsia="en-AU"/>
    </w:rPr>
  </w:style>
  <w:style w:type="paragraph" w:customStyle="1" w:styleId="LegalClauseLevel2">
    <w:name w:val="Legal Clause Level 2"/>
    <w:basedOn w:val="Normal"/>
    <w:rsid w:val="004C4A31"/>
    <w:pPr>
      <w:keepNext/>
      <w:numPr>
        <w:ilvl w:val="1"/>
        <w:numId w:val="17"/>
      </w:numPr>
      <w:spacing w:before="60" w:after="60" w:line="280" w:lineRule="exact"/>
    </w:pPr>
    <w:rPr>
      <w:rFonts w:ascii="Arial" w:eastAsiaTheme="minorHAnsi" w:hAnsi="Arial" w:cs="Arial"/>
      <w:b/>
      <w:bCs/>
      <w:sz w:val="24"/>
      <w:szCs w:val="24"/>
      <w:lang w:eastAsia="en-AU"/>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005285"/>
    <w:pPr>
      <w:autoSpaceDE w:val="0"/>
      <w:autoSpaceDN w:val="0"/>
      <w:adjustRightInd w:val="0"/>
      <w:spacing w:line="276" w:lineRule="auto"/>
      <w:jc w:val="center"/>
    </w:pPr>
    <w:rPr>
      <w:rFonts w:ascii="Arial Narrow" w:eastAsiaTheme="minorHAnsi" w:hAnsi="Arial Narrow"/>
      <w:b/>
      <w:color w:val="FFFFFF" w:themeColor="background1"/>
      <w:sz w:val="24"/>
      <w:szCs w:val="24"/>
      <w:lang w:eastAsia="en-AU"/>
    </w:rPr>
  </w:style>
  <w:style w:type="character" w:customStyle="1" w:styleId="TableH1Char">
    <w:name w:val="Table H1 Char"/>
    <w:basedOn w:val="DefaultParagraphFont"/>
    <w:link w:val="TableH1"/>
    <w:rsid w:val="00005285"/>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005285"/>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5450628">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07470832">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22366084">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9208">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882935976">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nvironment.gov.au/water/cewo/trade/trading-framework" TargetMode="External"/><Relationship Id="rId26" Type="http://schemas.openxmlformats.org/officeDocument/2006/relationships/hyperlink" Target="http://www.environment.gov.au/topics/water/commonwealth-environmental-water-office/about-commonwealth-environmental-water/how-much"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3.xml"/><Relationship Id="rId47"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nvironment.gov.au/water/cewo/publications/water-trading-framework"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wmf"/><Relationship Id="rId29" Type="http://schemas.openxmlformats.org/officeDocument/2006/relationships/hyperlink" Target="http://www.environment.gov.au/topics/water/commonwealth-environmental-water-office/assessment-framewo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hyperlink" Target="http://www.mdba.gov.au/what-we-do/water-planning/managing-constraints" TargetMode="Externa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image" Target="media/image4.png"/><Relationship Id="rId28" Type="http://schemas.openxmlformats.org/officeDocument/2006/relationships/hyperlink" Target="http://www.environment.gov.au/topics/water/commonwealth-environmental-water-offic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ewater@environment.gov.au" TargetMode="External"/><Relationship Id="rId31" Type="http://schemas.openxmlformats.org/officeDocument/2006/relationships/hyperlink" Target="http://www.environment.gov.au/water/cewo/trade/trading-frame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http://www.environment.gov.au/topics/water/commonwealth-environmental-water-office/portfolio-management/carryover"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66ACF9CCD54D994982BF484DF3F6F4F4" ma:contentTypeVersion="23" ma:contentTypeDescription="Create a new Word Document" ma:contentTypeScope="" ma:versionID="18139444609b20505fd8e1cfd09e1f28">
  <xsd:schema xmlns:xsd="http://www.w3.org/2001/XMLSchema" xmlns:p="http://schemas.microsoft.com/office/2006/metadata/properties" xmlns:ns2="5af92df4-ae3d-4772-abff-92e7cba13994" targetNamespace="http://schemas.microsoft.com/office/2006/metadata/properties" ma:root="true" ma:fieldsID="dff7613ad8003a2a5e49b27e2c7b1b76"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dms="http://schemas.microsoft.com/office/2006/documentManagement/types" targetNamespace="5af92df4-ae3d-4772-abff-92e7cba13994"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0">
      <xsd:simpleType>
        <xsd:restriction base="dms:Note"/>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A68A0-F0B9-4B5E-A913-5D1EF1B33557}">
  <ds:schemaRefs>
    <ds:schemaRef ds:uri="http://schemas.microsoft.com/sharepoint/v3/contenttype/forms"/>
  </ds:schemaRefs>
</ds:datastoreItem>
</file>

<file path=customXml/itemProps2.xml><?xml version="1.0" encoding="utf-8"?>
<ds:datastoreItem xmlns:ds="http://schemas.openxmlformats.org/officeDocument/2006/customXml" ds:itemID="{5FDB2303-4A92-4766-92F9-39E96163D8BF}">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5af92df4-ae3d-4772-abff-92e7cba13994"/>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FFFC5CF-4625-4A89-962E-A37FD3490F17}">
  <ds:schemaRefs>
    <ds:schemaRef ds:uri="http://schemas.microsoft.com/office/2006/metadata/customXsn"/>
  </ds:schemaRefs>
</ds:datastoreItem>
</file>

<file path=customXml/itemProps4.xml><?xml version="1.0" encoding="utf-8"?>
<ds:datastoreItem xmlns:ds="http://schemas.openxmlformats.org/officeDocument/2006/customXml" ds:itemID="{F9936207-8B45-4C68-B42B-7C176420E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E333B37-F8A8-44F9-AEBB-4670F0A7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14414</Words>
  <Characters>86338</Characters>
  <Application>Microsoft Office Word</Application>
  <DocSecurity>4</DocSecurity>
  <Lines>719</Lines>
  <Paragraphs>201</Paragraphs>
  <ScaleCrop>false</ScaleCrop>
  <HeadingPairs>
    <vt:vector size="2" baseType="variant">
      <vt:variant>
        <vt:lpstr>Title</vt:lpstr>
      </vt:variant>
      <vt:variant>
        <vt:i4>1</vt:i4>
      </vt:variant>
    </vt:vector>
  </HeadingPairs>
  <TitlesOfParts>
    <vt:vector size="1" baseType="lpstr">
      <vt:lpstr>2015-16 planning - Lower Murray Darling external plan</vt:lpstr>
    </vt:vector>
  </TitlesOfParts>
  <Company>Department of the Environment and Heritage</Company>
  <LinksUpToDate>false</LinksUpToDate>
  <CharactersWithSpaces>100551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planning for the use, carryover and trade of Commonwealth environmental water: Lower Murray-Darling Region 2015–16</dc:title>
  <dc:creator>Commonwealth Environmental Water Office</dc:creator>
  <cp:lastModifiedBy>Rebecca Durack</cp:lastModifiedBy>
  <cp:revision>2</cp:revision>
  <cp:lastPrinted>2015-06-18T22:16:00Z</cp:lastPrinted>
  <dcterms:created xsi:type="dcterms:W3CDTF">2015-07-01T07:35:00Z</dcterms:created>
  <dcterms:modified xsi:type="dcterms:W3CDTF">2015-07-01T07:35:00Z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0x010100DB29C2AB6EB75541991FB3E24043BFB6010066ACF9CCD54D994982BF484DF3F6F4F4</vt:lpwstr>
  </property>
  <property fmtid="{D5CDD505-2E9C-101B-9397-08002B2CF9AE}" pid="3" name="RecordNumberTEMP">
    <vt:lpwstr/>
  </property>
  <property fmtid="{D5CDD505-2E9C-101B-9397-08002B2CF9AE}" pid="4" name="SignificanceReasonTEMP">
    <vt:lpwstr/>
  </property>
  <property fmtid="{D5CDD505-2E9C-101B-9397-08002B2CF9AE}" pid="5" name="EmailCategoriesTEMP">
    <vt:lpwstr/>
  </property>
  <property fmtid="{D5CDD505-2E9C-101B-9397-08002B2CF9AE}" pid="6" name="EmailSubjectTEMP">
    <vt:lpwstr/>
  </property>
  <property fmtid="{D5CDD505-2E9C-101B-9397-08002B2CF9AE}" pid="7" name="_docset_NoMedatataSyncRequired">
    <vt:lpwstr>False</vt:lpwstr>
  </property>
  <property fmtid="{D5CDD505-2E9C-101B-9397-08002B2CF9AE}" pid="8" name="EmailCategories">
    <vt:lpwstr/>
  </property>
  <property fmtid="{D5CDD505-2E9C-101B-9397-08002B2CF9AE}" pid="9" name="SignificanceReason">
    <vt:lpwstr/>
  </property>
  <property fmtid="{D5CDD505-2E9C-101B-9397-08002B2CF9AE}" pid="10" name="SPIREEmailSubject">
    <vt:lpwstr/>
  </property>
  <property fmtid="{D5CDD505-2E9C-101B-9397-08002B2CF9AE}" pid="11" name="Significance">
    <vt:lpwstr/>
  </property>
  <property fmtid="{D5CDD505-2E9C-101B-9397-08002B2CF9AE}" pid="12" name="xd_Signature">
    <vt:bool>false</vt:bool>
  </property>
  <property fmtid="{D5CDD505-2E9C-101B-9397-08002B2CF9AE}" pid="13" name="xd_ProgID">
    <vt:lpwstr/>
  </property>
  <property fmtid="{D5CDD505-2E9C-101B-9397-08002B2CF9AE}" pid="14" name="DocumentSetDescription">
    <vt:lpwstr/>
  </property>
  <property fmtid="{D5CDD505-2E9C-101B-9397-08002B2CF9AE}" pid="15" name="_SourceUrl">
    <vt:lpwstr/>
  </property>
  <property fmtid="{D5CDD505-2E9C-101B-9397-08002B2CF9AE}" pid="16" name="Attachment">
    <vt:bool>false</vt:bool>
  </property>
  <property fmtid="{D5CDD505-2E9C-101B-9397-08002B2CF9AE}" pid="17" name="CC-Type">
    <vt:lpwstr/>
  </property>
  <property fmtid="{D5CDD505-2E9C-101B-9397-08002B2CF9AE}" pid="18" name="AgencyInvolvement">
    <vt:lpwstr/>
  </property>
  <property fmtid="{D5CDD505-2E9C-101B-9397-08002B2CF9AE}" pid="19" name="TrainingServices">
    <vt:lpwstr/>
  </property>
  <property fmtid="{D5CDD505-2E9C-101B-9397-08002B2CF9AE}" pid="20" name="TemplateUrl">
    <vt:lpwstr/>
  </property>
  <property fmtid="{D5CDD505-2E9C-101B-9397-08002B2CF9AE}" pid="21" name="Bcc-Type">
    <vt:lpwstr/>
  </property>
  <property fmtid="{D5CDD505-2E9C-101B-9397-08002B2CF9AE}" pid="22" name="CC">
    <vt:lpwstr/>
  </property>
  <property fmtid="{D5CDD505-2E9C-101B-9397-08002B2CF9AE}" pid="23" name="From-Address">
    <vt:lpwstr/>
  </property>
  <property fmtid="{D5CDD505-2E9C-101B-9397-08002B2CF9AE}" pid="24" name="From-Type">
    <vt:lpwstr/>
  </property>
  <property fmtid="{D5CDD505-2E9C-101B-9397-08002B2CF9AE}" pid="25" name="TaxationConcessions">
    <vt:lpwstr/>
  </property>
  <property fmtid="{D5CDD505-2E9C-101B-9397-08002B2CF9AE}" pid="26" name="To-Type">
    <vt:lpwstr/>
  </property>
  <property fmtid="{D5CDD505-2E9C-101B-9397-08002B2CF9AE}" pid="27" name="From-Name">
    <vt:lpwstr/>
  </property>
  <property fmtid="{D5CDD505-2E9C-101B-9397-08002B2CF9AE}" pid="28" name="To">
    <vt:lpwstr/>
  </property>
  <property fmtid="{D5CDD505-2E9C-101B-9397-08002B2CF9AE}" pid="29" name="Bcc">
    <vt:lpwstr/>
  </property>
  <property fmtid="{D5CDD505-2E9C-101B-9397-08002B2CF9AE}" pid="30" name="Bcc-Address">
    <vt:lpwstr/>
  </property>
  <property fmtid="{D5CDD505-2E9C-101B-9397-08002B2CF9AE}" pid="31" name="DLM">
    <vt:lpwstr/>
  </property>
  <property fmtid="{D5CDD505-2E9C-101B-9397-08002B2CF9AE}" pid="32" name="Conversation">
    <vt:lpwstr/>
  </property>
  <property fmtid="{D5CDD505-2E9C-101B-9397-08002B2CF9AE}" pid="33" name="To-Address">
    <vt:lpwstr/>
  </property>
  <property fmtid="{D5CDD505-2E9C-101B-9397-08002B2CF9AE}" pid="34" name="Tender">
    <vt:lpwstr/>
  </property>
  <property fmtid="{D5CDD505-2E9C-101B-9397-08002B2CF9AE}" pid="35" name="CC-Address">
    <vt:lpwstr/>
  </property>
  <property fmtid="{D5CDD505-2E9C-101B-9397-08002B2CF9AE}" pid="36" name="Section">
    <vt:lpwstr/>
  </property>
  <property fmtid="{D5CDD505-2E9C-101B-9397-08002B2CF9AE}" pid="37" name="Branch">
    <vt:lpwstr/>
  </property>
  <property fmtid="{D5CDD505-2E9C-101B-9397-08002B2CF9AE}" pid="38" name="Division">
    <vt:lpwstr/>
  </property>
  <property fmtid="{D5CDD505-2E9C-101B-9397-08002B2CF9AE}" pid="39" name="RecordPoint_ActiveItemMoved">
    <vt:lpwstr/>
  </property>
  <property fmtid="{D5CDD505-2E9C-101B-9397-08002B2CF9AE}" pid="40" name="MetadataSecurityLog">
    <vt:lpwstr/>
  </property>
  <property fmtid="{D5CDD505-2E9C-101B-9397-08002B2CF9AE}" pid="41" name="RecordPoint_WorkflowType">
    <vt:lpwstr>ActiveSubmitStub</vt:lpwstr>
  </property>
  <property fmtid="{D5CDD505-2E9C-101B-9397-08002B2CF9AE}" pid="42" name="RecordPoint_ActiveItemUniqueId">
    <vt:lpwstr>{212a038f-2621-46b5-ae10-b9e0acd24fec}</vt:lpwstr>
  </property>
  <property fmtid="{D5CDD505-2E9C-101B-9397-08002B2CF9AE}" pid="43" name="RecordPoint_SubmissionDate">
    <vt:lpwstr/>
  </property>
  <property fmtid="{D5CDD505-2E9C-101B-9397-08002B2CF9AE}" pid="44" name="RecordPoint_ActiveItemWebId">
    <vt:lpwstr>{5af92df4-ae3d-4772-abff-92e7cba13994}</vt:lpwstr>
  </property>
  <property fmtid="{D5CDD505-2E9C-101B-9397-08002B2CF9AE}" pid="45" name="RecordPoint_ActiveItemSiteId">
    <vt:lpwstr>{a8f0bc9d-7c61-4d87-8154-4194e40ae5d3}</vt:lpwstr>
  </property>
  <property fmtid="{D5CDD505-2E9C-101B-9397-08002B2CF9AE}" pid="46" name="RecordPoint_ActiveItemListId">
    <vt:lpwstr>{87b3920b-5344-4e5d-9d9b-ff842f0d3420}</vt:lpwstr>
  </property>
  <property fmtid="{D5CDD505-2E9C-101B-9397-08002B2CF9AE}" pid="47" name="RecordPoint_RecordFormat">
    <vt:lpwstr/>
  </property>
  <property fmtid="{D5CDD505-2E9C-101B-9397-08002B2CF9AE}" pid="48" name="RecordPoint_SubmissionCompleted">
    <vt:lpwstr>2015-05-12T12:48:05.0977483+10:00</vt:lpwstr>
  </property>
  <property fmtid="{D5CDD505-2E9C-101B-9397-08002B2CF9AE}" pid="49" name="IconOverlay">
    <vt:lpwstr/>
  </property>
  <property fmtid="{D5CDD505-2E9C-101B-9397-08002B2CF9AE}" pid="50" name="RecordPoint_RecordNumberSubmitted">
    <vt:lpwstr>000321721</vt:lpwstr>
  </property>
</Properties>
</file>