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C8F" w:rsidRDefault="00963C8F" w:rsidP="005459C8">
      <w:pPr>
        <w:spacing w:after="0"/>
        <w:ind w:hanging="1418"/>
        <w:jc w:val="left"/>
        <w:rPr>
          <w:rFonts w:ascii="Century Gothic" w:hAnsi="Century Gothic" w:cstheme="minorHAnsi"/>
          <w:b/>
          <w:color w:val="07601F"/>
          <w:sz w:val="44"/>
          <w:szCs w:val="44"/>
        </w:rPr>
      </w:pPr>
      <w:bookmarkStart w:id="0" w:name="_Toc382821590"/>
    </w:p>
    <w:p w:rsidR="00122785" w:rsidRDefault="00122785" w:rsidP="00122785">
      <w:pPr>
        <w:jc w:val="center"/>
        <w:rPr>
          <w:rFonts w:ascii="Century Gothic" w:hAnsi="Century Gothic" w:cstheme="minorHAnsi"/>
          <w:b/>
          <w:color w:val="07601F"/>
          <w:sz w:val="36"/>
          <w:szCs w:val="36"/>
        </w:rPr>
      </w:pPr>
    </w:p>
    <w:p w:rsidR="00122785" w:rsidRDefault="00122785" w:rsidP="00122785">
      <w:pPr>
        <w:jc w:val="center"/>
        <w:rPr>
          <w:rFonts w:ascii="Century Gothic" w:hAnsi="Century Gothic" w:cstheme="minorHAnsi"/>
          <w:b/>
          <w:color w:val="07601F"/>
          <w:sz w:val="36"/>
          <w:szCs w:val="36"/>
        </w:rPr>
      </w:pPr>
    </w:p>
    <w:p w:rsidR="00397306" w:rsidRDefault="00397306" w:rsidP="00122785">
      <w:pPr>
        <w:jc w:val="center"/>
        <w:rPr>
          <w:rFonts w:ascii="Century Gothic" w:hAnsi="Century Gothic" w:cstheme="minorHAnsi"/>
          <w:b/>
          <w:color w:val="07601F"/>
          <w:sz w:val="36"/>
          <w:szCs w:val="36"/>
        </w:rPr>
      </w:pPr>
      <w:r>
        <w:rPr>
          <w:rFonts w:ascii="Century Gothic" w:hAnsi="Century Gothic" w:cstheme="minorHAnsi"/>
          <w:b/>
          <w:color w:val="07601F"/>
          <w:sz w:val="36"/>
          <w:szCs w:val="36"/>
        </w:rPr>
        <w:t>Australian Government</w:t>
      </w:r>
    </w:p>
    <w:p w:rsidR="00122785" w:rsidRDefault="00122785" w:rsidP="00122785">
      <w:pPr>
        <w:jc w:val="center"/>
        <w:rPr>
          <w:rFonts w:ascii="Century Gothic" w:hAnsi="Century Gothic" w:cstheme="minorHAnsi"/>
          <w:b/>
          <w:color w:val="07601F"/>
          <w:sz w:val="36"/>
          <w:szCs w:val="36"/>
        </w:rPr>
      </w:pPr>
      <w:r>
        <w:rPr>
          <w:rFonts w:ascii="Century Gothic" w:hAnsi="Century Gothic" w:cstheme="minorHAnsi"/>
          <w:b/>
          <w:color w:val="07601F"/>
          <w:sz w:val="36"/>
          <w:szCs w:val="36"/>
        </w:rPr>
        <w:t>Commonwealth Environmental Water Office</w:t>
      </w:r>
    </w:p>
    <w:p w:rsidR="00122785" w:rsidRDefault="00122785" w:rsidP="00122785">
      <w:pPr>
        <w:jc w:val="center"/>
        <w:rPr>
          <w:rFonts w:ascii="Century Gothic" w:hAnsi="Century Gothic" w:cstheme="minorHAnsi"/>
          <w:b/>
          <w:color w:val="07601F"/>
          <w:sz w:val="36"/>
          <w:szCs w:val="36"/>
        </w:rPr>
      </w:pPr>
    </w:p>
    <w:p w:rsidR="00397306" w:rsidRDefault="00397306" w:rsidP="00397306">
      <w:pPr>
        <w:spacing w:before="40" w:after="40"/>
        <w:jc w:val="center"/>
        <w:rPr>
          <w:rFonts w:ascii="Century Gothic" w:hAnsi="Century Gothic"/>
          <w:b/>
          <w:color w:val="006600"/>
          <w:sz w:val="36"/>
          <w:szCs w:val="36"/>
        </w:rPr>
      </w:pPr>
      <w:r w:rsidRPr="00397306">
        <w:rPr>
          <w:rFonts w:ascii="Century Gothic" w:hAnsi="Century Gothic"/>
          <w:b/>
          <w:color w:val="006600"/>
          <w:sz w:val="36"/>
          <w:szCs w:val="36"/>
        </w:rPr>
        <w:t xml:space="preserve">Integrated planning for the use, carryover and trade of Commonwealth environmental water: </w:t>
      </w:r>
    </w:p>
    <w:p w:rsidR="00397306" w:rsidRDefault="00397306" w:rsidP="00397306">
      <w:pPr>
        <w:spacing w:before="40" w:after="40"/>
        <w:jc w:val="center"/>
        <w:rPr>
          <w:rFonts w:ascii="Century Gothic" w:hAnsi="Century Gothic"/>
          <w:b/>
          <w:color w:val="006600"/>
          <w:sz w:val="36"/>
          <w:szCs w:val="36"/>
        </w:rPr>
      </w:pPr>
      <w:r w:rsidRPr="00397306">
        <w:rPr>
          <w:rFonts w:ascii="Century Gothic" w:hAnsi="Century Gothic"/>
          <w:b/>
          <w:color w:val="006600"/>
          <w:sz w:val="36"/>
          <w:szCs w:val="36"/>
        </w:rPr>
        <w:t>Planning Approach</w:t>
      </w:r>
    </w:p>
    <w:p w:rsidR="005459C8" w:rsidRPr="00397306" w:rsidRDefault="00397306" w:rsidP="00397306">
      <w:pPr>
        <w:spacing w:before="40" w:after="40"/>
        <w:jc w:val="center"/>
        <w:rPr>
          <w:rFonts w:ascii="Century Gothic" w:hAnsi="Century Gothic"/>
          <w:b/>
          <w:color w:val="006600"/>
          <w:sz w:val="36"/>
          <w:szCs w:val="36"/>
        </w:rPr>
        <w:sectPr w:rsidR="005459C8" w:rsidRPr="00397306" w:rsidSect="005459C8">
          <w:headerReference w:type="even" r:id="rId11"/>
          <w:footerReference w:type="default" r:id="rId12"/>
          <w:footerReference w:type="first" r:id="rId13"/>
          <w:pgSz w:w="11906" w:h="16838"/>
          <w:pgMar w:top="0" w:right="1276" w:bottom="567" w:left="1418" w:header="425" w:footer="425" w:gutter="0"/>
          <w:pgNumType w:start="1"/>
          <w:cols w:space="708"/>
          <w:titlePg/>
          <w:docGrid w:linePitch="360"/>
        </w:sectPr>
      </w:pPr>
      <w:r w:rsidRPr="00397306">
        <w:rPr>
          <w:rFonts w:ascii="Century Gothic" w:hAnsi="Century Gothic"/>
          <w:b/>
          <w:color w:val="006600"/>
          <w:sz w:val="36"/>
          <w:szCs w:val="36"/>
        </w:rPr>
        <w:t>2015–16</w:t>
      </w:r>
    </w:p>
    <w:p w:rsidR="00D86706" w:rsidRPr="00D86706" w:rsidRDefault="005459C8" w:rsidP="00D86706">
      <w:pPr>
        <w:spacing w:before="40" w:after="40"/>
        <w:rPr>
          <w:rFonts w:ascii="Century Gothic" w:hAnsi="Century Gothic"/>
          <w:color w:val="5F497A" w:themeColor="accent4" w:themeShade="BF"/>
        </w:rPr>
      </w:pPr>
      <w:r>
        <w:rPr>
          <w:rFonts w:ascii="Century Gothic" w:hAnsi="Century Gothic"/>
          <w:color w:val="5F497A" w:themeColor="accent4" w:themeShade="BF"/>
        </w:rPr>
        <w:lastRenderedPageBreak/>
        <w:t>F</w:t>
      </w:r>
      <w:r w:rsidR="00D86706" w:rsidRPr="00B878DA">
        <w:rPr>
          <w:rFonts w:ascii="Century Gothic" w:hAnsi="Century Gothic"/>
          <w:color w:val="5F497A" w:themeColor="accent4" w:themeShade="BF"/>
        </w:rPr>
        <w:t>ront c</w:t>
      </w:r>
      <w:r w:rsidR="00D86706" w:rsidRPr="00E25185">
        <w:rPr>
          <w:rFonts w:ascii="Century Gothic" w:hAnsi="Century Gothic"/>
          <w:color w:val="5F497A" w:themeColor="accent4" w:themeShade="BF"/>
        </w:rPr>
        <w:t>over image credit:</w:t>
      </w:r>
      <w:r w:rsidR="00D86706">
        <w:rPr>
          <w:rFonts w:ascii="Century Gothic" w:hAnsi="Century Gothic"/>
          <w:color w:val="5F497A" w:themeColor="accent4" w:themeShade="BF"/>
        </w:rPr>
        <w:t xml:space="preserve"> </w:t>
      </w:r>
      <w:r w:rsidR="001D5634">
        <w:rPr>
          <w:rFonts w:ascii="Century Gothic" w:hAnsi="Century Gothic"/>
          <w:color w:val="5F497A" w:themeColor="accent4" w:themeShade="BF"/>
        </w:rPr>
        <w:t xml:space="preserve">Macquarie Turtle Hatchling </w:t>
      </w:r>
    </w:p>
    <w:p w:rsidR="00D86706" w:rsidRPr="00D86706" w:rsidRDefault="00D86706" w:rsidP="00D86706">
      <w:pPr>
        <w:spacing w:before="40" w:after="40"/>
        <w:rPr>
          <w:rFonts w:ascii="Century Gothic" w:hAnsi="Century Gothic"/>
          <w:color w:val="5F497A" w:themeColor="accent4" w:themeShade="BF"/>
        </w:rPr>
      </w:pPr>
      <w:r w:rsidRPr="00B878DA">
        <w:rPr>
          <w:rFonts w:ascii="Century Gothic" w:hAnsi="Century Gothic"/>
          <w:color w:val="5F497A" w:themeColor="accent4" w:themeShade="BF"/>
        </w:rPr>
        <w:t xml:space="preserve">© </w:t>
      </w:r>
      <w:r w:rsidR="001D5634">
        <w:rPr>
          <w:rFonts w:ascii="Century Gothic" w:hAnsi="Century Gothic"/>
          <w:color w:val="5F497A" w:themeColor="accent4" w:themeShade="BF"/>
        </w:rPr>
        <w:t>Charles Sturt University</w:t>
      </w:r>
    </w:p>
    <w:p w:rsidR="00D86706" w:rsidRDefault="00D86706" w:rsidP="00D86706">
      <w:pPr>
        <w:spacing w:before="40" w:after="40"/>
        <w:rPr>
          <w:rFonts w:ascii="Century Gothic" w:hAnsi="Century Gothic"/>
          <w:color w:val="5F497A" w:themeColor="accent4" w:themeShade="BF"/>
        </w:rPr>
      </w:pPr>
    </w:p>
    <w:p w:rsidR="00D86706" w:rsidRPr="00D86706" w:rsidRDefault="00D86706" w:rsidP="00D86706">
      <w:pPr>
        <w:spacing w:before="40" w:after="40"/>
        <w:rPr>
          <w:rFonts w:ascii="Century Gothic" w:hAnsi="Century Gothic"/>
          <w:color w:val="5F497A" w:themeColor="accent4" w:themeShade="BF"/>
        </w:rPr>
      </w:pPr>
      <w:r>
        <w:rPr>
          <w:rFonts w:ascii="Century Gothic" w:hAnsi="Century Gothic"/>
          <w:color w:val="5F497A" w:themeColor="accent4" w:themeShade="BF"/>
        </w:rPr>
        <w:t xml:space="preserve">Back cover image credit: </w:t>
      </w:r>
      <w:r w:rsidRPr="00D86706">
        <w:rPr>
          <w:rFonts w:ascii="Century Gothic" w:hAnsi="Century Gothic"/>
          <w:color w:val="5F497A" w:themeColor="accent4" w:themeShade="BF"/>
        </w:rPr>
        <w:t>Edward River at Deniliquin</w:t>
      </w:r>
    </w:p>
    <w:p w:rsidR="00D86706" w:rsidRPr="00B878DA" w:rsidRDefault="00D86706" w:rsidP="00D86706">
      <w:pPr>
        <w:rPr>
          <w:rFonts w:ascii="Century Gothic" w:hAnsi="Century Gothic"/>
          <w:color w:val="5F497A" w:themeColor="accent4" w:themeShade="BF"/>
        </w:rPr>
      </w:pPr>
      <w:r w:rsidRPr="00B878DA">
        <w:rPr>
          <w:rFonts w:ascii="Century Gothic" w:hAnsi="Century Gothic"/>
          <w:color w:val="5F497A" w:themeColor="accent4" w:themeShade="BF"/>
        </w:rPr>
        <w:t xml:space="preserve">© </w:t>
      </w:r>
      <w:r w:rsidRPr="00733AAE">
        <w:rPr>
          <w:rFonts w:ascii="Century Gothic" w:hAnsi="Century Gothic"/>
          <w:color w:val="5F497A" w:themeColor="accent4" w:themeShade="BF"/>
        </w:rPr>
        <w:t>Commonwealth Environmental Water Office</w:t>
      </w:r>
    </w:p>
    <w:p w:rsidR="00963C8F" w:rsidRPr="00FC6370" w:rsidRDefault="00963C8F" w:rsidP="00963C8F">
      <w:pPr>
        <w:rPr>
          <w:rFonts w:ascii="Century Gothic" w:hAnsi="Century Gothic"/>
        </w:rPr>
      </w:pPr>
    </w:p>
    <w:p w:rsidR="00963C8F" w:rsidRPr="00FC6370" w:rsidRDefault="00963C8F" w:rsidP="00963C8F">
      <w:pPr>
        <w:rPr>
          <w:rFonts w:ascii="Century Gothic" w:hAnsi="Century Gothic"/>
        </w:rPr>
      </w:pPr>
    </w:p>
    <w:p w:rsidR="00963C8F" w:rsidRPr="00FC6370" w:rsidRDefault="00963C8F" w:rsidP="00963C8F">
      <w:pPr>
        <w:rPr>
          <w:rFonts w:ascii="Century Gothic" w:hAnsi="Century Gothic"/>
        </w:rPr>
      </w:pPr>
    </w:p>
    <w:p w:rsidR="00963C8F" w:rsidRPr="00FC6370" w:rsidRDefault="00963C8F" w:rsidP="00963C8F">
      <w:pPr>
        <w:rPr>
          <w:rFonts w:ascii="Century Gothic" w:hAnsi="Century Gothic"/>
        </w:rPr>
      </w:pPr>
    </w:p>
    <w:p w:rsidR="00963C8F" w:rsidRPr="00FC6370" w:rsidRDefault="00963C8F" w:rsidP="00963C8F">
      <w:pPr>
        <w:rPr>
          <w:rFonts w:ascii="Century Gothic" w:hAnsi="Century Gothic"/>
        </w:rPr>
      </w:pPr>
    </w:p>
    <w:p w:rsidR="00963C8F" w:rsidRPr="00FC6370" w:rsidRDefault="00963C8F" w:rsidP="00963C8F">
      <w:pPr>
        <w:rPr>
          <w:rFonts w:ascii="Century Gothic" w:hAnsi="Century Gothic"/>
        </w:rPr>
      </w:pPr>
    </w:p>
    <w:p w:rsidR="00963C8F" w:rsidRPr="00FC6370" w:rsidRDefault="00963C8F" w:rsidP="00963C8F">
      <w:pPr>
        <w:rPr>
          <w:rFonts w:ascii="Century Gothic" w:hAnsi="Century Gothic"/>
          <w:b/>
          <w:color w:val="5F497A" w:themeColor="accent4" w:themeShade="BF"/>
          <w:sz w:val="24"/>
          <w:szCs w:val="24"/>
        </w:rPr>
      </w:pPr>
      <w:r w:rsidRPr="00FC6370">
        <w:rPr>
          <w:rFonts w:ascii="Century Gothic" w:hAnsi="Century Gothic"/>
          <w:b/>
          <w:color w:val="5F497A" w:themeColor="accent4" w:themeShade="BF"/>
          <w:sz w:val="24"/>
          <w:szCs w:val="24"/>
        </w:rPr>
        <w:t xml:space="preserve">Acknowledgement of the </w:t>
      </w:r>
      <w:r>
        <w:rPr>
          <w:rFonts w:ascii="Century Gothic" w:hAnsi="Century Gothic"/>
          <w:b/>
          <w:color w:val="5F497A" w:themeColor="accent4" w:themeShade="BF"/>
          <w:sz w:val="24"/>
          <w:szCs w:val="24"/>
        </w:rPr>
        <w:t>t</w:t>
      </w:r>
      <w:r w:rsidRPr="00FC6370">
        <w:rPr>
          <w:rFonts w:ascii="Century Gothic" w:hAnsi="Century Gothic"/>
          <w:b/>
          <w:color w:val="5F497A" w:themeColor="accent4" w:themeShade="BF"/>
          <w:sz w:val="24"/>
          <w:szCs w:val="24"/>
        </w:rPr>
        <w:t xml:space="preserve">raditional </w:t>
      </w:r>
      <w:r>
        <w:rPr>
          <w:rFonts w:ascii="Century Gothic" w:hAnsi="Century Gothic"/>
          <w:b/>
          <w:color w:val="5F497A" w:themeColor="accent4" w:themeShade="BF"/>
          <w:sz w:val="24"/>
          <w:szCs w:val="24"/>
        </w:rPr>
        <w:t>o</w:t>
      </w:r>
      <w:r w:rsidRPr="00FC6370">
        <w:rPr>
          <w:rFonts w:ascii="Century Gothic" w:hAnsi="Century Gothic"/>
          <w:b/>
          <w:color w:val="5F497A" w:themeColor="accent4" w:themeShade="BF"/>
          <w:sz w:val="24"/>
          <w:szCs w:val="24"/>
        </w:rPr>
        <w:t>wners of the Murray</w:t>
      </w:r>
      <w:r>
        <w:rPr>
          <w:rFonts w:ascii="Century Gothic" w:hAnsi="Century Gothic"/>
          <w:b/>
          <w:color w:val="5F497A" w:themeColor="accent4" w:themeShade="BF"/>
          <w:sz w:val="24"/>
          <w:szCs w:val="24"/>
        </w:rPr>
        <w:t>-</w:t>
      </w:r>
      <w:r w:rsidRPr="00FC6370">
        <w:rPr>
          <w:rFonts w:ascii="Century Gothic" w:hAnsi="Century Gothic"/>
          <w:b/>
          <w:color w:val="5F497A" w:themeColor="accent4" w:themeShade="BF"/>
          <w:sz w:val="24"/>
          <w:szCs w:val="24"/>
        </w:rPr>
        <w:t>Darling Basin</w:t>
      </w:r>
    </w:p>
    <w:p w:rsidR="00963C8F" w:rsidRPr="00FC6370" w:rsidRDefault="00963C8F" w:rsidP="00963C8F">
      <w:pPr>
        <w:jc w:val="left"/>
        <w:rPr>
          <w:rFonts w:ascii="Century Gothic" w:hAnsi="Century Gothic"/>
        </w:rPr>
      </w:pPr>
      <w:r w:rsidRPr="00FC6370">
        <w:rPr>
          <w:rFonts w:ascii="Century Gothic" w:hAnsi="Century Gothic" w:cs="Century Gothic"/>
          <w:color w:val="000000"/>
        </w:rPr>
        <w:t>The Commonwealth Environmental Water Office respectfully acknowledge</w:t>
      </w:r>
      <w:r>
        <w:rPr>
          <w:rFonts w:ascii="Century Gothic" w:hAnsi="Century Gothic" w:cs="Century Gothic"/>
          <w:color w:val="000000"/>
        </w:rPr>
        <w:t>s</w:t>
      </w:r>
      <w:r w:rsidRPr="00FC6370">
        <w:rPr>
          <w:rFonts w:ascii="Century Gothic" w:hAnsi="Century Gothic" w:cs="Century Gothic"/>
          <w:color w:val="000000"/>
        </w:rPr>
        <w:t xml:space="preserve"> the </w:t>
      </w:r>
      <w:r>
        <w:rPr>
          <w:rFonts w:ascii="Century Gothic" w:hAnsi="Century Gothic" w:cs="Century Gothic"/>
          <w:color w:val="000000"/>
        </w:rPr>
        <w:t>t</w:t>
      </w:r>
      <w:r w:rsidRPr="00FC6370">
        <w:rPr>
          <w:rFonts w:ascii="Century Gothic" w:hAnsi="Century Gothic" w:cs="Century Gothic"/>
          <w:color w:val="000000"/>
        </w:rPr>
        <w:t xml:space="preserve">raditional </w:t>
      </w:r>
      <w:r>
        <w:rPr>
          <w:rFonts w:ascii="Century Gothic" w:hAnsi="Century Gothic" w:cs="Century Gothic"/>
          <w:color w:val="000000"/>
        </w:rPr>
        <w:t>o</w:t>
      </w:r>
      <w:r w:rsidRPr="00FC6370">
        <w:rPr>
          <w:rFonts w:ascii="Century Gothic" w:hAnsi="Century Gothic" w:cs="Century Gothic"/>
          <w:color w:val="000000"/>
        </w:rPr>
        <w:t>wners, their Elders past and present, their Nations of the Murray</w:t>
      </w:r>
      <w:r>
        <w:rPr>
          <w:rFonts w:ascii="Century Gothic" w:hAnsi="Century Gothic" w:cs="Century Gothic"/>
          <w:color w:val="000000"/>
        </w:rPr>
        <w:t>-</w:t>
      </w:r>
      <w:r w:rsidRPr="00FC6370">
        <w:rPr>
          <w:rFonts w:ascii="Century Gothic" w:hAnsi="Century Gothic" w:cs="Century Gothic"/>
          <w:color w:val="000000"/>
        </w:rPr>
        <w:t>Darling Basin, and their cultural, social, environmental, spiritual and economic connection to their lands and waters.</w:t>
      </w:r>
    </w:p>
    <w:p w:rsidR="00963C8F" w:rsidRPr="00FC6370" w:rsidRDefault="00963C8F" w:rsidP="00963C8F">
      <w:pPr>
        <w:rPr>
          <w:rFonts w:ascii="Century Gothic" w:hAnsi="Century Gothic"/>
        </w:rPr>
      </w:pPr>
    </w:p>
    <w:p w:rsidR="00963C8F" w:rsidRPr="00FC6370" w:rsidRDefault="00963C8F" w:rsidP="00963C8F">
      <w:pPr>
        <w:rPr>
          <w:rFonts w:ascii="Century Gothic" w:hAnsi="Century Gothic"/>
        </w:rPr>
      </w:pPr>
    </w:p>
    <w:p w:rsidR="00963C8F" w:rsidRPr="00FC6370" w:rsidRDefault="00963C8F" w:rsidP="00963C8F">
      <w:pPr>
        <w:rPr>
          <w:rFonts w:ascii="Century Gothic" w:hAnsi="Century Gothic"/>
        </w:rPr>
      </w:pPr>
    </w:p>
    <w:p w:rsidR="00963C8F" w:rsidRPr="00FC6370" w:rsidRDefault="00963C8F" w:rsidP="00963C8F">
      <w:pPr>
        <w:rPr>
          <w:rFonts w:ascii="Century Gothic" w:hAnsi="Century Gothic"/>
        </w:rPr>
      </w:pPr>
    </w:p>
    <w:p w:rsidR="00963C8F" w:rsidRPr="00FC6370" w:rsidRDefault="00963C8F" w:rsidP="00963C8F">
      <w:pPr>
        <w:rPr>
          <w:rFonts w:ascii="Century Gothic" w:hAnsi="Century Gothic"/>
        </w:rPr>
      </w:pPr>
    </w:p>
    <w:p w:rsidR="00963C8F" w:rsidRPr="00FC6370" w:rsidRDefault="00963C8F" w:rsidP="00963C8F">
      <w:pPr>
        <w:rPr>
          <w:rFonts w:ascii="Century Gothic" w:hAnsi="Century Gothic"/>
        </w:rPr>
      </w:pPr>
    </w:p>
    <w:p w:rsidR="00963C8F" w:rsidRPr="00FC6370" w:rsidRDefault="00963C8F" w:rsidP="00963C8F">
      <w:pPr>
        <w:rPr>
          <w:rFonts w:ascii="Century Gothic" w:hAnsi="Century Gothic"/>
        </w:rPr>
      </w:pPr>
    </w:p>
    <w:p w:rsidR="00963C8F" w:rsidRPr="00E424D8" w:rsidRDefault="00963C8F" w:rsidP="00963C8F">
      <w:pPr>
        <w:spacing w:after="0"/>
        <w:jc w:val="left"/>
        <w:rPr>
          <w:rFonts w:ascii="Century Gothic" w:hAnsi="Century Gothic"/>
          <w:color w:val="414142"/>
          <w:sz w:val="16"/>
          <w:szCs w:val="16"/>
        </w:rPr>
      </w:pPr>
      <w:r w:rsidRPr="00E424D8">
        <w:rPr>
          <w:rFonts w:ascii="Century Gothic" w:hAnsi="Century Gothic"/>
          <w:color w:val="414142"/>
          <w:sz w:val="16"/>
          <w:szCs w:val="16"/>
        </w:rPr>
        <w:t>© Copyright Commonwealth of Australia, 201</w:t>
      </w:r>
      <w:r>
        <w:rPr>
          <w:rFonts w:ascii="Century Gothic" w:hAnsi="Century Gothic"/>
          <w:color w:val="414142"/>
          <w:sz w:val="16"/>
          <w:szCs w:val="16"/>
        </w:rPr>
        <w:t>5</w:t>
      </w:r>
      <w:r w:rsidRPr="00E424D8">
        <w:rPr>
          <w:rFonts w:ascii="Century Gothic" w:hAnsi="Century Gothic"/>
          <w:color w:val="414142"/>
          <w:sz w:val="16"/>
          <w:szCs w:val="16"/>
        </w:rPr>
        <w:t>.</w:t>
      </w:r>
    </w:p>
    <w:p w:rsidR="00963C8F" w:rsidRPr="00E424D8" w:rsidRDefault="00963C8F" w:rsidP="00963C8F">
      <w:pPr>
        <w:spacing w:after="0"/>
        <w:jc w:val="left"/>
        <w:rPr>
          <w:rFonts w:ascii="Century Gothic" w:hAnsi="Century Gothic"/>
          <w:color w:val="414142"/>
          <w:sz w:val="16"/>
          <w:szCs w:val="16"/>
        </w:rPr>
      </w:pPr>
    </w:p>
    <w:p w:rsidR="00963C8F" w:rsidRDefault="00963C8F" w:rsidP="00963C8F">
      <w:pPr>
        <w:spacing w:after="0"/>
        <w:jc w:val="left"/>
        <w:rPr>
          <w:rFonts w:ascii="Century Gothic" w:hAnsi="Century Gothic"/>
          <w:color w:val="414142"/>
          <w:sz w:val="16"/>
          <w:szCs w:val="16"/>
        </w:rPr>
      </w:pPr>
      <w:r>
        <w:rPr>
          <w:rFonts w:ascii="Century Gothic" w:hAnsi="Century Gothic"/>
          <w:noProof/>
          <w:color w:val="414142"/>
          <w:sz w:val="16"/>
          <w:szCs w:val="16"/>
        </w:rPr>
        <w:drawing>
          <wp:inline distT="0" distB="0" distL="0" distR="0">
            <wp:extent cx="1809750" cy="523875"/>
            <wp:effectExtent l="19050" t="0" r="0" b="0"/>
            <wp:docPr id="10"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4" cstate="screen"/>
                    <a:srcRect/>
                    <a:stretch>
                      <a:fillRect/>
                    </a:stretch>
                  </pic:blipFill>
                  <pic:spPr bwMode="auto">
                    <a:xfrm>
                      <a:off x="0" y="0"/>
                      <a:ext cx="1809750" cy="523875"/>
                    </a:xfrm>
                    <a:prstGeom prst="rect">
                      <a:avLst/>
                    </a:prstGeom>
                    <a:noFill/>
                    <a:ln w="9525">
                      <a:noFill/>
                      <a:miter lim="800000"/>
                      <a:headEnd/>
                      <a:tailEnd/>
                    </a:ln>
                  </pic:spPr>
                </pic:pic>
              </a:graphicData>
            </a:graphic>
          </wp:inline>
        </w:drawing>
      </w:r>
    </w:p>
    <w:p w:rsidR="00963C8F" w:rsidRPr="00E424D8" w:rsidRDefault="00963C8F" w:rsidP="00963C8F">
      <w:pPr>
        <w:spacing w:after="0"/>
        <w:jc w:val="left"/>
        <w:rPr>
          <w:rFonts w:ascii="Century Gothic" w:hAnsi="Century Gothic"/>
          <w:color w:val="414142"/>
          <w:sz w:val="16"/>
          <w:szCs w:val="16"/>
        </w:rPr>
      </w:pPr>
    </w:p>
    <w:p w:rsidR="00963C8F" w:rsidRPr="00F7641F" w:rsidRDefault="00963C8F" w:rsidP="00963C8F">
      <w:pPr>
        <w:spacing w:after="0"/>
        <w:jc w:val="left"/>
        <w:rPr>
          <w:rFonts w:ascii="Century Gothic" w:hAnsi="Century Gothic"/>
          <w:color w:val="414142"/>
          <w:sz w:val="16"/>
          <w:szCs w:val="16"/>
        </w:rPr>
      </w:pPr>
      <w:bookmarkStart w:id="1" w:name="OLE_LINK1"/>
      <w:bookmarkStart w:id="2" w:name="OLE_LINK2"/>
      <w:r w:rsidRPr="00F7641F">
        <w:rPr>
          <w:rFonts w:ascii="Century Gothic" w:hAnsi="Century Gothic"/>
          <w:color w:val="414142"/>
          <w:sz w:val="16"/>
          <w:szCs w:val="16"/>
        </w:rPr>
        <w:t xml:space="preserve">Integrated planning for the use, carryover and trade of Commonwealth environmental water: </w:t>
      </w:r>
      <w:r w:rsidR="00D86706">
        <w:rPr>
          <w:rFonts w:ascii="Century Gothic" w:hAnsi="Century Gothic"/>
          <w:color w:val="414142"/>
          <w:sz w:val="16"/>
          <w:szCs w:val="16"/>
        </w:rPr>
        <w:t>Planning Approach</w:t>
      </w:r>
      <w:r>
        <w:rPr>
          <w:rFonts w:ascii="Century Gothic" w:hAnsi="Century Gothic"/>
          <w:color w:val="414142"/>
          <w:sz w:val="16"/>
          <w:szCs w:val="16"/>
        </w:rPr>
        <w:t xml:space="preserve"> </w:t>
      </w:r>
      <w:r w:rsidRPr="00F7641F">
        <w:rPr>
          <w:rFonts w:ascii="Century Gothic" w:hAnsi="Century Gothic"/>
          <w:color w:val="414142"/>
          <w:sz w:val="16"/>
          <w:szCs w:val="16"/>
        </w:rPr>
        <w:t>2015–16</w:t>
      </w:r>
      <w:bookmarkEnd w:id="1"/>
      <w:bookmarkEnd w:id="2"/>
      <w:r w:rsidRPr="00F7641F">
        <w:rPr>
          <w:rFonts w:ascii="Century Gothic" w:hAnsi="Century Gothic"/>
          <w:color w:val="414142"/>
          <w:sz w:val="16"/>
          <w:szCs w:val="16"/>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5" w:history="1">
        <w:r w:rsidRPr="00F7641F">
          <w:rPr>
            <w:rFonts w:ascii="Century Gothic" w:hAnsi="Century Gothic"/>
            <w:color w:val="414142"/>
            <w:sz w:val="16"/>
            <w:szCs w:val="16"/>
          </w:rPr>
          <w:t>http://creativecommons.org/licenses/by/3.0/au/</w:t>
        </w:r>
      </w:hyperlink>
      <w:r w:rsidRPr="00F7641F">
        <w:rPr>
          <w:rFonts w:ascii="Century Gothic" w:hAnsi="Century Gothic"/>
          <w:color w:val="414142"/>
          <w:sz w:val="16"/>
          <w:szCs w:val="16"/>
        </w:rPr>
        <w:t xml:space="preserve"> </w:t>
      </w:r>
    </w:p>
    <w:p w:rsidR="00963C8F" w:rsidRPr="00F7641F" w:rsidRDefault="00963C8F" w:rsidP="00963C8F">
      <w:pPr>
        <w:spacing w:after="0"/>
        <w:jc w:val="left"/>
        <w:rPr>
          <w:rFonts w:ascii="Century Gothic" w:hAnsi="Century Gothic"/>
          <w:color w:val="414142"/>
          <w:sz w:val="16"/>
          <w:szCs w:val="16"/>
        </w:rPr>
      </w:pPr>
    </w:p>
    <w:p w:rsidR="00963C8F" w:rsidRDefault="00963C8F" w:rsidP="00963C8F">
      <w:pPr>
        <w:spacing w:after="0"/>
        <w:jc w:val="left"/>
        <w:rPr>
          <w:rFonts w:ascii="Century Gothic" w:hAnsi="Century Gothic"/>
          <w:color w:val="414142"/>
          <w:sz w:val="16"/>
          <w:szCs w:val="16"/>
        </w:rPr>
      </w:pPr>
      <w:r w:rsidRPr="00F7641F">
        <w:rPr>
          <w:rFonts w:ascii="Century Gothic" w:hAnsi="Century Gothic"/>
          <w:color w:val="414142"/>
          <w:sz w:val="16"/>
          <w:szCs w:val="16"/>
        </w:rPr>
        <w:t>This report should be attributed as ‘</w:t>
      </w:r>
      <w:proofErr w:type="gramStart"/>
      <w:r w:rsidRPr="00F7641F">
        <w:rPr>
          <w:rFonts w:ascii="Century Gothic" w:hAnsi="Century Gothic"/>
          <w:color w:val="414142"/>
          <w:sz w:val="16"/>
          <w:szCs w:val="16"/>
        </w:rPr>
        <w:t>Integrated</w:t>
      </w:r>
      <w:proofErr w:type="gramEnd"/>
      <w:r w:rsidRPr="00F7641F">
        <w:rPr>
          <w:rFonts w:ascii="Century Gothic" w:hAnsi="Century Gothic"/>
          <w:color w:val="414142"/>
          <w:sz w:val="16"/>
          <w:szCs w:val="16"/>
        </w:rPr>
        <w:t xml:space="preserve"> planning for the use, carryover and trade of Commonwealth environmental water: </w:t>
      </w:r>
      <w:r w:rsidR="00623152">
        <w:rPr>
          <w:rFonts w:ascii="Century Gothic" w:hAnsi="Century Gothic"/>
          <w:color w:val="414142"/>
          <w:sz w:val="16"/>
          <w:szCs w:val="16"/>
        </w:rPr>
        <w:t>Planning Approach</w:t>
      </w:r>
      <w:r>
        <w:rPr>
          <w:rFonts w:ascii="Century Gothic" w:hAnsi="Century Gothic"/>
          <w:color w:val="414142"/>
          <w:sz w:val="16"/>
          <w:szCs w:val="16"/>
        </w:rPr>
        <w:t xml:space="preserve"> </w:t>
      </w:r>
      <w:r w:rsidRPr="00F7641F">
        <w:rPr>
          <w:rFonts w:ascii="Century Gothic" w:hAnsi="Century Gothic"/>
          <w:color w:val="414142"/>
          <w:sz w:val="16"/>
          <w:szCs w:val="16"/>
        </w:rPr>
        <w:t>2015–16, Commonwealth of Australia 2015’.</w:t>
      </w:r>
    </w:p>
    <w:p w:rsidR="00963C8F" w:rsidRPr="00E424D8" w:rsidRDefault="00963C8F" w:rsidP="00963C8F">
      <w:pPr>
        <w:spacing w:after="0"/>
        <w:jc w:val="left"/>
        <w:rPr>
          <w:rFonts w:ascii="Century Gothic" w:hAnsi="Century Gothic"/>
          <w:color w:val="414142"/>
          <w:sz w:val="16"/>
          <w:szCs w:val="16"/>
        </w:rPr>
      </w:pPr>
    </w:p>
    <w:p w:rsidR="00963C8F" w:rsidRPr="00EF3350" w:rsidRDefault="00963C8F" w:rsidP="00963C8F">
      <w:pPr>
        <w:spacing w:after="0"/>
        <w:jc w:val="left"/>
        <w:rPr>
          <w:rFonts w:ascii="Century Gothic" w:hAnsi="Century Gothic"/>
          <w:color w:val="414142"/>
          <w:sz w:val="16"/>
          <w:szCs w:val="16"/>
        </w:rPr>
      </w:pPr>
      <w:r w:rsidRPr="00EF7FD6">
        <w:rPr>
          <w:rFonts w:ascii="Century Gothic" w:hAnsi="Century Gothic"/>
          <w:color w:val="414142"/>
          <w:sz w:val="16"/>
          <w:szCs w:val="16"/>
        </w:rPr>
        <w:t xml:space="preserve">The views and opinions expressed in this publication are those of the authors and do not necessarily reflect those of the Australian Government or the Minister for </w:t>
      </w:r>
      <w:r>
        <w:rPr>
          <w:rFonts w:ascii="Century Gothic" w:hAnsi="Century Gothic"/>
          <w:color w:val="414142"/>
          <w:sz w:val="16"/>
          <w:szCs w:val="16"/>
        </w:rPr>
        <w:t>the</w:t>
      </w:r>
      <w:r w:rsidRPr="00EF7FD6">
        <w:rPr>
          <w:rFonts w:ascii="Century Gothic" w:hAnsi="Century Gothic"/>
          <w:color w:val="414142"/>
          <w:sz w:val="16"/>
          <w:szCs w:val="16"/>
        </w:rPr>
        <w:t xml:space="preserv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963C8F" w:rsidRPr="00FC6370" w:rsidRDefault="00963C8F" w:rsidP="00963C8F">
      <w:pPr>
        <w:rPr>
          <w:rFonts w:ascii="Century Gothic" w:hAnsi="Century Gothic"/>
        </w:rPr>
      </w:pPr>
    </w:p>
    <w:p w:rsidR="009C5A51" w:rsidRDefault="00963C8F">
      <w:pPr>
        <w:spacing w:after="0"/>
        <w:jc w:val="left"/>
        <w:rPr>
          <w:rFonts w:cs="Arial"/>
          <w:b/>
          <w:caps/>
          <w:noProof/>
        </w:rPr>
      </w:pPr>
      <w:r>
        <w:rPr>
          <w:noProof/>
        </w:rPr>
        <w:br w:type="column"/>
      </w:r>
    </w:p>
    <w:bookmarkEnd w:id="0" w:displacedByCustomXml="next"/>
    <w:bookmarkStart w:id="3" w:name="_Toc382821591" w:displacedByCustomXml="next"/>
    <w:sdt>
      <w:sdtPr>
        <w:rPr>
          <w:rFonts w:ascii="Calibri" w:eastAsia="Times New Roman" w:hAnsi="Calibri" w:cs="Times New Roman"/>
          <w:b w:val="0"/>
          <w:bCs w:val="0"/>
          <w:color w:val="auto"/>
          <w:sz w:val="20"/>
          <w:szCs w:val="20"/>
          <w:lang w:val="en-AU" w:eastAsia="en-AU"/>
        </w:rPr>
        <w:id w:val="44911038"/>
        <w:docPartObj>
          <w:docPartGallery w:val="Table of Contents"/>
          <w:docPartUnique/>
        </w:docPartObj>
      </w:sdtPr>
      <w:sdtContent>
        <w:p w:rsidR="00963C8F" w:rsidRDefault="00963C8F" w:rsidP="003C7B4D">
          <w:pPr>
            <w:pStyle w:val="TOCHeading"/>
            <w:numPr>
              <w:ilvl w:val="0"/>
              <w:numId w:val="0"/>
            </w:numPr>
            <w:ind w:left="360" w:hanging="360"/>
          </w:pPr>
          <w:r w:rsidRPr="003C7B4D">
            <w:rPr>
              <w:rFonts w:ascii="Calibri" w:eastAsia="Times New Roman" w:hAnsi="Calibri" w:cs="Times New Roman"/>
              <w:bCs w:val="0"/>
              <w:color w:val="5F497A" w:themeColor="accent4" w:themeShade="BF"/>
              <w:sz w:val="48"/>
              <w:szCs w:val="48"/>
              <w:lang w:val="en-GB"/>
            </w:rPr>
            <w:t>Contents</w:t>
          </w:r>
        </w:p>
        <w:p w:rsidR="00EC5E9F" w:rsidRPr="005F3554" w:rsidRDefault="00D44173">
          <w:pPr>
            <w:pStyle w:val="TOC1"/>
            <w:tabs>
              <w:tab w:val="left" w:pos="400"/>
              <w:tab w:val="right" w:leader="dot" w:pos="9202"/>
            </w:tabs>
            <w:rPr>
              <w:rFonts w:ascii="Century Gothic" w:eastAsiaTheme="minorEastAsia" w:hAnsi="Century Gothic" w:cstheme="minorBidi"/>
              <w:noProof/>
              <w:sz w:val="22"/>
              <w:szCs w:val="22"/>
            </w:rPr>
          </w:pPr>
          <w:r>
            <w:fldChar w:fldCharType="begin"/>
          </w:r>
          <w:r w:rsidR="00963C8F">
            <w:instrText xml:space="preserve"> TOC \o "1-3" \h \z \u </w:instrText>
          </w:r>
          <w:r>
            <w:fldChar w:fldCharType="separate"/>
          </w:r>
          <w:hyperlink w:anchor="_Toc422389600" w:history="1">
            <w:r w:rsidR="00EC5E9F" w:rsidRPr="005F3554">
              <w:rPr>
                <w:rStyle w:val="Hyperlink"/>
                <w:rFonts w:ascii="Century Gothic" w:hAnsi="Century Gothic"/>
                <w:noProof/>
                <w:lang w:val="en-GB" w:eastAsia="en-US"/>
              </w:rPr>
              <w:t>1.</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Introduction</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_Toc422389600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3</w:t>
            </w:r>
            <w:r w:rsidRPr="005F3554">
              <w:rPr>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01" w:history="1">
            <w:r w:rsidR="00EC5E9F" w:rsidRPr="005F3554">
              <w:rPr>
                <w:rStyle w:val="Hyperlink"/>
                <w:rFonts w:ascii="Century Gothic" w:hAnsi="Century Gothic"/>
                <w:noProof/>
                <w:lang w:val="en-GB" w:eastAsia="en-US"/>
              </w:rPr>
              <w:t>1.1.</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Roles and responsibilities of the Commonwealth Environmental Water Holder</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_Toc422389601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3</w:t>
            </w:r>
            <w:r w:rsidRPr="005F3554">
              <w:rPr>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02" w:history="1">
            <w:r w:rsidR="00EC5E9F" w:rsidRPr="005F3554">
              <w:rPr>
                <w:rStyle w:val="Hyperlink"/>
                <w:rFonts w:ascii="Century Gothic" w:hAnsi="Century Gothic"/>
                <w:noProof/>
                <w:lang w:val="en-GB" w:eastAsia="en-US"/>
              </w:rPr>
              <w:t>1.2.</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Approach to managing Commonwealth environmental water</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_Toc422389602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3</w:t>
            </w:r>
            <w:r w:rsidRPr="005F3554">
              <w:rPr>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03" w:history="1">
            <w:r w:rsidR="00EC5E9F" w:rsidRPr="005F3554">
              <w:rPr>
                <w:rStyle w:val="Hyperlink"/>
                <w:rFonts w:ascii="Century Gothic" w:hAnsi="Century Gothic"/>
                <w:noProof/>
                <w:lang w:val="en-GB" w:eastAsia="en-US"/>
              </w:rPr>
              <w:t>1.3.</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The Basin Plan and requirements for the Commonwealth Environmental Water Holder</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_Toc422389603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5</w:t>
            </w:r>
            <w:r w:rsidRPr="005F3554">
              <w:rPr>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04" w:history="1">
            <w:r w:rsidR="00EC5E9F" w:rsidRPr="005F3554">
              <w:rPr>
                <w:rStyle w:val="Hyperlink"/>
                <w:rFonts w:ascii="Century Gothic" w:hAnsi="Century Gothic"/>
                <w:noProof/>
                <w:lang w:val="en-GB" w:eastAsia="en-US"/>
              </w:rPr>
              <w:t>1.4.</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Working with delivery partners</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_Toc422389604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5</w:t>
            </w:r>
            <w:r w:rsidRPr="005F3554">
              <w:rPr>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05" w:history="1">
            <w:r w:rsidR="00EC5E9F" w:rsidRPr="005F3554">
              <w:rPr>
                <w:rStyle w:val="Hyperlink"/>
                <w:rFonts w:ascii="Century Gothic" w:hAnsi="Century Gothic"/>
                <w:noProof/>
                <w:lang w:val="en-GB" w:eastAsia="en-US"/>
              </w:rPr>
              <w:t>1.5.</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Working with communities</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_Toc422389605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5</w:t>
            </w:r>
            <w:r w:rsidRPr="005F3554">
              <w:rPr>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06" w:history="1">
            <w:r w:rsidR="00EC5E9F" w:rsidRPr="005F3554">
              <w:rPr>
                <w:rStyle w:val="Hyperlink"/>
                <w:rFonts w:ascii="Century Gothic" w:hAnsi="Century Gothic"/>
                <w:noProof/>
                <w:lang w:val="en-GB" w:eastAsia="en-US"/>
              </w:rPr>
              <w:t>1.6.</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Local Engagement Officers</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_Toc422389606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6</w:t>
            </w:r>
            <w:r w:rsidRPr="005F3554">
              <w:rPr>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07" w:history="1">
            <w:r w:rsidR="00EC5E9F" w:rsidRPr="005F3554">
              <w:rPr>
                <w:rStyle w:val="Hyperlink"/>
                <w:rFonts w:ascii="Century Gothic" w:hAnsi="Century Gothic"/>
                <w:noProof/>
                <w:lang w:val="en-GB" w:eastAsia="en-US"/>
              </w:rPr>
              <w:t>1.7.</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Supporting multiple outcomes</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_Toc422389607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6</w:t>
            </w:r>
            <w:r w:rsidRPr="005F3554">
              <w:rPr>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08" w:history="1">
            <w:r w:rsidR="00EC5E9F" w:rsidRPr="005F3554">
              <w:rPr>
                <w:rStyle w:val="Hyperlink"/>
                <w:rFonts w:ascii="Century Gothic" w:hAnsi="Century Gothic"/>
                <w:noProof/>
                <w:lang w:val="en-GB" w:eastAsia="en-US"/>
              </w:rPr>
              <w:t>1.8.</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Contact information</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_Toc422389608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6</w:t>
            </w:r>
            <w:r w:rsidRPr="005F3554">
              <w:rPr>
                <w:rFonts w:ascii="Century Gothic" w:hAnsi="Century Gothic"/>
                <w:noProof/>
                <w:webHidden/>
              </w:rPr>
              <w:fldChar w:fldCharType="end"/>
            </w:r>
          </w:hyperlink>
        </w:p>
        <w:p w:rsidR="00EC5E9F" w:rsidRPr="005F3554" w:rsidRDefault="00D44173">
          <w:pPr>
            <w:pStyle w:val="TOC1"/>
            <w:tabs>
              <w:tab w:val="left" w:pos="400"/>
              <w:tab w:val="right" w:leader="dot" w:pos="9202"/>
            </w:tabs>
            <w:rPr>
              <w:rFonts w:ascii="Century Gothic" w:eastAsiaTheme="minorEastAsia" w:hAnsi="Century Gothic" w:cstheme="minorBidi"/>
              <w:noProof/>
              <w:sz w:val="22"/>
              <w:szCs w:val="22"/>
            </w:rPr>
          </w:pPr>
          <w:hyperlink w:anchor="_Toc422389609" w:history="1">
            <w:r w:rsidR="00EC5E9F" w:rsidRPr="005F3554">
              <w:rPr>
                <w:rStyle w:val="Hyperlink"/>
                <w:rFonts w:ascii="Century Gothic" w:hAnsi="Century Gothic"/>
                <w:noProof/>
              </w:rPr>
              <w:t>2.</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Portfolio management planning</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_Toc422389609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7</w:t>
            </w:r>
            <w:r w:rsidRPr="005F3554">
              <w:rPr>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11" w:history="1">
            <w:r w:rsidR="00EC5E9F" w:rsidRPr="005F3554">
              <w:rPr>
                <w:rStyle w:val="Hyperlink"/>
                <w:rFonts w:ascii="Century Gothic" w:hAnsi="Century Gothic"/>
                <w:noProof/>
                <w:lang w:val="en-GB" w:eastAsia="en-US"/>
              </w:rPr>
              <w:t>2.1.</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Purpose of portfolio management planning</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_Toc422389611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7</w:t>
            </w:r>
            <w:r w:rsidRPr="005F3554">
              <w:rPr>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12" w:history="1">
            <w:r w:rsidR="00EC5E9F" w:rsidRPr="005F3554">
              <w:rPr>
                <w:rStyle w:val="Hyperlink"/>
                <w:rFonts w:ascii="Century Gothic" w:hAnsi="Century Gothic"/>
                <w:noProof/>
                <w:lang w:val="en-GB" w:eastAsia="en-US"/>
              </w:rPr>
              <w:t>2.2.</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Commonwealth Environmental Water Portfolio Management Framework—planning based on Demand and Supply</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_Toc422389612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8</w:t>
            </w:r>
            <w:r w:rsidRPr="005F3554">
              <w:rPr>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13" w:history="1">
            <w:r w:rsidR="00EC5E9F" w:rsidRPr="005F3554">
              <w:rPr>
                <w:rStyle w:val="Hyperlink"/>
                <w:rFonts w:ascii="Century Gothic" w:hAnsi="Century Gothic"/>
                <w:noProof/>
                <w:lang w:val="en-GB" w:eastAsia="en-US"/>
              </w:rPr>
              <w:t>2.3.</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Environmental water demands</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_Toc422389613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10</w:t>
            </w:r>
            <w:r w:rsidRPr="005F3554">
              <w:rPr>
                <w:rFonts w:ascii="Century Gothic" w:hAnsi="Century Gothic"/>
                <w:noProof/>
                <w:webHidden/>
              </w:rPr>
              <w:fldChar w:fldCharType="end"/>
            </w:r>
          </w:hyperlink>
        </w:p>
        <w:p w:rsidR="00EC5E9F" w:rsidRPr="005F3554" w:rsidRDefault="00D44173">
          <w:pPr>
            <w:pStyle w:val="TOC2"/>
            <w:tabs>
              <w:tab w:val="right" w:leader="dot" w:pos="9202"/>
            </w:tabs>
            <w:rPr>
              <w:rFonts w:ascii="Century Gothic" w:eastAsiaTheme="minorEastAsia" w:hAnsi="Century Gothic" w:cstheme="minorBidi"/>
              <w:noProof/>
              <w:sz w:val="22"/>
              <w:szCs w:val="22"/>
            </w:rPr>
          </w:pPr>
          <w:hyperlink w:anchor="_Toc422389614" w:history="1">
            <w:r w:rsidR="00EC5E9F" w:rsidRPr="005F3554">
              <w:rPr>
                <w:rStyle w:val="Hyperlink"/>
                <w:rFonts w:ascii="Century Gothic" w:hAnsi="Century Gothic" w:cs="Calibri"/>
                <w:noProof/>
                <w:lang w:val="en-GB" w:eastAsia="en-US"/>
              </w:rPr>
              <w:t>Basin-wide long-term environmental demands</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_Toc422389614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10</w:t>
            </w:r>
            <w:r w:rsidRPr="005F3554">
              <w:rPr>
                <w:rFonts w:ascii="Century Gothic" w:hAnsi="Century Gothic"/>
                <w:noProof/>
                <w:webHidden/>
              </w:rPr>
              <w:fldChar w:fldCharType="end"/>
            </w:r>
          </w:hyperlink>
        </w:p>
        <w:p w:rsidR="00EC5E9F" w:rsidRPr="005F3554" w:rsidRDefault="00D44173">
          <w:pPr>
            <w:pStyle w:val="TOC2"/>
            <w:tabs>
              <w:tab w:val="right" w:leader="dot" w:pos="9202"/>
            </w:tabs>
            <w:rPr>
              <w:rFonts w:ascii="Century Gothic" w:eastAsiaTheme="minorEastAsia" w:hAnsi="Century Gothic" w:cstheme="minorBidi"/>
              <w:noProof/>
              <w:sz w:val="22"/>
              <w:szCs w:val="22"/>
            </w:rPr>
          </w:pPr>
          <w:hyperlink w:anchor="_Toc422389615" w:history="1">
            <w:r w:rsidR="00EC5E9F" w:rsidRPr="005F3554">
              <w:rPr>
                <w:rStyle w:val="Hyperlink"/>
                <w:rFonts w:ascii="Century Gothic" w:hAnsi="Century Gothic" w:cs="Calibri"/>
                <w:noProof/>
                <w:lang w:val="en-GB" w:eastAsia="en-US"/>
              </w:rPr>
              <w:t>Catchment long–term environmental demands</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_Toc422389615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12</w:t>
            </w:r>
            <w:r w:rsidRPr="005F3554">
              <w:rPr>
                <w:rFonts w:ascii="Century Gothic" w:hAnsi="Century Gothic"/>
                <w:noProof/>
                <w:webHidden/>
              </w:rPr>
              <w:fldChar w:fldCharType="end"/>
            </w:r>
          </w:hyperlink>
        </w:p>
        <w:p w:rsidR="00EC5E9F" w:rsidRPr="005F3554" w:rsidRDefault="00D44173">
          <w:pPr>
            <w:pStyle w:val="TOC2"/>
            <w:tabs>
              <w:tab w:val="right" w:leader="dot" w:pos="9202"/>
            </w:tabs>
            <w:rPr>
              <w:rFonts w:ascii="Century Gothic" w:eastAsiaTheme="minorEastAsia" w:hAnsi="Century Gothic" w:cstheme="minorBidi"/>
              <w:noProof/>
              <w:sz w:val="22"/>
              <w:szCs w:val="22"/>
            </w:rPr>
          </w:pPr>
          <w:hyperlink w:anchor="_Toc422389616" w:history="1">
            <w:r w:rsidR="00EC5E9F" w:rsidRPr="005F3554">
              <w:rPr>
                <w:rStyle w:val="Hyperlink"/>
                <w:rFonts w:ascii="Century Gothic" w:hAnsi="Century Gothic" w:cs="Calibri"/>
                <w:noProof/>
                <w:lang w:val="en-GB" w:eastAsia="en-US"/>
              </w:rPr>
              <w:t>Annual environmental water demands</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_Toc422389616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12</w:t>
            </w:r>
            <w:r w:rsidRPr="005F3554">
              <w:rPr>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17" w:history="1">
            <w:r w:rsidR="00EC5E9F" w:rsidRPr="005F3554">
              <w:rPr>
                <w:rStyle w:val="Hyperlink"/>
                <w:rFonts w:ascii="Century Gothic" w:hAnsi="Century Gothic"/>
                <w:noProof/>
                <w:lang w:val="en-GB" w:eastAsia="en-US"/>
              </w:rPr>
              <w:t>2.4.</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Environmental water supply</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_Toc422389617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13</w:t>
            </w:r>
            <w:r w:rsidRPr="005F3554">
              <w:rPr>
                <w:rFonts w:ascii="Century Gothic" w:hAnsi="Century Gothic"/>
                <w:noProof/>
                <w:webHidden/>
              </w:rPr>
              <w:fldChar w:fldCharType="end"/>
            </w:r>
          </w:hyperlink>
        </w:p>
        <w:p w:rsidR="00EC5E9F" w:rsidRPr="005F3554" w:rsidRDefault="00D44173">
          <w:pPr>
            <w:pStyle w:val="TOC2"/>
            <w:tabs>
              <w:tab w:val="right" w:leader="dot" w:pos="9202"/>
            </w:tabs>
            <w:rPr>
              <w:rStyle w:val="Hyperlink"/>
              <w:rFonts w:ascii="Century Gothic" w:hAnsi="Century Gothic"/>
              <w:noProof/>
            </w:rPr>
          </w:pPr>
          <w:hyperlink w:anchor="_Toc422389618" w:history="1">
            <w:r w:rsidR="00EC5E9F" w:rsidRPr="005F3554">
              <w:rPr>
                <w:rStyle w:val="Hyperlink"/>
                <w:rFonts w:ascii="Century Gothic" w:hAnsi="Century Gothic"/>
                <w:noProof/>
              </w:rPr>
              <w:t>Commonwealth environmental water holdings</w:t>
            </w:r>
            <w:r w:rsidR="00EC5E9F" w:rsidRPr="005F3554">
              <w:rPr>
                <w:rStyle w:val="Hyperlink"/>
                <w:rFonts w:ascii="Century Gothic" w:hAnsi="Century Gothic"/>
                <w:noProof/>
                <w:webHidden/>
              </w:rPr>
              <w:tab/>
            </w:r>
            <w:r w:rsidRPr="005F3554">
              <w:rPr>
                <w:rStyle w:val="Hyperlink"/>
                <w:rFonts w:ascii="Century Gothic" w:hAnsi="Century Gothic"/>
                <w:noProof/>
                <w:webHidden/>
              </w:rPr>
              <w:fldChar w:fldCharType="begin"/>
            </w:r>
            <w:r w:rsidR="00EC5E9F" w:rsidRPr="005F3554">
              <w:rPr>
                <w:rStyle w:val="Hyperlink"/>
                <w:rFonts w:ascii="Century Gothic" w:hAnsi="Century Gothic"/>
                <w:noProof/>
                <w:webHidden/>
              </w:rPr>
              <w:instrText xml:space="preserve"> PAGEREF _Toc422389618 \h </w:instrText>
            </w:r>
            <w:r w:rsidRPr="005F3554">
              <w:rPr>
                <w:rStyle w:val="Hyperlink"/>
                <w:rFonts w:ascii="Century Gothic" w:hAnsi="Century Gothic"/>
                <w:noProof/>
                <w:webHidden/>
              </w:rPr>
            </w:r>
            <w:r w:rsidRPr="005F3554">
              <w:rPr>
                <w:rStyle w:val="Hyperlink"/>
                <w:rFonts w:ascii="Century Gothic" w:hAnsi="Century Gothic"/>
                <w:noProof/>
                <w:webHidden/>
              </w:rPr>
              <w:fldChar w:fldCharType="separate"/>
            </w:r>
            <w:r w:rsidR="00913135">
              <w:rPr>
                <w:rStyle w:val="Hyperlink"/>
                <w:rFonts w:ascii="Century Gothic" w:hAnsi="Century Gothic"/>
                <w:noProof/>
                <w:webHidden/>
              </w:rPr>
              <w:t>13</w:t>
            </w:r>
            <w:r w:rsidRPr="005F3554">
              <w:rPr>
                <w:rStyle w:val="Hyperlink"/>
                <w:rFonts w:ascii="Century Gothic" w:hAnsi="Century Gothic"/>
                <w:noProof/>
                <w:webHidden/>
              </w:rPr>
              <w:fldChar w:fldCharType="end"/>
            </w:r>
          </w:hyperlink>
        </w:p>
        <w:p w:rsidR="00EC5E9F" w:rsidRPr="005F3554" w:rsidRDefault="00D44173">
          <w:pPr>
            <w:pStyle w:val="TOC2"/>
            <w:tabs>
              <w:tab w:val="right" w:leader="dot" w:pos="9202"/>
            </w:tabs>
            <w:rPr>
              <w:rStyle w:val="Hyperlink"/>
              <w:rFonts w:ascii="Century Gothic" w:hAnsi="Century Gothic"/>
              <w:noProof/>
            </w:rPr>
          </w:pPr>
          <w:hyperlink w:anchor="_Toc422389619" w:history="1">
            <w:r w:rsidR="00EC5E9F" w:rsidRPr="005F3554">
              <w:rPr>
                <w:rStyle w:val="Hyperlink"/>
                <w:rFonts w:ascii="Century Gothic" w:hAnsi="Century Gothic"/>
                <w:noProof/>
              </w:rPr>
              <w:t>Complementary water resources</w:t>
            </w:r>
            <w:r w:rsidR="00EC5E9F" w:rsidRPr="005F3554">
              <w:rPr>
                <w:rStyle w:val="Hyperlink"/>
                <w:rFonts w:ascii="Century Gothic" w:hAnsi="Century Gothic"/>
                <w:noProof/>
                <w:webHidden/>
              </w:rPr>
              <w:tab/>
            </w:r>
            <w:r w:rsidRPr="005F3554">
              <w:rPr>
                <w:rStyle w:val="Hyperlink"/>
                <w:rFonts w:ascii="Century Gothic" w:hAnsi="Century Gothic"/>
                <w:noProof/>
                <w:webHidden/>
              </w:rPr>
              <w:fldChar w:fldCharType="begin"/>
            </w:r>
            <w:r w:rsidR="00EC5E9F" w:rsidRPr="005F3554">
              <w:rPr>
                <w:rStyle w:val="Hyperlink"/>
                <w:rFonts w:ascii="Century Gothic" w:hAnsi="Century Gothic"/>
                <w:noProof/>
                <w:webHidden/>
              </w:rPr>
              <w:instrText xml:space="preserve"> PAGEREF _Toc422389619 \h </w:instrText>
            </w:r>
            <w:r w:rsidRPr="005F3554">
              <w:rPr>
                <w:rStyle w:val="Hyperlink"/>
                <w:rFonts w:ascii="Century Gothic" w:hAnsi="Century Gothic"/>
                <w:noProof/>
                <w:webHidden/>
              </w:rPr>
            </w:r>
            <w:r w:rsidRPr="005F3554">
              <w:rPr>
                <w:rStyle w:val="Hyperlink"/>
                <w:rFonts w:ascii="Century Gothic" w:hAnsi="Century Gothic"/>
                <w:noProof/>
                <w:webHidden/>
              </w:rPr>
              <w:fldChar w:fldCharType="separate"/>
            </w:r>
            <w:r w:rsidR="00913135">
              <w:rPr>
                <w:rStyle w:val="Hyperlink"/>
                <w:rFonts w:ascii="Century Gothic" w:hAnsi="Century Gothic"/>
                <w:noProof/>
                <w:webHidden/>
              </w:rPr>
              <w:t>13</w:t>
            </w:r>
            <w:r w:rsidRPr="005F3554">
              <w:rPr>
                <w:rStyle w:val="Hyperlink"/>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20" w:history="1">
            <w:r w:rsidR="00EC5E9F" w:rsidRPr="005F3554">
              <w:rPr>
                <w:rStyle w:val="Hyperlink"/>
                <w:rFonts w:ascii="Century Gothic" w:hAnsi="Century Gothic"/>
                <w:noProof/>
                <w:lang w:val="en-GB" w:eastAsia="en-US"/>
              </w:rPr>
              <w:t>2.5.</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Basin-scale analysis</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_Toc422389620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13</w:t>
            </w:r>
            <w:r w:rsidRPr="005F3554">
              <w:rPr>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21" w:history="1">
            <w:r w:rsidR="00EC5E9F" w:rsidRPr="005F3554">
              <w:rPr>
                <w:rStyle w:val="Hyperlink"/>
                <w:rFonts w:ascii="Century Gothic" w:hAnsi="Century Gothic"/>
                <w:noProof/>
                <w:lang w:val="en-GB" w:eastAsia="en-US"/>
              </w:rPr>
              <w:t>2.6.</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Constraints to Commonwealth environmental watering</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_Toc422389621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14</w:t>
            </w:r>
            <w:r w:rsidRPr="005F3554">
              <w:rPr>
                <w:rFonts w:ascii="Century Gothic" w:hAnsi="Century Gothic"/>
                <w:noProof/>
                <w:webHidden/>
              </w:rPr>
              <w:fldChar w:fldCharType="end"/>
            </w:r>
          </w:hyperlink>
        </w:p>
        <w:p w:rsidR="00EC5E9F" w:rsidRPr="005F3554" w:rsidRDefault="00D44173">
          <w:pPr>
            <w:pStyle w:val="TOC2"/>
            <w:tabs>
              <w:tab w:val="right" w:leader="dot" w:pos="9202"/>
            </w:tabs>
            <w:rPr>
              <w:rFonts w:ascii="Century Gothic" w:eastAsiaTheme="minorEastAsia" w:hAnsi="Century Gothic" w:cstheme="minorBidi"/>
              <w:noProof/>
              <w:sz w:val="22"/>
              <w:szCs w:val="22"/>
            </w:rPr>
          </w:pPr>
          <w:hyperlink w:anchor="_Toc422389622" w:history="1">
            <w:r w:rsidR="00EC5E9F" w:rsidRPr="005F3554">
              <w:rPr>
                <w:rStyle w:val="Hyperlink"/>
                <w:rFonts w:ascii="Century Gothic" w:hAnsi="Century Gothic"/>
                <w:noProof/>
              </w:rPr>
              <w:t>Constraints management</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_Toc422389622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14</w:t>
            </w:r>
            <w:r w:rsidRPr="005F3554">
              <w:rPr>
                <w:rFonts w:ascii="Century Gothic" w:hAnsi="Century Gothic"/>
                <w:noProof/>
                <w:webHidden/>
              </w:rPr>
              <w:fldChar w:fldCharType="end"/>
            </w:r>
          </w:hyperlink>
        </w:p>
        <w:p w:rsidR="00EC5E9F" w:rsidRPr="005F3554" w:rsidRDefault="00D44173">
          <w:pPr>
            <w:pStyle w:val="TOC1"/>
            <w:tabs>
              <w:tab w:val="left" w:pos="400"/>
              <w:tab w:val="right" w:leader="dot" w:pos="9202"/>
            </w:tabs>
            <w:rPr>
              <w:rFonts w:ascii="Century Gothic" w:eastAsiaTheme="minorEastAsia" w:hAnsi="Century Gothic" w:cstheme="minorBidi"/>
              <w:noProof/>
              <w:sz w:val="22"/>
              <w:szCs w:val="22"/>
            </w:rPr>
          </w:pPr>
          <w:hyperlink w:anchor="_Toc422389623" w:history="1">
            <w:r w:rsidR="00EC5E9F" w:rsidRPr="005F3554">
              <w:rPr>
                <w:rStyle w:val="Hyperlink"/>
                <w:rFonts w:ascii="Century Gothic" w:hAnsi="Century Gothic"/>
                <w:noProof/>
                <w:lang w:val="en-GB" w:eastAsia="en-US"/>
              </w:rPr>
              <w:t>3.</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From planning to decision-making</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_Toc422389623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15</w:t>
            </w:r>
            <w:r w:rsidRPr="005F3554">
              <w:rPr>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28" w:history="1">
            <w:r w:rsidR="00EC5E9F" w:rsidRPr="005F3554">
              <w:rPr>
                <w:rStyle w:val="Hyperlink"/>
                <w:rFonts w:ascii="Century Gothic" w:hAnsi="Century Gothic"/>
                <w:noProof/>
                <w:lang w:val="en-GB" w:eastAsia="en-US"/>
              </w:rPr>
              <w:t>3.1.</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Commonwealth environmental watering decisions</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_Toc422389628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15</w:t>
            </w:r>
            <w:r w:rsidRPr="005F3554">
              <w:rPr>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29" w:history="1">
            <w:r w:rsidR="00EC5E9F" w:rsidRPr="005F3554">
              <w:rPr>
                <w:rStyle w:val="Hyperlink"/>
                <w:rFonts w:ascii="Century Gothic" w:hAnsi="Century Gothic"/>
                <w:noProof/>
                <w:lang w:val="en-GB" w:eastAsia="en-US"/>
              </w:rPr>
              <w:t>3.2.</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Carryover decision-making</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_Toc422389629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17</w:t>
            </w:r>
            <w:r w:rsidRPr="005F3554">
              <w:rPr>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30" w:history="1">
            <w:r w:rsidR="00EC5E9F" w:rsidRPr="005F3554">
              <w:rPr>
                <w:rStyle w:val="Hyperlink"/>
                <w:rFonts w:ascii="Century Gothic" w:hAnsi="Century Gothic"/>
                <w:noProof/>
                <w:lang w:val="en-GB" w:eastAsia="en-US"/>
              </w:rPr>
              <w:t>3.3.</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Trade of environmental water allocations</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_Toc422389630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17</w:t>
            </w:r>
            <w:r w:rsidRPr="005F3554">
              <w:rPr>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31" w:history="1">
            <w:r w:rsidR="00EC5E9F" w:rsidRPr="005F3554">
              <w:rPr>
                <w:rStyle w:val="Hyperlink"/>
                <w:rFonts w:ascii="Century Gothic" w:hAnsi="Century Gothic"/>
                <w:noProof/>
                <w:lang w:val="en-GB" w:eastAsia="en-US"/>
              </w:rPr>
              <w:t>3.4.</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 xml:space="preserve">Independent Review of the </w:t>
            </w:r>
            <w:r w:rsidR="00EC5E9F" w:rsidRPr="005F3554">
              <w:rPr>
                <w:rStyle w:val="Hyperlink"/>
                <w:rFonts w:ascii="Century Gothic" w:hAnsi="Century Gothic"/>
                <w:i/>
                <w:noProof/>
                <w:lang w:val="en-GB" w:eastAsia="en-US"/>
              </w:rPr>
              <w:t>Water Act 2007</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_Toc422389631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18</w:t>
            </w:r>
            <w:r w:rsidRPr="005F3554">
              <w:rPr>
                <w:rFonts w:ascii="Century Gothic" w:hAnsi="Century Gothic"/>
                <w:noProof/>
                <w:webHidden/>
              </w:rPr>
              <w:fldChar w:fldCharType="end"/>
            </w:r>
          </w:hyperlink>
        </w:p>
        <w:p w:rsidR="00EC5E9F" w:rsidRPr="005F3554" w:rsidRDefault="00D44173">
          <w:pPr>
            <w:pStyle w:val="TOC1"/>
            <w:tabs>
              <w:tab w:val="left" w:pos="400"/>
              <w:tab w:val="right" w:leader="dot" w:pos="9202"/>
            </w:tabs>
            <w:rPr>
              <w:rFonts w:ascii="Century Gothic" w:eastAsiaTheme="minorEastAsia" w:hAnsi="Century Gothic" w:cstheme="minorBidi"/>
              <w:noProof/>
              <w:sz w:val="22"/>
              <w:szCs w:val="22"/>
            </w:rPr>
          </w:pPr>
          <w:hyperlink w:anchor="_Toc422389632" w:history="1">
            <w:r w:rsidR="00EC5E9F" w:rsidRPr="005F3554">
              <w:rPr>
                <w:rStyle w:val="Hyperlink"/>
                <w:rFonts w:ascii="Century Gothic" w:hAnsi="Century Gothic"/>
                <w:noProof/>
                <w:lang w:val="en-GB" w:eastAsia="en-US"/>
              </w:rPr>
              <w:t>4.</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Monitoring and Evaluation</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_Toc422389632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19</w:t>
            </w:r>
            <w:r w:rsidRPr="005F3554">
              <w:rPr>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34" w:history="1">
            <w:r w:rsidR="00EC5E9F" w:rsidRPr="005F3554">
              <w:rPr>
                <w:rStyle w:val="Hyperlink"/>
                <w:rFonts w:ascii="Century Gothic" w:hAnsi="Century Gothic"/>
                <w:noProof/>
                <w:lang w:val="en-GB" w:eastAsia="en-US"/>
              </w:rPr>
              <w:t>4.1.</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Operational monitoring</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_Toc422389634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19</w:t>
            </w:r>
            <w:r w:rsidRPr="005F3554">
              <w:rPr>
                <w:rFonts w:ascii="Century Gothic" w:hAnsi="Century Gothic"/>
                <w:noProof/>
                <w:webHidden/>
              </w:rPr>
              <w:fldChar w:fldCharType="end"/>
            </w:r>
          </w:hyperlink>
        </w:p>
        <w:p w:rsidR="00EC5E9F" w:rsidRPr="005F3554" w:rsidRDefault="00D44173">
          <w:pPr>
            <w:pStyle w:val="TOC1"/>
            <w:tabs>
              <w:tab w:val="left" w:pos="660"/>
              <w:tab w:val="right" w:leader="dot" w:pos="9202"/>
            </w:tabs>
            <w:rPr>
              <w:rFonts w:ascii="Century Gothic" w:eastAsiaTheme="minorEastAsia" w:hAnsi="Century Gothic" w:cstheme="minorBidi"/>
              <w:noProof/>
              <w:sz w:val="22"/>
              <w:szCs w:val="22"/>
            </w:rPr>
          </w:pPr>
          <w:hyperlink w:anchor="_Toc422389635" w:history="1">
            <w:r w:rsidR="00EC5E9F" w:rsidRPr="005F3554">
              <w:rPr>
                <w:rStyle w:val="Hyperlink"/>
                <w:rFonts w:ascii="Century Gothic" w:hAnsi="Century Gothic"/>
                <w:noProof/>
                <w:lang w:val="en-GB" w:eastAsia="en-US"/>
              </w:rPr>
              <w:t>4.2.</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Intervention monitoring</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_Toc422389635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20</w:t>
            </w:r>
            <w:r w:rsidRPr="005F3554">
              <w:rPr>
                <w:rFonts w:ascii="Century Gothic" w:hAnsi="Century Gothic"/>
                <w:noProof/>
                <w:webHidden/>
              </w:rPr>
              <w:fldChar w:fldCharType="end"/>
            </w:r>
          </w:hyperlink>
        </w:p>
        <w:p w:rsidR="00EC5E9F" w:rsidRPr="005F3554" w:rsidRDefault="00D44173">
          <w:pPr>
            <w:pStyle w:val="TOC1"/>
            <w:tabs>
              <w:tab w:val="left" w:pos="400"/>
              <w:tab w:val="right" w:leader="dot" w:pos="9202"/>
            </w:tabs>
            <w:rPr>
              <w:rFonts w:ascii="Century Gothic" w:eastAsiaTheme="minorEastAsia" w:hAnsi="Century Gothic" w:cstheme="minorBidi"/>
              <w:noProof/>
              <w:sz w:val="22"/>
              <w:szCs w:val="22"/>
            </w:rPr>
          </w:pPr>
          <w:hyperlink w:anchor="_Toc422389636" w:history="1">
            <w:r w:rsidR="00EC5E9F" w:rsidRPr="005F3554">
              <w:rPr>
                <w:rStyle w:val="Hyperlink"/>
                <w:rFonts w:ascii="Century Gothic" w:hAnsi="Century Gothic"/>
                <w:noProof/>
                <w:lang w:val="en-GB" w:eastAsia="en-US"/>
              </w:rPr>
              <w:t>5.</w:t>
            </w:r>
            <w:r w:rsidR="00EC5E9F" w:rsidRPr="005F3554">
              <w:rPr>
                <w:rFonts w:ascii="Century Gothic" w:eastAsiaTheme="minorEastAsia" w:hAnsi="Century Gothic" w:cstheme="minorBidi"/>
                <w:noProof/>
                <w:sz w:val="22"/>
                <w:szCs w:val="22"/>
              </w:rPr>
              <w:tab/>
            </w:r>
            <w:r w:rsidR="00EC5E9F" w:rsidRPr="005F3554">
              <w:rPr>
                <w:rStyle w:val="Hyperlink"/>
                <w:rFonts w:ascii="Century Gothic" w:hAnsi="Century Gothic"/>
                <w:noProof/>
                <w:lang w:val="en-GB" w:eastAsia="en-US"/>
              </w:rPr>
              <w:t>Adaptive management</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_Toc422389636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21</w:t>
            </w:r>
            <w:r w:rsidRPr="005F3554">
              <w:rPr>
                <w:rFonts w:ascii="Century Gothic" w:hAnsi="Century Gothic"/>
                <w:noProof/>
                <w:webHidden/>
              </w:rPr>
              <w:fldChar w:fldCharType="end"/>
            </w:r>
          </w:hyperlink>
        </w:p>
        <w:p w:rsidR="00EC5E9F" w:rsidRPr="005F3554" w:rsidRDefault="00D44173">
          <w:pPr>
            <w:pStyle w:val="TOC2"/>
            <w:tabs>
              <w:tab w:val="right" w:leader="dot" w:pos="9202"/>
            </w:tabs>
            <w:rPr>
              <w:rFonts w:ascii="Century Gothic" w:eastAsiaTheme="minorEastAsia" w:hAnsi="Century Gothic" w:cstheme="minorBidi"/>
              <w:noProof/>
              <w:sz w:val="22"/>
              <w:szCs w:val="22"/>
            </w:rPr>
          </w:pPr>
          <w:hyperlink w:anchor="_Toc422389637" w:history="1">
            <w:r w:rsidR="00EC5E9F" w:rsidRPr="005F3554">
              <w:rPr>
                <w:rStyle w:val="Hyperlink"/>
                <w:rFonts w:ascii="Century Gothic" w:hAnsi="Century Gothic"/>
                <w:noProof/>
              </w:rPr>
              <w:t>Case Study: Adaptive management in practice in the Goulburn River</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_Toc422389637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22</w:t>
            </w:r>
            <w:r w:rsidRPr="005F3554">
              <w:rPr>
                <w:rFonts w:ascii="Century Gothic" w:hAnsi="Century Gothic"/>
                <w:noProof/>
                <w:webHidden/>
              </w:rPr>
              <w:fldChar w:fldCharType="end"/>
            </w:r>
          </w:hyperlink>
        </w:p>
        <w:p w:rsidR="00EC5E9F" w:rsidRDefault="00D44173">
          <w:pPr>
            <w:pStyle w:val="TOC1"/>
            <w:tabs>
              <w:tab w:val="right" w:leader="dot" w:pos="9202"/>
            </w:tabs>
            <w:rPr>
              <w:rFonts w:asciiTheme="minorHAnsi" w:eastAsiaTheme="minorEastAsia" w:hAnsiTheme="minorHAnsi" w:cstheme="minorBidi"/>
              <w:noProof/>
              <w:sz w:val="22"/>
              <w:szCs w:val="22"/>
            </w:rPr>
          </w:pPr>
          <w:hyperlink w:anchor="_Toc422389638" w:history="1">
            <w:r w:rsidR="00EC5E9F" w:rsidRPr="005F3554">
              <w:rPr>
                <w:rStyle w:val="Hyperlink"/>
                <w:rFonts w:ascii="Century Gothic" w:hAnsi="Century Gothic"/>
                <w:noProof/>
                <w:lang w:val="en-GB" w:eastAsia="en-US"/>
              </w:rPr>
              <w:t>Attachment A: Basin–wide environmental watering strategy</w:t>
            </w:r>
            <w:r w:rsidR="00EC5E9F" w:rsidRPr="005F3554">
              <w:rPr>
                <w:rFonts w:ascii="Century Gothic" w:hAnsi="Century Gothic"/>
                <w:noProof/>
                <w:webHidden/>
              </w:rPr>
              <w:tab/>
            </w:r>
            <w:r w:rsidRPr="005F3554">
              <w:rPr>
                <w:rFonts w:ascii="Century Gothic" w:hAnsi="Century Gothic"/>
                <w:noProof/>
                <w:webHidden/>
              </w:rPr>
              <w:fldChar w:fldCharType="begin"/>
            </w:r>
            <w:r w:rsidR="00EC5E9F" w:rsidRPr="005F3554">
              <w:rPr>
                <w:rFonts w:ascii="Century Gothic" w:hAnsi="Century Gothic"/>
                <w:noProof/>
                <w:webHidden/>
              </w:rPr>
              <w:instrText xml:space="preserve"> PAGEREF _Toc422389638 \h </w:instrText>
            </w:r>
            <w:r w:rsidRPr="005F3554">
              <w:rPr>
                <w:rFonts w:ascii="Century Gothic" w:hAnsi="Century Gothic"/>
                <w:noProof/>
                <w:webHidden/>
              </w:rPr>
            </w:r>
            <w:r w:rsidRPr="005F3554">
              <w:rPr>
                <w:rFonts w:ascii="Century Gothic" w:hAnsi="Century Gothic"/>
                <w:noProof/>
                <w:webHidden/>
              </w:rPr>
              <w:fldChar w:fldCharType="separate"/>
            </w:r>
            <w:r w:rsidR="00913135">
              <w:rPr>
                <w:rFonts w:ascii="Century Gothic" w:hAnsi="Century Gothic"/>
                <w:noProof/>
                <w:webHidden/>
              </w:rPr>
              <w:t>23</w:t>
            </w:r>
            <w:r w:rsidRPr="005F3554">
              <w:rPr>
                <w:rFonts w:ascii="Century Gothic" w:hAnsi="Century Gothic"/>
                <w:noProof/>
                <w:webHidden/>
              </w:rPr>
              <w:fldChar w:fldCharType="end"/>
            </w:r>
          </w:hyperlink>
        </w:p>
        <w:p w:rsidR="00963C8F" w:rsidRDefault="00D44173" w:rsidP="00963C8F">
          <w:pPr>
            <w:pStyle w:val="TOC2"/>
            <w:tabs>
              <w:tab w:val="right" w:leader="dot" w:pos="9202"/>
            </w:tabs>
          </w:pPr>
          <w:r>
            <w:fldChar w:fldCharType="end"/>
          </w:r>
        </w:p>
      </w:sdtContent>
    </w:sdt>
    <w:p w:rsidR="00560998" w:rsidRDefault="00963C8F" w:rsidP="006C2670">
      <w:pPr>
        <w:pStyle w:val="Heading1"/>
        <w:numPr>
          <w:ilvl w:val="0"/>
          <w:numId w:val="20"/>
        </w:numPr>
        <w:spacing w:before="240" w:after="240"/>
        <w:jc w:val="left"/>
        <w:rPr>
          <w:rFonts w:cs="Times New Roman"/>
          <w:caps w:val="0"/>
          <w:color w:val="5F497A" w:themeColor="accent4" w:themeShade="BF"/>
          <w:sz w:val="48"/>
          <w:szCs w:val="48"/>
          <w:lang w:val="en-GB" w:eastAsia="en-US"/>
        </w:rPr>
      </w:pPr>
      <w:r>
        <w:rPr>
          <w:rFonts w:ascii="Century Gothic" w:hAnsi="Century Gothic"/>
          <w:caps w:val="0"/>
          <w:noProof/>
          <w:color w:val="5F497A" w:themeColor="accent4" w:themeShade="BF"/>
        </w:rPr>
        <w:br w:type="column"/>
      </w:r>
      <w:bookmarkStart w:id="4" w:name="_Toc422389600"/>
      <w:r w:rsidR="00E84CFF" w:rsidRPr="00560998">
        <w:rPr>
          <w:rFonts w:cs="Times New Roman"/>
          <w:caps w:val="0"/>
          <w:color w:val="5F497A" w:themeColor="accent4" w:themeShade="BF"/>
          <w:sz w:val="48"/>
          <w:szCs w:val="48"/>
          <w:lang w:val="en-GB" w:eastAsia="en-US"/>
        </w:rPr>
        <w:lastRenderedPageBreak/>
        <w:t>Introduction</w:t>
      </w:r>
      <w:bookmarkStart w:id="5" w:name="_Toc415473564"/>
      <w:bookmarkEnd w:id="4"/>
    </w:p>
    <w:p w:rsidR="00821241" w:rsidRPr="00560998" w:rsidRDefault="00821241" w:rsidP="006C2670">
      <w:pPr>
        <w:pStyle w:val="Heading1"/>
        <w:numPr>
          <w:ilvl w:val="1"/>
          <w:numId w:val="19"/>
        </w:numPr>
        <w:spacing w:before="240" w:after="240"/>
        <w:ind w:left="0" w:firstLine="0"/>
        <w:jc w:val="left"/>
        <w:rPr>
          <w:rFonts w:cs="Times New Roman"/>
          <w:caps w:val="0"/>
          <w:color w:val="5F497A" w:themeColor="accent4" w:themeShade="BF"/>
          <w:sz w:val="40"/>
          <w:szCs w:val="40"/>
          <w:lang w:val="en-GB" w:eastAsia="en-US"/>
        </w:rPr>
      </w:pPr>
      <w:bookmarkStart w:id="6" w:name="_Toc422389601"/>
      <w:r w:rsidRPr="00560998">
        <w:rPr>
          <w:rFonts w:cs="Times New Roman"/>
          <w:caps w:val="0"/>
          <w:color w:val="5F497A" w:themeColor="accent4" w:themeShade="BF"/>
          <w:sz w:val="40"/>
          <w:szCs w:val="40"/>
          <w:lang w:val="en-GB" w:eastAsia="en-US"/>
        </w:rPr>
        <w:t>Roles and responsibilities of the Commonwealth Environmental Water Holder</w:t>
      </w:r>
      <w:bookmarkEnd w:id="5"/>
      <w:bookmarkEnd w:id="6"/>
      <w:bookmarkEnd w:id="3"/>
    </w:p>
    <w:p w:rsidR="003F1C8E" w:rsidRPr="000A3F3C" w:rsidRDefault="003F1C8E" w:rsidP="0062683F">
      <w:pPr>
        <w:spacing w:after="240"/>
        <w:jc w:val="left"/>
        <w:rPr>
          <w:rFonts w:ascii="Century Gothic" w:hAnsi="Century Gothic" w:cs="Arial"/>
        </w:rPr>
      </w:pPr>
      <w:r w:rsidRPr="000A3F3C">
        <w:rPr>
          <w:rFonts w:ascii="Century Gothic" w:hAnsi="Century Gothic" w:cs="Arial"/>
        </w:rPr>
        <w:t>The Commonwealth Environmental Water Holder</w:t>
      </w:r>
      <w:r w:rsidR="00653339">
        <w:rPr>
          <w:rFonts w:ascii="Century Gothic" w:hAnsi="Century Gothic" w:cs="Arial"/>
        </w:rPr>
        <w:t xml:space="preserve"> (CEWH)</w:t>
      </w:r>
      <w:r w:rsidRPr="000A3F3C">
        <w:rPr>
          <w:rFonts w:ascii="Century Gothic" w:hAnsi="Century Gothic" w:cs="Arial"/>
        </w:rPr>
        <w:t xml:space="preserve"> is an independent statutory position established by the </w:t>
      </w:r>
      <w:r w:rsidRPr="0019600B">
        <w:rPr>
          <w:rFonts w:ascii="Century Gothic" w:hAnsi="Century Gothic" w:cs="Arial"/>
          <w:i/>
          <w:iCs/>
        </w:rPr>
        <w:t>Water Act 2007</w:t>
      </w:r>
      <w:r w:rsidRPr="0019600B">
        <w:rPr>
          <w:rFonts w:ascii="Century Gothic" w:hAnsi="Century Gothic" w:cs="Arial"/>
          <w:iCs/>
        </w:rPr>
        <w:t xml:space="preserve"> </w:t>
      </w:r>
      <w:r>
        <w:rPr>
          <w:rFonts w:ascii="Century Gothic" w:hAnsi="Century Gothic" w:cs="Arial"/>
          <w:iCs/>
        </w:rPr>
        <w:t>(</w:t>
      </w:r>
      <w:r w:rsidRPr="0019600B">
        <w:rPr>
          <w:rFonts w:ascii="Century Gothic" w:hAnsi="Century Gothic" w:cs="Arial"/>
          <w:iCs/>
        </w:rPr>
        <w:t>the Water Act)</w:t>
      </w:r>
      <w:r w:rsidRPr="00E92354">
        <w:rPr>
          <w:rFonts w:ascii="Century Gothic" w:hAnsi="Century Gothic" w:cs="Arial"/>
          <w:iCs/>
        </w:rPr>
        <w:t xml:space="preserve"> </w:t>
      </w:r>
      <w:r w:rsidRPr="000A3F3C">
        <w:rPr>
          <w:rFonts w:ascii="Century Gothic" w:hAnsi="Century Gothic" w:cs="Arial"/>
        </w:rPr>
        <w:t xml:space="preserve">to manage the Commonwealth environmental water holdings. The Commonwealth Environmental Water Holder leads and is supported by the </w:t>
      </w:r>
      <w:r w:rsidR="00953B4A">
        <w:rPr>
          <w:rFonts w:ascii="Century Gothic" w:hAnsi="Century Gothic" w:cs="Arial"/>
        </w:rPr>
        <w:t xml:space="preserve">Commonwealth Environmental Water </w:t>
      </w:r>
      <w:r w:rsidRPr="000A3F3C">
        <w:rPr>
          <w:rFonts w:ascii="Century Gothic" w:hAnsi="Century Gothic" w:cs="Arial"/>
        </w:rPr>
        <w:t>Office</w:t>
      </w:r>
      <w:r w:rsidR="00953B4A">
        <w:rPr>
          <w:rFonts w:ascii="Century Gothic" w:hAnsi="Century Gothic" w:cs="Arial"/>
        </w:rPr>
        <w:t xml:space="preserve"> (</w:t>
      </w:r>
      <w:r w:rsidR="0062683F">
        <w:rPr>
          <w:rFonts w:ascii="Century Gothic" w:hAnsi="Century Gothic" w:cs="Arial"/>
        </w:rPr>
        <w:t>the Office</w:t>
      </w:r>
      <w:r w:rsidR="00953B4A">
        <w:rPr>
          <w:rFonts w:ascii="Century Gothic" w:hAnsi="Century Gothic" w:cs="Arial"/>
        </w:rPr>
        <w:t>)</w:t>
      </w:r>
      <w:r w:rsidRPr="000A3F3C">
        <w:rPr>
          <w:rFonts w:ascii="Century Gothic" w:hAnsi="Century Gothic" w:cs="Arial"/>
        </w:rPr>
        <w:t xml:space="preserve">, a division of the Australian Government Department of </w:t>
      </w:r>
      <w:r>
        <w:rPr>
          <w:rFonts w:ascii="Century Gothic" w:hAnsi="Century Gothic" w:cs="Arial"/>
        </w:rPr>
        <w:t>the</w:t>
      </w:r>
      <w:r w:rsidRPr="000A3F3C">
        <w:rPr>
          <w:rFonts w:ascii="Century Gothic" w:hAnsi="Century Gothic" w:cs="Arial"/>
        </w:rPr>
        <w:t xml:space="preserve"> Environment.</w:t>
      </w:r>
    </w:p>
    <w:p w:rsidR="00976C8F" w:rsidRDefault="003F1C8E" w:rsidP="0062683F">
      <w:pPr>
        <w:tabs>
          <w:tab w:val="left" w:pos="1134"/>
        </w:tabs>
        <w:spacing w:after="240"/>
        <w:jc w:val="left"/>
        <w:rPr>
          <w:rFonts w:ascii="Century Gothic" w:hAnsi="Century Gothic" w:cs="Arial"/>
        </w:rPr>
      </w:pPr>
      <w:r w:rsidRPr="000A3F3C">
        <w:rPr>
          <w:rFonts w:ascii="Century Gothic" w:hAnsi="Century Gothic" w:cs="Arial"/>
        </w:rPr>
        <w:t>Under the Water Act, Commonwealth environmental water must be managed to protect or restore environmental assets, so as to give effect to relevant international agreements.</w:t>
      </w:r>
      <w:r w:rsidR="00976C8F" w:rsidRPr="00976C8F">
        <w:t xml:space="preserve"> </w:t>
      </w:r>
      <w:r w:rsidR="00976C8F" w:rsidRPr="00976C8F">
        <w:rPr>
          <w:rFonts w:ascii="Century Gothic" w:hAnsi="Century Gothic" w:cs="Arial"/>
        </w:rPr>
        <w:t xml:space="preserve">The broadness of these international agreements means there are a wide range of actions that would give effect to them. The main requirement is that </w:t>
      </w:r>
      <w:r w:rsidR="00976C8F">
        <w:rPr>
          <w:rFonts w:ascii="Century Gothic" w:hAnsi="Century Gothic" w:cs="Arial"/>
        </w:rPr>
        <w:t>Commonwealth environmental water management is for the</w:t>
      </w:r>
      <w:r w:rsidR="00976C8F" w:rsidRPr="00976C8F">
        <w:rPr>
          <w:rFonts w:ascii="Century Gothic" w:hAnsi="Century Gothic" w:cs="Arial"/>
        </w:rPr>
        <w:t xml:space="preserve"> primary purpose </w:t>
      </w:r>
      <w:r w:rsidR="00976C8F">
        <w:rPr>
          <w:rFonts w:ascii="Century Gothic" w:hAnsi="Century Gothic" w:cs="Arial"/>
        </w:rPr>
        <w:t>of achieving</w:t>
      </w:r>
      <w:r w:rsidR="00976C8F" w:rsidRPr="00976C8F">
        <w:rPr>
          <w:rFonts w:ascii="Century Gothic" w:hAnsi="Century Gothic" w:cs="Arial"/>
        </w:rPr>
        <w:t xml:space="preserve"> environmental outcomes.</w:t>
      </w:r>
      <w:r w:rsidRPr="000A3F3C">
        <w:rPr>
          <w:rFonts w:ascii="Century Gothic" w:hAnsi="Century Gothic" w:cs="Arial"/>
        </w:rPr>
        <w:t xml:space="preserve"> </w:t>
      </w:r>
    </w:p>
    <w:p w:rsidR="003F1C8E" w:rsidRDefault="003F1C8E" w:rsidP="0062683F">
      <w:pPr>
        <w:tabs>
          <w:tab w:val="left" w:pos="1134"/>
        </w:tabs>
        <w:spacing w:after="240"/>
        <w:jc w:val="left"/>
        <w:rPr>
          <w:rFonts w:ascii="Century Gothic" w:hAnsi="Century Gothic" w:cs="Arial"/>
        </w:rPr>
      </w:pPr>
      <w:r w:rsidRPr="000A3F3C">
        <w:rPr>
          <w:rFonts w:ascii="Century Gothic" w:hAnsi="Century Gothic" w:cs="Arial"/>
        </w:rPr>
        <w:t>The Water Act requires that the Commonwealth Environmental Water Holder perform its functions and exercise its powers consistently with and in a manner that gives effect to the Basin Plan and that Commonwealth environmental water is managed in accordance with the Basin Plan’s environmental watering plan.</w:t>
      </w:r>
      <w:r>
        <w:rPr>
          <w:rFonts w:ascii="Century Gothic" w:hAnsi="Century Gothic" w:cs="Arial"/>
        </w:rPr>
        <w:t xml:space="preserve"> </w:t>
      </w:r>
    </w:p>
    <w:p w:rsidR="00940242" w:rsidRDefault="00F028C6" w:rsidP="0062683F">
      <w:pPr>
        <w:tabs>
          <w:tab w:val="left" w:pos="1134"/>
        </w:tabs>
        <w:spacing w:after="240"/>
        <w:jc w:val="left"/>
        <w:rPr>
          <w:rFonts w:ascii="Century Gothic" w:hAnsi="Century Gothic" w:cs="Arial"/>
        </w:rPr>
      </w:pPr>
      <w:r w:rsidRPr="00F028C6">
        <w:rPr>
          <w:rFonts w:ascii="Century Gothic" w:hAnsi="Century Gothic" w:cs="Arial"/>
        </w:rPr>
        <w:t>The Water Act limits the selling (disposal) of Commonwealth environmental water to circumstances where:</w:t>
      </w:r>
    </w:p>
    <w:p w:rsidR="00940242" w:rsidRDefault="00F028C6">
      <w:pPr>
        <w:pStyle w:val="ListBullet"/>
        <w:numPr>
          <w:ilvl w:val="0"/>
          <w:numId w:val="7"/>
        </w:numPr>
        <w:tabs>
          <w:tab w:val="clear" w:pos="284"/>
        </w:tabs>
        <w:spacing w:after="240"/>
        <w:ind w:left="369" w:hanging="369"/>
        <w:jc w:val="left"/>
        <w:rPr>
          <w:rFonts w:ascii="Century Gothic" w:hAnsi="Century Gothic"/>
        </w:rPr>
      </w:pPr>
      <w:r w:rsidRPr="00F028C6">
        <w:rPr>
          <w:rFonts w:ascii="Century Gothic" w:hAnsi="Century Gothic"/>
        </w:rPr>
        <w:t xml:space="preserve">the water is not required in the current water year to meet the environmental objectives of the environmental watering plan and cannot be carried over to the next water year; or </w:t>
      </w:r>
    </w:p>
    <w:p w:rsidR="00940242" w:rsidRDefault="00F028C6">
      <w:pPr>
        <w:pStyle w:val="ListBullet"/>
        <w:numPr>
          <w:ilvl w:val="0"/>
          <w:numId w:val="7"/>
        </w:numPr>
        <w:tabs>
          <w:tab w:val="clear" w:pos="284"/>
        </w:tabs>
        <w:spacing w:after="240"/>
        <w:ind w:left="369" w:hanging="369"/>
        <w:jc w:val="left"/>
        <w:rPr>
          <w:rFonts w:ascii="Century Gothic" w:hAnsi="Century Gothic"/>
        </w:rPr>
      </w:pPr>
      <w:proofErr w:type="gramStart"/>
      <w:r w:rsidRPr="00F028C6">
        <w:rPr>
          <w:rFonts w:ascii="Century Gothic" w:hAnsi="Century Gothic"/>
        </w:rPr>
        <w:t>the</w:t>
      </w:r>
      <w:proofErr w:type="gramEnd"/>
      <w:r w:rsidRPr="00F028C6">
        <w:rPr>
          <w:rFonts w:ascii="Century Gothic" w:hAnsi="Century Gothic"/>
        </w:rPr>
        <w:t xml:space="preserve"> proceeds of selling the water improve the capacity of the holdings to meet the environmental objectives.</w:t>
      </w:r>
    </w:p>
    <w:p w:rsidR="003F1C8E" w:rsidRPr="00BE31EB" w:rsidRDefault="003F1C8E" w:rsidP="003F1C8E">
      <w:pPr>
        <w:widowControl w:val="0"/>
        <w:spacing w:after="240"/>
        <w:jc w:val="left"/>
        <w:rPr>
          <w:rFonts w:ascii="Century Gothic" w:hAnsi="Century Gothic" w:cs="Arial"/>
        </w:rPr>
      </w:pPr>
      <w:r w:rsidRPr="000A3F3C">
        <w:rPr>
          <w:rFonts w:ascii="Century Gothic" w:hAnsi="Century Gothic" w:cs="Arial"/>
        </w:rPr>
        <w:t xml:space="preserve">The Commonwealth Environmental Water Holder must </w:t>
      </w:r>
      <w:r>
        <w:rPr>
          <w:rFonts w:ascii="Century Gothic" w:hAnsi="Century Gothic" w:cs="Arial"/>
        </w:rPr>
        <w:t xml:space="preserve">also </w:t>
      </w:r>
      <w:r w:rsidRPr="000A3F3C">
        <w:rPr>
          <w:rFonts w:ascii="Century Gothic" w:hAnsi="Century Gothic" w:cs="Arial"/>
        </w:rPr>
        <w:t xml:space="preserve">comply with the specific requirements and standards of Commonwealth legal, policy and environmental frameworks, including the </w:t>
      </w:r>
      <w:r w:rsidR="00CD3F6C">
        <w:rPr>
          <w:rFonts w:ascii="Century Gothic" w:hAnsi="Century Gothic" w:cs="Arial"/>
          <w:i/>
        </w:rPr>
        <w:t xml:space="preserve">Public Governance, Performance and Accountability </w:t>
      </w:r>
      <w:r w:rsidR="00E15F1E">
        <w:rPr>
          <w:rFonts w:ascii="Century Gothic" w:hAnsi="Century Gothic" w:cs="Arial"/>
          <w:i/>
        </w:rPr>
        <w:t xml:space="preserve">Act </w:t>
      </w:r>
      <w:r w:rsidR="00CD3F6C">
        <w:rPr>
          <w:rFonts w:ascii="Century Gothic" w:hAnsi="Century Gothic" w:cs="Arial"/>
          <w:i/>
        </w:rPr>
        <w:t>2013</w:t>
      </w:r>
      <w:r w:rsidRPr="000A3F3C">
        <w:rPr>
          <w:rFonts w:ascii="Century Gothic" w:hAnsi="Century Gothic" w:cs="Arial"/>
        </w:rPr>
        <w:t xml:space="preserve">, the </w:t>
      </w:r>
      <w:r w:rsidRPr="000A3F3C">
        <w:rPr>
          <w:rFonts w:ascii="Century Gothic" w:hAnsi="Century Gothic" w:cs="Arial"/>
          <w:i/>
        </w:rPr>
        <w:t>Public Service Act 1999</w:t>
      </w:r>
      <w:r w:rsidRPr="000A3F3C">
        <w:rPr>
          <w:rFonts w:ascii="Century Gothic" w:hAnsi="Century Gothic" w:cs="Arial"/>
        </w:rPr>
        <w:t xml:space="preserve"> and the </w:t>
      </w:r>
      <w:r w:rsidRPr="000A3F3C">
        <w:rPr>
          <w:rFonts w:ascii="Century Gothic" w:hAnsi="Century Gothic" w:cs="Arial"/>
          <w:i/>
        </w:rPr>
        <w:t xml:space="preserve">Environment Protection and </w:t>
      </w:r>
      <w:r w:rsidRPr="00BE31EB">
        <w:rPr>
          <w:rFonts w:ascii="Century Gothic" w:hAnsi="Century Gothic" w:cs="Arial"/>
          <w:i/>
        </w:rPr>
        <w:t>Biodiversity Conservation Act 1999</w:t>
      </w:r>
      <w:r w:rsidRPr="00BE31EB">
        <w:rPr>
          <w:rFonts w:ascii="Century Gothic" w:hAnsi="Century Gothic" w:cs="Arial"/>
        </w:rPr>
        <w:t>.</w:t>
      </w:r>
    </w:p>
    <w:p w:rsidR="006B6289" w:rsidRPr="00560998" w:rsidRDefault="00655DED" w:rsidP="006C2670">
      <w:pPr>
        <w:pStyle w:val="Heading1"/>
        <w:numPr>
          <w:ilvl w:val="1"/>
          <w:numId w:val="19"/>
        </w:numPr>
        <w:spacing w:before="240" w:after="240"/>
        <w:ind w:left="0" w:firstLine="0"/>
        <w:jc w:val="left"/>
        <w:rPr>
          <w:rFonts w:cs="Times New Roman"/>
          <w:caps w:val="0"/>
          <w:color w:val="5F497A" w:themeColor="accent4" w:themeShade="BF"/>
          <w:sz w:val="40"/>
          <w:szCs w:val="40"/>
          <w:lang w:val="en-GB" w:eastAsia="en-US"/>
        </w:rPr>
      </w:pPr>
      <w:bookmarkStart w:id="7" w:name="_Toc382821592"/>
      <w:bookmarkStart w:id="8" w:name="_Toc415473565"/>
      <w:bookmarkStart w:id="9" w:name="_Toc422389602"/>
      <w:r w:rsidRPr="00560998">
        <w:rPr>
          <w:rFonts w:cs="Times New Roman"/>
          <w:caps w:val="0"/>
          <w:color w:val="5F497A" w:themeColor="accent4" w:themeShade="BF"/>
          <w:sz w:val="40"/>
          <w:szCs w:val="40"/>
          <w:lang w:val="en-GB" w:eastAsia="en-US"/>
        </w:rPr>
        <w:t>Approach to managing</w:t>
      </w:r>
      <w:r w:rsidR="00821241" w:rsidRPr="00560998">
        <w:rPr>
          <w:rFonts w:cs="Times New Roman"/>
          <w:caps w:val="0"/>
          <w:color w:val="5F497A" w:themeColor="accent4" w:themeShade="BF"/>
          <w:sz w:val="40"/>
          <w:szCs w:val="40"/>
          <w:lang w:val="en-GB" w:eastAsia="en-US"/>
        </w:rPr>
        <w:t xml:space="preserve"> Commonwealth environmental water</w:t>
      </w:r>
      <w:bookmarkEnd w:id="7"/>
      <w:bookmarkEnd w:id="8"/>
      <w:bookmarkEnd w:id="9"/>
    </w:p>
    <w:p w:rsidR="003F1C8E" w:rsidRPr="00BE31EB" w:rsidRDefault="003F1C8E" w:rsidP="003F1C8E">
      <w:pPr>
        <w:jc w:val="left"/>
        <w:rPr>
          <w:rFonts w:ascii="Century Gothic" w:hAnsi="Century Gothic"/>
        </w:rPr>
      </w:pPr>
      <w:r w:rsidRPr="00BE31EB">
        <w:rPr>
          <w:rFonts w:ascii="Century Gothic" w:hAnsi="Century Gothic"/>
        </w:rPr>
        <w:t>The Commonwealth Environmental Water Holder is committed to being a ‘good neighbour’ and has adopted the following approach to managing environmental water:</w:t>
      </w:r>
    </w:p>
    <w:p w:rsidR="003F1C8E" w:rsidRPr="00BE31EB" w:rsidRDefault="003F1C8E" w:rsidP="0062683F">
      <w:pPr>
        <w:pStyle w:val="ListBullet"/>
        <w:spacing w:after="240"/>
        <w:jc w:val="left"/>
        <w:rPr>
          <w:rFonts w:ascii="Century Gothic" w:hAnsi="Century Gothic"/>
        </w:rPr>
      </w:pPr>
      <w:r w:rsidRPr="00BE31EB">
        <w:rPr>
          <w:rFonts w:ascii="Century Gothic" w:hAnsi="Century Gothic"/>
          <w:b/>
        </w:rPr>
        <w:t>Maximising the environmental outcomes</w:t>
      </w:r>
      <w:r w:rsidRPr="00BE31EB">
        <w:rPr>
          <w:rFonts w:ascii="Century Gothic" w:hAnsi="Century Gothic"/>
        </w:rPr>
        <w:t>: The Commonwealth environmental water portfolio is used to achieve the best environmental effect, through water delivery, carry over and trade.</w:t>
      </w:r>
    </w:p>
    <w:p w:rsidR="003F1C8E" w:rsidRPr="00BE31EB" w:rsidRDefault="003F1C8E" w:rsidP="0062683F">
      <w:pPr>
        <w:pStyle w:val="ListBullet"/>
        <w:spacing w:after="240"/>
        <w:jc w:val="left"/>
        <w:rPr>
          <w:rFonts w:ascii="Century Gothic" w:hAnsi="Century Gothic"/>
        </w:rPr>
      </w:pPr>
      <w:r w:rsidRPr="00BE31EB">
        <w:rPr>
          <w:rFonts w:ascii="Century Gothic" w:hAnsi="Century Gothic"/>
          <w:b/>
        </w:rPr>
        <w:t>No intended harm</w:t>
      </w:r>
      <w:r w:rsidRPr="00BE31EB">
        <w:rPr>
          <w:rFonts w:ascii="Century Gothic" w:hAnsi="Century Gothic"/>
        </w:rPr>
        <w:t xml:space="preserve">: </w:t>
      </w:r>
      <w:r w:rsidR="002377E0">
        <w:rPr>
          <w:rFonts w:ascii="Century Gothic" w:hAnsi="Century Gothic"/>
        </w:rPr>
        <w:t>A</w:t>
      </w:r>
      <w:r w:rsidR="002377E0" w:rsidRPr="00BE31EB">
        <w:rPr>
          <w:rFonts w:ascii="Century Gothic" w:hAnsi="Century Gothic"/>
        </w:rPr>
        <w:t xml:space="preserve"> </w:t>
      </w:r>
      <w:r w:rsidRPr="00BE31EB">
        <w:rPr>
          <w:rFonts w:ascii="Century Gothic" w:hAnsi="Century Gothic"/>
        </w:rPr>
        <w:t>conservative risk based approach to environmental flow management is taken so that unintended impacts do not occur.  All decisions on water use are informed by a comprehensive assessment of risk, with arrangements put in place to ensure risks are appropriately managed. Commonwealth environmental water is also ordered and delivered at flow rates generally below the operational limits to provide a buffer against unpredictable local inflows resulting from rainfall.</w:t>
      </w:r>
    </w:p>
    <w:p w:rsidR="003F1C8E" w:rsidRPr="00BE31EB" w:rsidRDefault="003F1C8E" w:rsidP="0062683F">
      <w:pPr>
        <w:pStyle w:val="ListBullet"/>
        <w:spacing w:after="240"/>
        <w:jc w:val="left"/>
        <w:rPr>
          <w:rFonts w:ascii="Century Gothic" w:hAnsi="Century Gothic"/>
        </w:rPr>
      </w:pPr>
      <w:r w:rsidRPr="00BE31EB">
        <w:rPr>
          <w:rFonts w:ascii="Century Gothic" w:hAnsi="Century Gothic"/>
          <w:b/>
        </w:rPr>
        <w:t xml:space="preserve">Using local knowledge: </w:t>
      </w:r>
      <w:r w:rsidRPr="00BE31EB">
        <w:rPr>
          <w:rFonts w:ascii="Century Gothic" w:hAnsi="Century Gothic"/>
        </w:rPr>
        <w:t xml:space="preserve">We are committed to working closely with communities and delivery partners (including state agencies, river operators and local advisory groups) so they can engage meaningfully on Commonwealth environmental water management. </w:t>
      </w:r>
      <w:r w:rsidRPr="00BE31EB">
        <w:rPr>
          <w:rFonts w:ascii="Century Gothic" w:hAnsi="Century Gothic"/>
        </w:rPr>
        <w:lastRenderedPageBreak/>
        <w:t xml:space="preserve">This engagement is critical to ensure water is delivered to important environmental assets and potential impacts and risks are identified and managed. </w:t>
      </w:r>
    </w:p>
    <w:p w:rsidR="003F1C8E" w:rsidRPr="00BE31EB" w:rsidRDefault="003F1C8E" w:rsidP="0062683F">
      <w:pPr>
        <w:pStyle w:val="ListBullet"/>
        <w:spacing w:after="240"/>
        <w:jc w:val="left"/>
        <w:rPr>
          <w:rFonts w:ascii="Century Gothic" w:hAnsi="Century Gothic"/>
        </w:rPr>
      </w:pPr>
      <w:r w:rsidRPr="00BE31EB">
        <w:rPr>
          <w:rFonts w:ascii="Century Gothic" w:hAnsi="Century Gothic"/>
          <w:b/>
        </w:rPr>
        <w:t>Negotiating consent:</w:t>
      </w:r>
      <w:r w:rsidRPr="00BE31EB">
        <w:rPr>
          <w:rFonts w:ascii="Century Gothic" w:hAnsi="Century Gothic"/>
        </w:rPr>
        <w:t xml:space="preserve"> If potentially unacceptable impacts on private property are identified we will negotiate with affected landholders to avoid or minimise any potential problems and obtain consent to watering events. In many situations landholders support watering events because the outcomes are mutually beneficial, such as by creating environmental benefits while also supporting the productivity of floodplain pastures.</w:t>
      </w:r>
    </w:p>
    <w:p w:rsidR="003F1C8E" w:rsidRPr="00BE31EB" w:rsidRDefault="003F1C8E" w:rsidP="0062683F">
      <w:pPr>
        <w:pStyle w:val="ListBullet"/>
        <w:spacing w:after="240"/>
        <w:jc w:val="left"/>
        <w:rPr>
          <w:rFonts w:ascii="Century Gothic" w:hAnsi="Century Gothic"/>
        </w:rPr>
      </w:pPr>
      <w:r w:rsidRPr="00BE31EB">
        <w:rPr>
          <w:rFonts w:ascii="Century Gothic" w:hAnsi="Century Gothic"/>
          <w:b/>
        </w:rPr>
        <w:t>Equal treatment:</w:t>
      </w:r>
      <w:r w:rsidRPr="00BE31EB">
        <w:rPr>
          <w:rFonts w:ascii="Century Gothic" w:hAnsi="Century Gothic"/>
        </w:rPr>
        <w:t xml:space="preserve"> Commonwealth environmental water is delivered by river operators within the current operating framework that applies to all types of water deliveries. Commonwealth environmental water is subject to fees and charges and receives the same allocations as equivalent entitlements held for consumptive use. The underlying entitlement characteristics should not be changed; however, the operating rules which enable water use should continue to evolve to meet the needs of all water users, just as they always have.</w:t>
      </w:r>
      <w:r w:rsidRPr="00BE31EB">
        <w:rPr>
          <w:rFonts w:ascii="Century Gothic" w:hAnsi="Century Gothic"/>
          <w:b/>
        </w:rPr>
        <w:t xml:space="preserve"> </w:t>
      </w:r>
    </w:p>
    <w:p w:rsidR="003F1C8E" w:rsidRPr="00092DA6" w:rsidRDefault="003F1C8E" w:rsidP="0062683F">
      <w:pPr>
        <w:pStyle w:val="ListBullet"/>
        <w:spacing w:after="240"/>
        <w:jc w:val="left"/>
        <w:rPr>
          <w:rFonts w:ascii="Century Gothic" w:hAnsi="Century Gothic"/>
          <w:b/>
          <w:color w:val="5F497A" w:themeColor="accent4" w:themeShade="BF"/>
        </w:rPr>
      </w:pPr>
      <w:r w:rsidRPr="00BE31EB">
        <w:rPr>
          <w:rFonts w:ascii="Century Gothic" w:hAnsi="Century Gothic"/>
          <w:b/>
        </w:rPr>
        <w:t xml:space="preserve">Flexibility: </w:t>
      </w:r>
      <w:r w:rsidRPr="00BE31EB">
        <w:rPr>
          <w:rFonts w:ascii="Century Gothic" w:hAnsi="Century Gothic"/>
        </w:rPr>
        <w:t>At times of critical environmental need, the Commonwealth may assert its rights to access its share of channel capacity. However, in the event of channel capacity becoming limited, we can be flexible about how and when environmental water is ordered so as to minimise any potential impact on others.</w:t>
      </w:r>
      <w:r w:rsidRPr="00BE31EB">
        <w:rPr>
          <w:rFonts w:ascii="Century Gothic" w:hAnsi="Century Gothic"/>
          <w:b/>
        </w:rPr>
        <w:t xml:space="preserve"> </w:t>
      </w:r>
    </w:p>
    <w:p w:rsidR="00092DA6" w:rsidRPr="00092DA6" w:rsidRDefault="00092DA6" w:rsidP="00092DA6">
      <w:pPr>
        <w:pStyle w:val="ListBullet"/>
        <w:numPr>
          <w:ilvl w:val="0"/>
          <w:numId w:val="0"/>
        </w:numPr>
        <w:spacing w:before="120"/>
        <w:ind w:left="369"/>
        <w:jc w:val="left"/>
        <w:rPr>
          <w:rFonts w:ascii="Century Gothic" w:hAnsi="Century Gothic"/>
          <w:b/>
          <w:color w:val="5F497A" w:themeColor="accent4" w:themeShade="BF"/>
        </w:rPr>
      </w:pPr>
    </w:p>
    <w:tbl>
      <w:tblPr>
        <w:tblW w:w="937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75"/>
      </w:tblGrid>
      <w:tr w:rsidR="00092DA6" w:rsidTr="00567E98">
        <w:trPr>
          <w:trHeight w:val="5108"/>
        </w:trPr>
        <w:tc>
          <w:tcPr>
            <w:tcW w:w="9375" w:type="dxa"/>
          </w:tcPr>
          <w:p w:rsidR="00092DA6" w:rsidRPr="007770D5" w:rsidRDefault="00363F51" w:rsidP="00CD0060">
            <w:pPr>
              <w:tabs>
                <w:tab w:val="left" w:pos="1134"/>
              </w:tabs>
              <w:spacing w:after="240"/>
              <w:jc w:val="left"/>
              <w:rPr>
                <w:rFonts w:ascii="Century Gothic" w:hAnsi="Century Gothic" w:cs="Arial"/>
                <w:b/>
              </w:rPr>
            </w:pPr>
            <w:r w:rsidRPr="007770D5">
              <w:rPr>
                <w:rFonts w:ascii="Century Gothic" w:hAnsi="Century Gothic" w:cs="Arial"/>
                <w:b/>
              </w:rPr>
              <w:t>Case study – Managing limited channel capacity through the active management of environmental water</w:t>
            </w:r>
          </w:p>
          <w:p w:rsidR="00092DA6" w:rsidRPr="007770D5" w:rsidRDefault="00363F51" w:rsidP="00092DA6">
            <w:pPr>
              <w:tabs>
                <w:tab w:val="left" w:pos="1134"/>
              </w:tabs>
              <w:spacing w:after="240"/>
              <w:jc w:val="left"/>
              <w:rPr>
                <w:rFonts w:ascii="Century Gothic" w:hAnsi="Century Gothic" w:cs="Arial"/>
              </w:rPr>
            </w:pPr>
            <w:r w:rsidRPr="007770D5">
              <w:rPr>
                <w:rFonts w:ascii="Century Gothic" w:hAnsi="Century Gothic" w:cs="Arial"/>
              </w:rPr>
              <w:t>Environmental watering is actively managed by the Office and</w:t>
            </w:r>
            <w:r w:rsidR="00795FF9" w:rsidRPr="007770D5">
              <w:rPr>
                <w:rFonts w:ascii="Century Gothic" w:hAnsi="Century Gothic" w:cs="Arial"/>
              </w:rPr>
              <w:t xml:space="preserve"> its</w:t>
            </w:r>
            <w:r w:rsidRPr="007770D5">
              <w:rPr>
                <w:rFonts w:ascii="Century Gothic" w:hAnsi="Century Gothic" w:cs="Arial"/>
              </w:rPr>
              <w:t xml:space="preserve"> delivery partners in a manner that is flexible about when and how environmental water is ordered</w:t>
            </w:r>
            <w:r w:rsidR="00795FF9" w:rsidRPr="007770D5">
              <w:rPr>
                <w:rFonts w:ascii="Century Gothic" w:hAnsi="Century Gothic" w:cs="Arial"/>
              </w:rPr>
              <w:t xml:space="preserve">. The </w:t>
            </w:r>
            <w:r w:rsidR="00567E98">
              <w:rPr>
                <w:rFonts w:ascii="Century Gothic" w:hAnsi="Century Gothic" w:cs="Arial"/>
              </w:rPr>
              <w:t>Office</w:t>
            </w:r>
            <w:r w:rsidRPr="007770D5">
              <w:rPr>
                <w:rFonts w:ascii="Century Gothic" w:hAnsi="Century Gothic" w:cs="Arial"/>
              </w:rPr>
              <w:t xml:space="preserve"> seek</w:t>
            </w:r>
            <w:r w:rsidR="00795FF9" w:rsidRPr="007770D5">
              <w:rPr>
                <w:rFonts w:ascii="Century Gothic" w:hAnsi="Century Gothic" w:cs="Arial"/>
              </w:rPr>
              <w:t>s</w:t>
            </w:r>
            <w:r w:rsidRPr="007770D5">
              <w:rPr>
                <w:rFonts w:ascii="Century Gothic" w:hAnsi="Century Gothic" w:cs="Arial"/>
              </w:rPr>
              <w:t xml:space="preserve"> to maximise environmental outcomes but </w:t>
            </w:r>
            <w:r w:rsidR="00795FF9" w:rsidRPr="007770D5">
              <w:rPr>
                <w:rFonts w:ascii="Century Gothic" w:hAnsi="Century Gothic" w:cs="Arial"/>
              </w:rPr>
              <w:t xml:space="preserve">to </w:t>
            </w:r>
            <w:r w:rsidR="006F1432" w:rsidRPr="007770D5">
              <w:rPr>
                <w:rFonts w:ascii="Century Gothic" w:hAnsi="Century Gothic" w:cs="Arial"/>
              </w:rPr>
              <w:t xml:space="preserve">also preserve the rights of other water entitlement holders. </w:t>
            </w:r>
            <w:r w:rsidR="007770D5" w:rsidRPr="007770D5">
              <w:rPr>
                <w:rFonts w:ascii="Century Gothic" w:hAnsi="Century Gothic" w:cs="Arial"/>
              </w:rPr>
              <w:t xml:space="preserve">For this reason, </w:t>
            </w:r>
            <w:r w:rsidR="006F1432" w:rsidRPr="007770D5">
              <w:rPr>
                <w:rFonts w:ascii="Century Gothic" w:hAnsi="Century Gothic" w:cs="Arial"/>
              </w:rPr>
              <w:t>operational decisions are often made to reduce or cease environmental water orders in consideration of potential impacts on other water holders.</w:t>
            </w:r>
          </w:p>
          <w:p w:rsidR="00092DA6" w:rsidRPr="007770D5" w:rsidRDefault="006F1432" w:rsidP="00092DA6">
            <w:pPr>
              <w:tabs>
                <w:tab w:val="left" w:pos="1134"/>
              </w:tabs>
              <w:spacing w:after="240"/>
              <w:jc w:val="left"/>
              <w:rPr>
                <w:rFonts w:ascii="Century Gothic" w:hAnsi="Century Gothic" w:cs="Arial"/>
              </w:rPr>
            </w:pPr>
            <w:r w:rsidRPr="007770D5">
              <w:rPr>
                <w:rFonts w:ascii="Century Gothic" w:hAnsi="Century Gothic" w:cs="Arial"/>
              </w:rPr>
              <w:t xml:space="preserve">During 2014–15, the regulated supply of water through the Barmah Choke was limited to channel capacity. To protect the rights of other water holders, concessions were made by the Office, in consultation with delivery partners, where environmental water was only delivered using the spare channel capacity remaining after other consumptive water orders and river operational requirements were met. </w:t>
            </w:r>
          </w:p>
          <w:p w:rsidR="00092DA6" w:rsidRPr="00567E98" w:rsidRDefault="006F1432" w:rsidP="00F5362B">
            <w:pPr>
              <w:tabs>
                <w:tab w:val="left" w:pos="1134"/>
              </w:tabs>
              <w:spacing w:after="240"/>
              <w:jc w:val="left"/>
              <w:rPr>
                <w:rFonts w:ascii="Century Gothic" w:hAnsi="Century Gothic" w:cs="Arial"/>
              </w:rPr>
            </w:pPr>
            <w:r w:rsidRPr="007770D5">
              <w:rPr>
                <w:rFonts w:ascii="Century Gothic" w:hAnsi="Century Gothic" w:cs="Arial"/>
              </w:rPr>
              <w:t>This approach does have implications for achieving environmental outcomes in the long term and as such the Office may at times assert their right for equitable treatment on the basis of critical environmental need. However, in the case of operational decisions in 2014–15</w:t>
            </w:r>
            <w:r w:rsidR="00567E98">
              <w:rPr>
                <w:rFonts w:ascii="Century Gothic" w:hAnsi="Century Gothic" w:cs="Arial"/>
              </w:rPr>
              <w:t>,</w:t>
            </w:r>
            <w:r w:rsidRPr="007770D5">
              <w:rPr>
                <w:rFonts w:ascii="Century Gothic" w:hAnsi="Century Gothic" w:cs="Arial"/>
              </w:rPr>
              <w:t xml:space="preserve"> priority water access was afforded to consumptive water users and the supply of South Australian entitlement flow.</w:t>
            </w:r>
          </w:p>
        </w:tc>
      </w:tr>
    </w:tbl>
    <w:p w:rsidR="00092DA6" w:rsidRPr="00BE31EB" w:rsidRDefault="00092DA6" w:rsidP="00092DA6">
      <w:pPr>
        <w:pStyle w:val="ListBullet"/>
        <w:numPr>
          <w:ilvl w:val="0"/>
          <w:numId w:val="0"/>
        </w:numPr>
        <w:spacing w:before="120"/>
        <w:jc w:val="left"/>
        <w:rPr>
          <w:rFonts w:ascii="Century Gothic" w:hAnsi="Century Gothic"/>
          <w:b/>
          <w:color w:val="5F497A" w:themeColor="accent4" w:themeShade="BF"/>
        </w:rPr>
      </w:pPr>
    </w:p>
    <w:p w:rsidR="003F1C8E" w:rsidRPr="003C7B4D" w:rsidRDefault="0062683F" w:rsidP="006C2670">
      <w:pPr>
        <w:pStyle w:val="Heading1"/>
        <w:numPr>
          <w:ilvl w:val="1"/>
          <w:numId w:val="19"/>
        </w:numPr>
        <w:spacing w:before="240" w:after="240"/>
        <w:ind w:left="0" w:firstLine="0"/>
        <w:jc w:val="left"/>
        <w:rPr>
          <w:rFonts w:cs="Times New Roman"/>
          <w:caps w:val="0"/>
          <w:color w:val="5F497A" w:themeColor="accent4" w:themeShade="BF"/>
          <w:sz w:val="36"/>
          <w:szCs w:val="36"/>
          <w:lang w:val="en-GB" w:eastAsia="en-US"/>
        </w:rPr>
      </w:pPr>
      <w:bookmarkStart w:id="10" w:name="_Toc382821598"/>
      <w:r>
        <w:rPr>
          <w:rFonts w:cs="Times New Roman"/>
          <w:caps w:val="0"/>
          <w:color w:val="5F497A" w:themeColor="accent4" w:themeShade="BF"/>
          <w:sz w:val="36"/>
          <w:szCs w:val="36"/>
          <w:lang w:val="en-GB" w:eastAsia="en-US"/>
        </w:rPr>
        <w:br w:type="column"/>
      </w:r>
      <w:bookmarkStart w:id="11" w:name="_Toc422389603"/>
      <w:r w:rsidR="003F1C8E" w:rsidRPr="00560998">
        <w:rPr>
          <w:rFonts w:cs="Times New Roman"/>
          <w:caps w:val="0"/>
          <w:color w:val="5F497A" w:themeColor="accent4" w:themeShade="BF"/>
          <w:sz w:val="40"/>
          <w:szCs w:val="40"/>
          <w:lang w:val="en-GB" w:eastAsia="en-US"/>
        </w:rPr>
        <w:lastRenderedPageBreak/>
        <w:t>The Basin Plan and requirements for the Commonwealth Environmental Water Holder</w:t>
      </w:r>
      <w:bookmarkEnd w:id="10"/>
      <w:bookmarkEnd w:id="11"/>
    </w:p>
    <w:p w:rsidR="003F1C8E" w:rsidRPr="0062683F" w:rsidRDefault="003F1C8E" w:rsidP="0062683F">
      <w:pPr>
        <w:tabs>
          <w:tab w:val="left" w:pos="1134"/>
        </w:tabs>
        <w:spacing w:after="240"/>
        <w:jc w:val="left"/>
        <w:rPr>
          <w:rFonts w:ascii="Century Gothic" w:hAnsi="Century Gothic" w:cs="Arial"/>
        </w:rPr>
      </w:pPr>
      <w:r w:rsidRPr="0062683F">
        <w:rPr>
          <w:rFonts w:ascii="Century Gothic" w:hAnsi="Century Gothic" w:cs="Arial"/>
        </w:rPr>
        <w:t>The Basin Plan is a high-level plan for ensuring that the Basin’s water resources are managed in an integrated and sustainable way. Key components include sustainable limits on surface water and groundwater extraction (referred to as ‘sustainable diversion limits’ or SDLs); an environmental watering plan; a water quality and salinity management plan; water resource plan requirements; water trading rules; and a monitoring and evaluation programme.</w:t>
      </w:r>
    </w:p>
    <w:p w:rsidR="00FC33AF" w:rsidRPr="0062683F" w:rsidRDefault="00FC33AF" w:rsidP="0062683F">
      <w:pPr>
        <w:autoSpaceDE w:val="0"/>
        <w:autoSpaceDN w:val="0"/>
        <w:adjustRightInd w:val="0"/>
        <w:spacing w:after="240"/>
        <w:jc w:val="left"/>
        <w:rPr>
          <w:rFonts w:ascii="Century Gothic" w:hAnsi="Century Gothic" w:cs="Arial"/>
        </w:rPr>
      </w:pPr>
      <w:r w:rsidRPr="0062683F">
        <w:rPr>
          <w:rFonts w:ascii="Century Gothic" w:hAnsi="Century Gothic" w:cs="Arial"/>
        </w:rPr>
        <w:t>The Basin Plan’s environmental watering plan requires the Commonwealth Environmental Water Holder to perform its functions and exercise its powers in a way that is consistent with both the environmental watering plan and the Basin-wide environmental watering strategy.</w:t>
      </w:r>
    </w:p>
    <w:p w:rsidR="003F1C8E" w:rsidRPr="0062683F" w:rsidRDefault="003F1C8E" w:rsidP="0062683F">
      <w:pPr>
        <w:tabs>
          <w:tab w:val="left" w:pos="1134"/>
        </w:tabs>
        <w:spacing w:after="240"/>
        <w:jc w:val="left"/>
        <w:rPr>
          <w:rFonts w:ascii="Century Gothic" w:hAnsi="Century Gothic" w:cs="Arial"/>
        </w:rPr>
      </w:pPr>
      <w:r w:rsidRPr="0062683F">
        <w:rPr>
          <w:rFonts w:ascii="Century Gothic" w:hAnsi="Century Gothic" w:cs="Arial"/>
        </w:rPr>
        <w:t>Commonwealth environmental water</w:t>
      </w:r>
      <w:r w:rsidR="00FC33AF" w:rsidRPr="0062683F">
        <w:rPr>
          <w:rFonts w:ascii="Century Gothic" w:hAnsi="Century Gothic" w:cs="Arial"/>
        </w:rPr>
        <w:t>ing</w:t>
      </w:r>
      <w:r w:rsidRPr="0062683F">
        <w:rPr>
          <w:rFonts w:ascii="Century Gothic" w:hAnsi="Century Gothic" w:cs="Arial"/>
        </w:rPr>
        <w:t xml:space="preserve"> must:</w:t>
      </w:r>
    </w:p>
    <w:p w:rsidR="003F1C8E" w:rsidRPr="0062683F" w:rsidRDefault="003F1C8E" w:rsidP="0062683F">
      <w:pPr>
        <w:pStyle w:val="ListBullet"/>
        <w:numPr>
          <w:ilvl w:val="0"/>
          <w:numId w:val="7"/>
        </w:numPr>
        <w:tabs>
          <w:tab w:val="clear" w:pos="284"/>
        </w:tabs>
        <w:spacing w:after="240"/>
        <w:ind w:left="369" w:hanging="369"/>
        <w:jc w:val="left"/>
        <w:rPr>
          <w:rFonts w:ascii="Century Gothic" w:hAnsi="Century Gothic"/>
        </w:rPr>
      </w:pPr>
      <w:r w:rsidRPr="0062683F">
        <w:rPr>
          <w:rFonts w:ascii="Century Gothic" w:hAnsi="Century Gothic"/>
        </w:rPr>
        <w:t>be consistent with the environmental watering plan’s objectives</w:t>
      </w:r>
    </w:p>
    <w:p w:rsidR="003F1C8E" w:rsidRPr="0062683F" w:rsidRDefault="003F1C8E" w:rsidP="0062683F">
      <w:pPr>
        <w:pStyle w:val="ListBullet"/>
        <w:numPr>
          <w:ilvl w:val="0"/>
          <w:numId w:val="7"/>
        </w:numPr>
        <w:tabs>
          <w:tab w:val="clear" w:pos="284"/>
        </w:tabs>
        <w:spacing w:after="240"/>
        <w:ind w:left="369" w:hanging="369"/>
        <w:jc w:val="left"/>
        <w:rPr>
          <w:rFonts w:ascii="Century Gothic" w:hAnsi="Century Gothic"/>
        </w:rPr>
      </w:pPr>
      <w:r w:rsidRPr="0062683F">
        <w:rPr>
          <w:rFonts w:ascii="Century Gothic" w:hAnsi="Century Gothic"/>
        </w:rPr>
        <w:t xml:space="preserve">have regard to the Basin annual environmental watering priorities </w:t>
      </w:r>
    </w:p>
    <w:p w:rsidR="003F1C8E" w:rsidRPr="0062683F" w:rsidRDefault="003F1C8E" w:rsidP="0062683F">
      <w:pPr>
        <w:pStyle w:val="ListBullet"/>
        <w:numPr>
          <w:ilvl w:val="0"/>
          <w:numId w:val="7"/>
        </w:numPr>
        <w:tabs>
          <w:tab w:val="clear" w:pos="284"/>
        </w:tabs>
        <w:spacing w:after="240"/>
        <w:ind w:left="369" w:hanging="369"/>
        <w:jc w:val="left"/>
        <w:rPr>
          <w:rFonts w:ascii="Century Gothic" w:hAnsi="Century Gothic"/>
        </w:rPr>
      </w:pPr>
      <w:r w:rsidRPr="0062683F">
        <w:rPr>
          <w:rFonts w:ascii="Century Gothic" w:hAnsi="Century Gothic"/>
        </w:rPr>
        <w:t>be in accordance with the principles to be applied in environmental watering, which include maximising environmental outcomes, having regard to risks and costs, working effectively with local communities,</w:t>
      </w:r>
      <w:r w:rsidR="00D677C0">
        <w:rPr>
          <w:rFonts w:ascii="Century Gothic" w:hAnsi="Century Gothic"/>
        </w:rPr>
        <w:t xml:space="preserve"> and</w:t>
      </w:r>
      <w:r w:rsidRPr="0062683F">
        <w:rPr>
          <w:rFonts w:ascii="Century Gothic" w:hAnsi="Century Gothic"/>
        </w:rPr>
        <w:t xml:space="preserve"> applying adaptive management and the precautionary principle</w:t>
      </w:r>
    </w:p>
    <w:p w:rsidR="003F1C8E" w:rsidRPr="0062683F" w:rsidRDefault="003F1C8E" w:rsidP="0062683F">
      <w:pPr>
        <w:pStyle w:val="ListBullet"/>
        <w:numPr>
          <w:ilvl w:val="0"/>
          <w:numId w:val="7"/>
        </w:numPr>
        <w:tabs>
          <w:tab w:val="clear" w:pos="284"/>
        </w:tabs>
        <w:spacing w:after="240"/>
        <w:ind w:left="369" w:hanging="369"/>
        <w:jc w:val="left"/>
        <w:rPr>
          <w:rFonts w:ascii="Century Gothic" w:hAnsi="Century Gothic"/>
        </w:rPr>
      </w:pPr>
      <w:proofErr w:type="gramStart"/>
      <w:r w:rsidRPr="0062683F">
        <w:rPr>
          <w:rFonts w:ascii="Century Gothic" w:hAnsi="Century Gothic"/>
        </w:rPr>
        <w:t>have</w:t>
      </w:r>
      <w:proofErr w:type="gramEnd"/>
      <w:r w:rsidRPr="0062683F">
        <w:rPr>
          <w:rFonts w:ascii="Century Gothic" w:hAnsi="Century Gothic"/>
        </w:rPr>
        <w:t xml:space="preserve"> regard to the water quality and salinity targets for managing flows.</w:t>
      </w:r>
    </w:p>
    <w:p w:rsidR="00FC33AF" w:rsidRPr="0062683F" w:rsidRDefault="00F028C6" w:rsidP="0062683F">
      <w:pPr>
        <w:pStyle w:val="ListBullet"/>
        <w:numPr>
          <w:ilvl w:val="0"/>
          <w:numId w:val="0"/>
        </w:numPr>
        <w:spacing w:after="240"/>
        <w:rPr>
          <w:rFonts w:ascii="Century Gothic" w:hAnsi="Century Gothic"/>
        </w:rPr>
      </w:pPr>
      <w:r w:rsidRPr="0062683F">
        <w:rPr>
          <w:rFonts w:ascii="Century Gothic" w:hAnsi="Century Gothic" w:cs="Arial"/>
        </w:rPr>
        <w:t xml:space="preserve">Trade of environmental water must undertaken consistent with the </w:t>
      </w:r>
      <w:r w:rsidR="00976C8F" w:rsidRPr="0062683F">
        <w:rPr>
          <w:rFonts w:ascii="Century Gothic" w:hAnsi="Century Gothic" w:cs="Arial"/>
        </w:rPr>
        <w:t xml:space="preserve">Basin Plan’s </w:t>
      </w:r>
      <w:r w:rsidRPr="0062683F">
        <w:rPr>
          <w:rFonts w:ascii="Century Gothic" w:hAnsi="Century Gothic" w:cs="Arial"/>
        </w:rPr>
        <w:t>water trading rules, including that arrangements be in place to avoid trading on the basis of non-public information that may have a material impact on a person’s decision to trade</w:t>
      </w:r>
      <w:r w:rsidR="00FC33AF" w:rsidRPr="0062683F">
        <w:rPr>
          <w:rFonts w:ascii="Century Gothic" w:hAnsi="Century Gothic"/>
        </w:rPr>
        <w:t xml:space="preserve">. </w:t>
      </w:r>
    </w:p>
    <w:p w:rsidR="003F1C8E" w:rsidRPr="0062683F" w:rsidRDefault="003F1C8E" w:rsidP="0062683F">
      <w:pPr>
        <w:tabs>
          <w:tab w:val="left" w:pos="1134"/>
        </w:tabs>
        <w:spacing w:after="240"/>
        <w:jc w:val="left"/>
        <w:rPr>
          <w:rFonts w:ascii="Century Gothic" w:hAnsi="Century Gothic" w:cs="Arial"/>
        </w:rPr>
      </w:pPr>
      <w:r w:rsidRPr="0062683F">
        <w:rPr>
          <w:rFonts w:ascii="Century Gothic" w:hAnsi="Century Gothic" w:cs="Arial"/>
        </w:rPr>
        <w:t xml:space="preserve">The Basin Plan also places a number of other obligations relating to the </w:t>
      </w:r>
      <w:r w:rsidR="00995707" w:rsidRPr="0062683F">
        <w:rPr>
          <w:rFonts w:ascii="Century Gothic" w:hAnsi="Century Gothic" w:cs="Arial"/>
        </w:rPr>
        <w:t xml:space="preserve">Commonwealth Environmental Water Holder’s </w:t>
      </w:r>
      <w:r w:rsidRPr="0062683F">
        <w:rPr>
          <w:rFonts w:ascii="Century Gothic" w:hAnsi="Century Gothic" w:cs="Arial"/>
        </w:rPr>
        <w:t xml:space="preserve">monitoring, evaluation and reporting activities. </w:t>
      </w:r>
    </w:p>
    <w:p w:rsidR="00316171" w:rsidRPr="00560998" w:rsidRDefault="00316171" w:rsidP="006C2670">
      <w:pPr>
        <w:pStyle w:val="Heading1"/>
        <w:numPr>
          <w:ilvl w:val="1"/>
          <w:numId w:val="19"/>
        </w:numPr>
        <w:spacing w:before="240" w:after="240"/>
        <w:ind w:left="0" w:firstLine="0"/>
        <w:jc w:val="left"/>
        <w:rPr>
          <w:rFonts w:cs="Times New Roman"/>
          <w:caps w:val="0"/>
          <w:color w:val="5F497A" w:themeColor="accent4" w:themeShade="BF"/>
          <w:sz w:val="40"/>
          <w:szCs w:val="40"/>
          <w:lang w:val="en-GB" w:eastAsia="en-US"/>
        </w:rPr>
      </w:pPr>
      <w:bookmarkStart w:id="12" w:name="_Toc415473567"/>
      <w:bookmarkStart w:id="13" w:name="_Toc422389604"/>
      <w:r w:rsidRPr="00560998">
        <w:rPr>
          <w:rFonts w:cs="Times New Roman"/>
          <w:caps w:val="0"/>
          <w:color w:val="5F497A" w:themeColor="accent4" w:themeShade="BF"/>
          <w:sz w:val="40"/>
          <w:szCs w:val="40"/>
          <w:lang w:val="en-GB" w:eastAsia="en-US"/>
        </w:rPr>
        <w:t>Working with delivery partners</w:t>
      </w:r>
      <w:bookmarkEnd w:id="12"/>
      <w:bookmarkEnd w:id="13"/>
    </w:p>
    <w:p w:rsidR="003F1C8E" w:rsidRPr="00BE31EB" w:rsidRDefault="003F1C8E" w:rsidP="003F1C8E">
      <w:pPr>
        <w:spacing w:after="240"/>
        <w:jc w:val="left"/>
        <w:rPr>
          <w:rFonts w:ascii="Century Gothic" w:hAnsi="Century Gothic" w:cs="Arial"/>
        </w:rPr>
      </w:pPr>
      <w:r w:rsidRPr="00BE31EB">
        <w:rPr>
          <w:rFonts w:ascii="Century Gothic" w:hAnsi="Century Gothic" w:cs="Arial"/>
        </w:rPr>
        <w:t xml:space="preserve">Commonwealth environmental water is delivered by a range of </w:t>
      </w:r>
      <w:hyperlink r:id="rId16" w:history="1">
        <w:r w:rsidRPr="00BE31EB">
          <w:rPr>
            <w:rFonts w:ascii="Century Gothic" w:hAnsi="Century Gothic" w:cs="Arial"/>
          </w:rPr>
          <w:t>delivery partners</w:t>
        </w:r>
      </w:hyperlink>
      <w:r w:rsidRPr="00BE31EB">
        <w:rPr>
          <w:rFonts w:ascii="Century Gothic" w:hAnsi="Century Gothic" w:cs="Arial"/>
        </w:rPr>
        <w:t>, including state governments, catchment management authorities, regional and local land managers</w:t>
      </w:r>
      <w:r w:rsidR="00B174C7">
        <w:rPr>
          <w:rFonts w:ascii="Century Gothic" w:hAnsi="Century Gothic" w:cs="Arial"/>
        </w:rPr>
        <w:t>, non-government</w:t>
      </w:r>
      <w:r w:rsidR="00B174C7" w:rsidRPr="00BE31EB">
        <w:rPr>
          <w:rFonts w:ascii="Century Gothic" w:hAnsi="Century Gothic" w:cs="Arial"/>
        </w:rPr>
        <w:t xml:space="preserve"> </w:t>
      </w:r>
      <w:r w:rsidR="00B174C7">
        <w:rPr>
          <w:rFonts w:ascii="Century Gothic" w:hAnsi="Century Gothic" w:cs="Arial"/>
        </w:rPr>
        <w:t xml:space="preserve">organisations </w:t>
      </w:r>
      <w:r w:rsidRPr="00BE31EB">
        <w:rPr>
          <w:rFonts w:ascii="Century Gothic" w:hAnsi="Century Gothic" w:cs="Arial"/>
        </w:rPr>
        <w:t>and river operators. These partners deliver water for all water users in accordance with the rules and regulations governing the delivery of water in each water source.</w:t>
      </w:r>
    </w:p>
    <w:p w:rsidR="003F1C8E" w:rsidRPr="00BE31EB" w:rsidRDefault="00995707" w:rsidP="003F1C8E">
      <w:pPr>
        <w:spacing w:after="240"/>
        <w:jc w:val="left"/>
        <w:rPr>
          <w:rFonts w:ascii="Century Gothic" w:hAnsi="Century Gothic" w:cs="Arial"/>
        </w:rPr>
      </w:pPr>
      <w:r>
        <w:rPr>
          <w:rFonts w:ascii="Century Gothic" w:hAnsi="Century Gothic" w:cs="Arial"/>
        </w:rPr>
        <w:t>These portfolio management plans</w:t>
      </w:r>
      <w:r w:rsidR="003F1C8E" w:rsidRPr="00BE31EB">
        <w:rPr>
          <w:rFonts w:ascii="Century Gothic" w:hAnsi="Century Gothic" w:cs="Arial"/>
        </w:rPr>
        <w:t xml:space="preserve"> are developed in consultation with state government departments and agencies, river operators, catchment management and land service agencies, local environmental watering advisory groups, wetland managers, holders of environmental water, landholders and communities</w:t>
      </w:r>
      <w:r w:rsidR="00795FF9">
        <w:rPr>
          <w:rFonts w:ascii="Century Gothic" w:hAnsi="Century Gothic" w:cs="Arial"/>
        </w:rPr>
        <w:t>,</w:t>
      </w:r>
      <w:r w:rsidR="003F1C8E" w:rsidRPr="00BE31EB">
        <w:rPr>
          <w:rFonts w:ascii="Century Gothic" w:hAnsi="Century Gothic" w:cs="Arial"/>
        </w:rPr>
        <w:t xml:space="preserve"> and the Murray-Darling Basin Authority (MDBA). </w:t>
      </w:r>
    </w:p>
    <w:p w:rsidR="00316171" w:rsidRPr="00560998" w:rsidRDefault="00316171" w:rsidP="006C2670">
      <w:pPr>
        <w:pStyle w:val="Heading1"/>
        <w:numPr>
          <w:ilvl w:val="1"/>
          <w:numId w:val="19"/>
        </w:numPr>
        <w:spacing w:before="240" w:after="240"/>
        <w:ind w:left="0" w:firstLine="0"/>
        <w:jc w:val="left"/>
        <w:rPr>
          <w:rFonts w:cs="Times New Roman"/>
          <w:caps w:val="0"/>
          <w:color w:val="5F497A" w:themeColor="accent4" w:themeShade="BF"/>
          <w:sz w:val="40"/>
          <w:szCs w:val="40"/>
          <w:lang w:val="en-GB" w:eastAsia="en-US"/>
        </w:rPr>
      </w:pPr>
      <w:bookmarkStart w:id="14" w:name="_Toc415473568"/>
      <w:bookmarkStart w:id="15" w:name="_Toc422389605"/>
      <w:r w:rsidRPr="00560998">
        <w:rPr>
          <w:rFonts w:cs="Times New Roman"/>
          <w:caps w:val="0"/>
          <w:color w:val="5F497A" w:themeColor="accent4" w:themeShade="BF"/>
          <w:sz w:val="40"/>
          <w:szCs w:val="40"/>
          <w:lang w:val="en-GB" w:eastAsia="en-US"/>
        </w:rPr>
        <w:t>Working with communities</w:t>
      </w:r>
      <w:bookmarkEnd w:id="14"/>
      <w:bookmarkEnd w:id="15"/>
    </w:p>
    <w:p w:rsidR="00C03993" w:rsidRPr="00CF5754" w:rsidRDefault="00C03993" w:rsidP="00C03993">
      <w:pPr>
        <w:pStyle w:val="Para0"/>
        <w:spacing w:after="240" w:line="240" w:lineRule="auto"/>
        <w:jc w:val="left"/>
        <w:rPr>
          <w:rFonts w:ascii="Century Gothic" w:hAnsi="Century Gothic"/>
          <w:color w:val="auto"/>
        </w:rPr>
      </w:pPr>
      <w:r w:rsidRPr="00CF5754">
        <w:rPr>
          <w:rFonts w:ascii="Century Gothic" w:hAnsi="Century Gothic"/>
          <w:color w:val="auto"/>
        </w:rPr>
        <w:t xml:space="preserve">Local information and experience is critical to being able to effectively manage and deliver Commonwealth environmental water. We are very grateful for the expertise, advice, feedback and support provided by our </w:t>
      </w:r>
      <w:hyperlink r:id="rId17" w:history="1">
        <w:r w:rsidRPr="00CF5754">
          <w:rPr>
            <w:rFonts w:ascii="Century Gothic" w:hAnsi="Century Gothic"/>
            <w:color w:val="auto"/>
          </w:rPr>
          <w:t>delivery partners</w:t>
        </w:r>
      </w:hyperlink>
      <w:r w:rsidRPr="00CF5754">
        <w:rPr>
          <w:rFonts w:ascii="Century Gothic" w:hAnsi="Century Gothic"/>
          <w:color w:val="auto"/>
        </w:rPr>
        <w:t>, environmental water holders</w:t>
      </w:r>
      <w:r w:rsidR="00795FF9">
        <w:rPr>
          <w:rFonts w:ascii="Century Gothic" w:hAnsi="Century Gothic"/>
          <w:color w:val="auto"/>
        </w:rPr>
        <w:t xml:space="preserve"> and</w:t>
      </w:r>
      <w:r w:rsidRPr="00CF5754">
        <w:rPr>
          <w:rFonts w:ascii="Century Gothic" w:hAnsi="Century Gothic"/>
          <w:color w:val="auto"/>
        </w:rPr>
        <w:t xml:space="preserve"> members of regional advisory groups who invite us to participate in their processes, and the many landowners who work with us to plan, manage and monitor the use of environmental water in the Basin.</w:t>
      </w:r>
    </w:p>
    <w:p w:rsidR="00E47462" w:rsidRPr="00560998" w:rsidRDefault="00F00169" w:rsidP="006C2670">
      <w:pPr>
        <w:pStyle w:val="Heading1"/>
        <w:numPr>
          <w:ilvl w:val="1"/>
          <w:numId w:val="19"/>
        </w:numPr>
        <w:spacing w:before="240" w:after="240"/>
        <w:ind w:left="0" w:firstLine="0"/>
        <w:jc w:val="left"/>
        <w:rPr>
          <w:rFonts w:cs="Times New Roman"/>
          <w:caps w:val="0"/>
          <w:color w:val="5F497A" w:themeColor="accent4" w:themeShade="BF"/>
          <w:sz w:val="40"/>
          <w:szCs w:val="40"/>
          <w:lang w:val="en-GB" w:eastAsia="en-US"/>
        </w:rPr>
      </w:pPr>
      <w:bookmarkStart w:id="16" w:name="_Toc422389606"/>
      <w:r w:rsidRPr="00560998">
        <w:rPr>
          <w:rFonts w:cs="Times New Roman"/>
          <w:caps w:val="0"/>
          <w:color w:val="5F497A" w:themeColor="accent4" w:themeShade="BF"/>
          <w:sz w:val="40"/>
          <w:szCs w:val="40"/>
          <w:lang w:val="en-GB" w:eastAsia="en-US"/>
        </w:rPr>
        <w:lastRenderedPageBreak/>
        <w:t>Local Engagement Officers</w:t>
      </w:r>
      <w:bookmarkEnd w:id="16"/>
    </w:p>
    <w:p w:rsidR="00995707" w:rsidRDefault="00C03993" w:rsidP="00C03993">
      <w:pPr>
        <w:pStyle w:val="Para0"/>
        <w:spacing w:after="240" w:line="240" w:lineRule="auto"/>
        <w:jc w:val="left"/>
        <w:rPr>
          <w:rFonts w:ascii="Century Gothic" w:hAnsi="Century Gothic"/>
          <w:color w:val="auto"/>
        </w:rPr>
      </w:pPr>
      <w:r w:rsidRPr="00CF5754">
        <w:rPr>
          <w:rFonts w:ascii="Century Gothic" w:hAnsi="Century Gothic"/>
          <w:color w:val="auto"/>
        </w:rPr>
        <w:t>The Commonwealth Environmental Water Holder now has six local engagement officers working within the Murray-Darling Basin, to assist members of the community to participate in environmental water planning and decision making. These six officers, alongside other officers of local land and water management agencies, will work closely with all levels of government as well as local communities and businesses across a range of catchments for which they have responsibility.</w:t>
      </w:r>
      <w:r w:rsidR="00392B56">
        <w:rPr>
          <w:rFonts w:ascii="Century Gothic" w:hAnsi="Century Gothic"/>
          <w:color w:val="auto"/>
        </w:rPr>
        <w:t xml:space="preserve"> For further information please refer to:</w:t>
      </w:r>
    </w:p>
    <w:p w:rsidR="00392B56" w:rsidRPr="00CF5754" w:rsidRDefault="00D44173" w:rsidP="00C03993">
      <w:pPr>
        <w:pStyle w:val="Para0"/>
        <w:spacing w:after="240" w:line="240" w:lineRule="auto"/>
        <w:jc w:val="left"/>
        <w:rPr>
          <w:rFonts w:ascii="Century Gothic" w:hAnsi="Century Gothic"/>
          <w:color w:val="auto"/>
        </w:rPr>
      </w:pPr>
      <w:hyperlink r:id="rId18" w:history="1">
        <w:r w:rsidR="00281DEF" w:rsidRPr="002B6397">
          <w:rPr>
            <w:rStyle w:val="Hyperlink"/>
            <w:rFonts w:ascii="Century Gothic" w:hAnsi="Century Gothic"/>
          </w:rPr>
          <w:t>http://www.environment.gov.au/water/cewo/local-engagement</w:t>
        </w:r>
      </w:hyperlink>
      <w:r w:rsidR="00921DEE">
        <w:rPr>
          <w:rFonts w:ascii="Century Gothic" w:hAnsi="Century Gothic"/>
          <w:color w:val="auto"/>
        </w:rPr>
        <w:t xml:space="preserve"> </w:t>
      </w:r>
    </w:p>
    <w:p w:rsidR="00995707" w:rsidRPr="00560998" w:rsidRDefault="00995707" w:rsidP="006C2670">
      <w:pPr>
        <w:pStyle w:val="Heading1"/>
        <w:numPr>
          <w:ilvl w:val="1"/>
          <w:numId w:val="19"/>
        </w:numPr>
        <w:spacing w:before="240" w:after="240"/>
        <w:ind w:left="0" w:firstLine="0"/>
        <w:jc w:val="left"/>
        <w:rPr>
          <w:rFonts w:cs="Times New Roman"/>
          <w:caps w:val="0"/>
          <w:color w:val="5F497A" w:themeColor="accent4" w:themeShade="BF"/>
          <w:sz w:val="40"/>
          <w:szCs w:val="40"/>
          <w:lang w:val="en-GB" w:eastAsia="en-US"/>
        </w:rPr>
      </w:pPr>
      <w:bookmarkStart w:id="17" w:name="_Toc422389607"/>
      <w:r w:rsidRPr="00560998">
        <w:rPr>
          <w:rFonts w:cs="Times New Roman"/>
          <w:caps w:val="0"/>
          <w:color w:val="5F497A" w:themeColor="accent4" w:themeShade="BF"/>
          <w:sz w:val="40"/>
          <w:szCs w:val="40"/>
          <w:lang w:val="en-GB" w:eastAsia="en-US"/>
        </w:rPr>
        <w:t>Supporting multiple outcomes</w:t>
      </w:r>
      <w:bookmarkEnd w:id="17"/>
    </w:p>
    <w:p w:rsidR="00675265" w:rsidRPr="00BE31EB" w:rsidRDefault="00675265" w:rsidP="00F5362B">
      <w:pPr>
        <w:pStyle w:val="Para0"/>
        <w:spacing w:after="240" w:line="240" w:lineRule="auto"/>
        <w:jc w:val="left"/>
        <w:rPr>
          <w:rFonts w:ascii="Century Gothic" w:hAnsi="Century Gothic"/>
          <w:color w:val="auto"/>
        </w:rPr>
      </w:pPr>
      <w:r w:rsidRPr="00BE31EB">
        <w:rPr>
          <w:rFonts w:ascii="Century Gothic" w:hAnsi="Century Gothic"/>
          <w:color w:val="auto"/>
        </w:rPr>
        <w:t>While the primary purpose of any Commonwealth environmental watering action is to achieve environmental outcomes, there are also opportunities to support complementary social, cultural and economic outcomes.</w:t>
      </w:r>
      <w:r w:rsidR="000E5012">
        <w:rPr>
          <w:rFonts w:ascii="Century Gothic" w:hAnsi="Century Gothic"/>
          <w:color w:val="auto"/>
        </w:rPr>
        <w:t xml:space="preserve"> </w:t>
      </w:r>
      <w:r w:rsidRPr="00BE31EB">
        <w:rPr>
          <w:rFonts w:ascii="Century Gothic" w:hAnsi="Century Gothic"/>
          <w:color w:val="auto"/>
        </w:rPr>
        <w:t xml:space="preserve">Providing environmental water to rivers, wetlands and floodplains can support recreational and tourism activities (such as fishing, </w:t>
      </w:r>
      <w:proofErr w:type="spellStart"/>
      <w:r w:rsidRPr="00BE31EB">
        <w:rPr>
          <w:rFonts w:ascii="Century Gothic" w:hAnsi="Century Gothic"/>
          <w:color w:val="auto"/>
        </w:rPr>
        <w:t>birdwatching</w:t>
      </w:r>
      <w:proofErr w:type="spellEnd"/>
      <w:r w:rsidRPr="00BE31EB">
        <w:rPr>
          <w:rFonts w:ascii="Century Gothic" w:hAnsi="Century Gothic"/>
          <w:color w:val="auto"/>
        </w:rPr>
        <w:t>, boating/kayaking and camping), improve water quality and create a more sustainable environment to underpin commercial activities. In planning environmental watering actions, the Office welcomes local community groups’ and local governments’ ideas and advice on opportunities for achieving complementary social and economic outcomes. This could include providing information on important local wetlands, recreational activities or tourism events.</w:t>
      </w:r>
    </w:p>
    <w:p w:rsidR="00675265" w:rsidRPr="00BE31EB" w:rsidRDefault="00675265" w:rsidP="00F5362B">
      <w:pPr>
        <w:pStyle w:val="Para0"/>
        <w:spacing w:after="240" w:line="240" w:lineRule="auto"/>
        <w:jc w:val="left"/>
        <w:rPr>
          <w:rFonts w:ascii="Century Gothic" w:hAnsi="Century Gothic"/>
          <w:color w:val="auto"/>
        </w:rPr>
      </w:pPr>
      <w:r w:rsidRPr="00BE31EB">
        <w:rPr>
          <w:rFonts w:ascii="Century Gothic" w:hAnsi="Century Gothic"/>
          <w:color w:val="auto"/>
        </w:rPr>
        <w:t>The Office recognises and acknowledges that the traditional owners and their Nations in the Murray-Darling Basin have a deep cultural, social, environmental, spiritual and economic connection to their lands and waters. The concept of cultural flows has been developed to help translate this complex relationship into the language of water planning and management. The Northern Murray-Darling Basin Aboriginal Nations and the Murray Lower Darling Rivers Indigenous Nations have adopted the following definition of cultural flows: “Water entitlements that are legally and beneficially owned by the Indigenous Nations and are of sufficient and adequate quantity to improve the spiritual, cultural, environmental, social and economic conditions of those Indigenous Nations. This is our inherent right”</w:t>
      </w:r>
      <w:r w:rsidRPr="00BE31EB">
        <w:rPr>
          <w:rStyle w:val="FootnoteReference"/>
          <w:rFonts w:ascii="Century Gothic" w:hAnsi="Century Gothic"/>
          <w:color w:val="auto"/>
        </w:rPr>
        <w:footnoteReference w:id="1"/>
      </w:r>
      <w:r w:rsidRPr="00BE31EB">
        <w:rPr>
          <w:rFonts w:ascii="Century Gothic" w:hAnsi="Century Gothic"/>
          <w:color w:val="auto"/>
        </w:rPr>
        <w:t xml:space="preserve">. </w:t>
      </w:r>
    </w:p>
    <w:p w:rsidR="00675265" w:rsidRPr="00D04221" w:rsidRDefault="00675265" w:rsidP="00F5362B">
      <w:pPr>
        <w:pStyle w:val="Para0"/>
        <w:spacing w:after="240" w:line="240" w:lineRule="auto"/>
        <w:jc w:val="left"/>
        <w:rPr>
          <w:rFonts w:ascii="Century Gothic" w:hAnsi="Century Gothic"/>
          <w:color w:val="auto"/>
        </w:rPr>
      </w:pPr>
      <w:r w:rsidRPr="00BE31EB">
        <w:rPr>
          <w:rFonts w:ascii="Century Gothic" w:hAnsi="Century Gothic"/>
          <w:color w:val="auto"/>
        </w:rPr>
        <w:t xml:space="preserve">While environmental flows are not cultural flows, there are opportunities to support complementary cultural outcomes through environmental water use. For this reason, the Office engages with Indigenous nations to identify such opportunities and welcomes interested Indigenous communities or organisations bringing forward proposals. </w:t>
      </w:r>
    </w:p>
    <w:p w:rsidR="00E47462" w:rsidRPr="00560998" w:rsidRDefault="00F00169" w:rsidP="006C2670">
      <w:pPr>
        <w:pStyle w:val="Heading1"/>
        <w:numPr>
          <w:ilvl w:val="1"/>
          <w:numId w:val="19"/>
        </w:numPr>
        <w:spacing w:before="240" w:after="240"/>
        <w:ind w:left="0" w:firstLine="0"/>
        <w:jc w:val="left"/>
        <w:rPr>
          <w:rFonts w:cs="Times New Roman"/>
          <w:caps w:val="0"/>
          <w:color w:val="5F497A" w:themeColor="accent4" w:themeShade="BF"/>
          <w:sz w:val="40"/>
          <w:szCs w:val="40"/>
          <w:lang w:val="en-GB" w:eastAsia="en-US"/>
        </w:rPr>
      </w:pPr>
      <w:bookmarkStart w:id="18" w:name="_Toc422389608"/>
      <w:r w:rsidRPr="00560998">
        <w:rPr>
          <w:rFonts w:cs="Times New Roman"/>
          <w:caps w:val="0"/>
          <w:color w:val="5F497A" w:themeColor="accent4" w:themeShade="BF"/>
          <w:sz w:val="40"/>
          <w:szCs w:val="40"/>
          <w:lang w:val="en-GB" w:eastAsia="en-US"/>
        </w:rPr>
        <w:t>Contact information</w:t>
      </w:r>
      <w:bookmarkEnd w:id="18"/>
    </w:p>
    <w:p w:rsidR="005A53D7" w:rsidRPr="005A53D7" w:rsidRDefault="005A53D7" w:rsidP="005A53D7">
      <w:pPr>
        <w:autoSpaceDE w:val="0"/>
        <w:autoSpaceDN w:val="0"/>
        <w:adjustRightInd w:val="0"/>
        <w:spacing w:after="0"/>
        <w:jc w:val="left"/>
        <w:rPr>
          <w:rFonts w:ascii="Century Gothic" w:eastAsia="Calibri" w:hAnsi="Century Gothic" w:cs="Century Gothic"/>
          <w:color w:val="000000"/>
        </w:rPr>
      </w:pPr>
      <w:r w:rsidRPr="005A53D7">
        <w:rPr>
          <w:rFonts w:ascii="Century Gothic" w:eastAsia="Calibri" w:hAnsi="Century Gothic" w:cs="Century Gothic"/>
          <w:color w:val="000000"/>
        </w:rPr>
        <w:t xml:space="preserve">The Office welcomes information from the community on how environmental water can best be managed. If you have any comments or suggestions, please call 1800 218 478 or send an email to: </w:t>
      </w:r>
      <w:hyperlink r:id="rId19" w:history="1">
        <w:r w:rsidR="00590E52" w:rsidRPr="003127F5">
          <w:rPr>
            <w:rStyle w:val="Hyperlink"/>
            <w:rFonts w:ascii="Century Gothic" w:eastAsia="Calibri" w:hAnsi="Century Gothic" w:cs="Century Gothic"/>
          </w:rPr>
          <w:t>ewater@environment.gov.au</w:t>
        </w:r>
      </w:hyperlink>
      <w:r w:rsidR="00590E52">
        <w:rPr>
          <w:rFonts w:ascii="Century Gothic" w:eastAsia="Calibri" w:hAnsi="Century Gothic" w:cs="Century Gothic"/>
          <w:color w:val="000000"/>
        </w:rPr>
        <w:t xml:space="preserve"> </w:t>
      </w:r>
      <w:r w:rsidRPr="005A53D7">
        <w:rPr>
          <w:rFonts w:ascii="Century Gothic" w:eastAsia="Calibri" w:hAnsi="Century Gothic" w:cs="Century Gothic"/>
          <w:color w:val="000000"/>
        </w:rPr>
        <w:t xml:space="preserve"> </w:t>
      </w:r>
    </w:p>
    <w:p w:rsidR="006B14DB" w:rsidRPr="00560998" w:rsidRDefault="00995707" w:rsidP="00994672">
      <w:pPr>
        <w:pStyle w:val="Heading1"/>
        <w:numPr>
          <w:ilvl w:val="0"/>
          <w:numId w:val="20"/>
        </w:numPr>
        <w:spacing w:after="240"/>
        <w:ind w:left="357" w:hanging="357"/>
        <w:jc w:val="left"/>
        <w:rPr>
          <w:rFonts w:ascii="Century Gothic" w:hAnsi="Century Gothic"/>
          <w:caps w:val="0"/>
          <w:noProof/>
          <w:color w:val="5F497A" w:themeColor="accent4" w:themeShade="BF"/>
          <w:sz w:val="48"/>
          <w:szCs w:val="48"/>
        </w:rPr>
      </w:pPr>
      <w:r>
        <w:rPr>
          <w:rFonts w:ascii="Century Gothic" w:hAnsi="Century Gothic"/>
          <w:noProof/>
          <w:color w:val="5F497A" w:themeColor="accent4" w:themeShade="BF"/>
          <w:szCs w:val="24"/>
        </w:rPr>
        <w:br w:type="page"/>
      </w:r>
      <w:bookmarkStart w:id="19" w:name="_Toc422389609"/>
      <w:r w:rsidR="00E84CFF" w:rsidRPr="00560998">
        <w:rPr>
          <w:rFonts w:cs="Times New Roman"/>
          <w:caps w:val="0"/>
          <w:color w:val="5F497A" w:themeColor="accent4" w:themeShade="BF"/>
          <w:sz w:val="48"/>
          <w:szCs w:val="48"/>
          <w:lang w:val="en-GB" w:eastAsia="en-US"/>
        </w:rPr>
        <w:lastRenderedPageBreak/>
        <w:t>Portfolio management planning</w:t>
      </w:r>
      <w:bookmarkEnd w:id="19"/>
    </w:p>
    <w:p w:rsidR="00995707" w:rsidRDefault="00995707" w:rsidP="00994672">
      <w:pPr>
        <w:jc w:val="left"/>
        <w:rPr>
          <w:rFonts w:ascii="Century Gothic" w:hAnsi="Century Gothic"/>
        </w:rPr>
      </w:pPr>
      <w:r w:rsidRPr="00914D09">
        <w:rPr>
          <w:rFonts w:ascii="Century Gothic" w:hAnsi="Century Gothic"/>
        </w:rPr>
        <w:t xml:space="preserve">The Office has </w:t>
      </w:r>
      <w:r>
        <w:rPr>
          <w:rFonts w:ascii="Century Gothic" w:hAnsi="Century Gothic"/>
        </w:rPr>
        <w:t>adopted a new approach to planning</w:t>
      </w:r>
      <w:r w:rsidRPr="00914D09">
        <w:rPr>
          <w:rFonts w:ascii="Century Gothic" w:hAnsi="Century Gothic"/>
        </w:rPr>
        <w:t xml:space="preserve"> for 2015</w:t>
      </w:r>
      <w:r>
        <w:rPr>
          <w:rFonts w:ascii="Century Gothic" w:hAnsi="Century Gothic"/>
        </w:rPr>
        <w:t>–</w:t>
      </w:r>
      <w:r w:rsidRPr="00914D09">
        <w:rPr>
          <w:rFonts w:ascii="Century Gothic" w:hAnsi="Century Gothic"/>
        </w:rPr>
        <w:t>16</w:t>
      </w:r>
      <w:r>
        <w:rPr>
          <w:rFonts w:ascii="Century Gothic" w:hAnsi="Century Gothic"/>
        </w:rPr>
        <w:t>. Reflecting the continuing evolution in environmental water management, this new approach:</w:t>
      </w:r>
    </w:p>
    <w:p w:rsidR="00940242" w:rsidRDefault="00995707" w:rsidP="00994672">
      <w:pPr>
        <w:pStyle w:val="ListBullet"/>
        <w:rPr>
          <w:rFonts w:ascii="Century Gothic" w:hAnsi="Century Gothic"/>
        </w:rPr>
      </w:pPr>
      <w:r w:rsidRPr="00995707">
        <w:rPr>
          <w:rFonts w:ascii="Century Gothic" w:hAnsi="Century Gothic"/>
        </w:rPr>
        <w:t>integrat</w:t>
      </w:r>
      <w:r>
        <w:rPr>
          <w:rFonts w:ascii="Century Gothic" w:hAnsi="Century Gothic"/>
        </w:rPr>
        <w:t>es</w:t>
      </w:r>
      <w:r w:rsidRPr="00995707">
        <w:rPr>
          <w:rFonts w:ascii="Century Gothic" w:hAnsi="Century Gothic"/>
        </w:rPr>
        <w:t xml:space="preserve"> the planning for </w:t>
      </w:r>
      <w:r>
        <w:rPr>
          <w:rFonts w:ascii="Century Gothic" w:hAnsi="Century Gothic"/>
        </w:rPr>
        <w:t xml:space="preserve">the </w:t>
      </w:r>
      <w:r w:rsidRPr="00995707">
        <w:rPr>
          <w:rFonts w:ascii="Century Gothic" w:hAnsi="Century Gothic"/>
        </w:rPr>
        <w:t xml:space="preserve">use, carryover and </w:t>
      </w:r>
      <w:r w:rsidR="00795FF9">
        <w:rPr>
          <w:rFonts w:ascii="Century Gothic" w:hAnsi="Century Gothic"/>
        </w:rPr>
        <w:t xml:space="preserve">allocation </w:t>
      </w:r>
      <w:r w:rsidRPr="00995707">
        <w:rPr>
          <w:rFonts w:ascii="Century Gothic" w:hAnsi="Century Gothic"/>
        </w:rPr>
        <w:t>trade (including purchase, sale and transfers)</w:t>
      </w:r>
      <w:r>
        <w:rPr>
          <w:rFonts w:ascii="Century Gothic" w:hAnsi="Century Gothic"/>
        </w:rPr>
        <w:t xml:space="preserve"> of</w:t>
      </w:r>
      <w:r w:rsidRPr="00995707">
        <w:rPr>
          <w:rFonts w:ascii="Century Gothic" w:hAnsi="Century Gothic"/>
        </w:rPr>
        <w:t xml:space="preserve"> Commonwealth environmental water into a single process</w:t>
      </w:r>
    </w:p>
    <w:p w:rsidR="00E47462" w:rsidRDefault="00995707" w:rsidP="00994672">
      <w:pPr>
        <w:pStyle w:val="ListBullet"/>
        <w:rPr>
          <w:rFonts w:ascii="Century Gothic" w:hAnsi="Century Gothic"/>
        </w:rPr>
      </w:pPr>
      <w:r>
        <w:rPr>
          <w:rFonts w:ascii="Century Gothic" w:hAnsi="Century Gothic"/>
        </w:rPr>
        <w:t>provides greater detail around the longer-term context that informs portfolio management planning, including:</w:t>
      </w:r>
    </w:p>
    <w:p w:rsidR="00E47462" w:rsidRDefault="00F00169" w:rsidP="00994672">
      <w:pPr>
        <w:pStyle w:val="ListBullet2"/>
        <w:rPr>
          <w:rFonts w:ascii="Century Gothic" w:hAnsi="Century Gothic"/>
        </w:rPr>
      </w:pPr>
      <w:r w:rsidRPr="00F00169">
        <w:rPr>
          <w:rFonts w:ascii="Century Gothic" w:hAnsi="Century Gothic"/>
        </w:rPr>
        <w:t xml:space="preserve">identifying the long-term flow regime required to meet environmental demands </w:t>
      </w:r>
    </w:p>
    <w:p w:rsidR="00E47462" w:rsidRDefault="00F00169" w:rsidP="00994672">
      <w:pPr>
        <w:pStyle w:val="ListBullet2"/>
        <w:rPr>
          <w:rFonts w:ascii="Century Gothic" w:hAnsi="Century Gothic"/>
        </w:rPr>
      </w:pPr>
      <w:r w:rsidRPr="00F00169">
        <w:rPr>
          <w:rFonts w:ascii="Century Gothic" w:hAnsi="Century Gothic"/>
        </w:rPr>
        <w:t xml:space="preserve">documenting the recent watering history and its impact on environmental demands and asset condition </w:t>
      </w:r>
    </w:p>
    <w:p w:rsidR="00E47462" w:rsidRDefault="00F00169" w:rsidP="00F5362B">
      <w:pPr>
        <w:pStyle w:val="ListBullet2"/>
        <w:spacing w:after="240"/>
        <w:rPr>
          <w:rFonts w:ascii="Century Gothic" w:hAnsi="Century Gothic"/>
        </w:rPr>
      </w:pPr>
      <w:proofErr w:type="gramStart"/>
      <w:r w:rsidRPr="00F00169">
        <w:rPr>
          <w:rFonts w:ascii="Century Gothic" w:hAnsi="Century Gothic"/>
        </w:rPr>
        <w:t>documenting</w:t>
      </w:r>
      <w:proofErr w:type="gramEnd"/>
      <w:r w:rsidRPr="00F00169">
        <w:rPr>
          <w:rFonts w:ascii="Century Gothic" w:hAnsi="Century Gothic"/>
        </w:rPr>
        <w:t xml:space="preserve"> the implications for portfolio management intentions for 2015–16 and the following two years. </w:t>
      </w:r>
    </w:p>
    <w:p w:rsidR="00FC33AF" w:rsidRDefault="00995707" w:rsidP="00F5362B">
      <w:pPr>
        <w:spacing w:after="240"/>
        <w:jc w:val="left"/>
        <w:rPr>
          <w:rFonts w:ascii="Century Gothic" w:hAnsi="Century Gothic"/>
        </w:rPr>
      </w:pPr>
      <w:r>
        <w:rPr>
          <w:rFonts w:ascii="Century Gothic" w:hAnsi="Century Gothic"/>
        </w:rPr>
        <w:t xml:space="preserve">Consistent with the Office’s adaptive management of Commonwealth environmental water, these plans will be periodically reviewed throughout the year in light of changes in water availability, environmental demands, constraints, risks and market conditions. The portfolio management plans will be updated each year, while more frequent portfolio management statements will be made available on the Office’s website every three months. </w:t>
      </w:r>
      <w:bookmarkStart w:id="20" w:name="_Toc396916453"/>
      <w:bookmarkStart w:id="21" w:name="_Toc414367225"/>
    </w:p>
    <w:p w:rsidR="00487E31" w:rsidRDefault="00487E31" w:rsidP="00F5362B">
      <w:pPr>
        <w:spacing w:after="240"/>
        <w:jc w:val="left"/>
        <w:rPr>
          <w:rFonts w:ascii="Century Gothic" w:hAnsi="Century Gothic"/>
        </w:rPr>
      </w:pPr>
      <w:r w:rsidRPr="00487E31">
        <w:rPr>
          <w:rFonts w:ascii="Century Gothic" w:hAnsi="Century Gothic"/>
        </w:rPr>
        <w:t>It is important to note that trade of environmental water entitlements is not included in this process. Unlike allocation trade, which allows holders to be responsive to annual water demands, entitlement trade is used to re-balance the portfolio based on improvements in the knowledge of long-term environmental water demands.</w:t>
      </w:r>
    </w:p>
    <w:p w:rsidR="006C2670" w:rsidRPr="006C2670" w:rsidRDefault="006C2670" w:rsidP="006C2670">
      <w:pPr>
        <w:pStyle w:val="ListParagraph"/>
        <w:keepNext/>
        <w:numPr>
          <w:ilvl w:val="0"/>
          <w:numId w:val="19"/>
        </w:numPr>
        <w:spacing w:before="240" w:after="240"/>
        <w:jc w:val="left"/>
        <w:outlineLvl w:val="0"/>
        <w:rPr>
          <w:b/>
          <w:vanish/>
          <w:color w:val="5F497A" w:themeColor="accent4" w:themeShade="BF"/>
          <w:sz w:val="40"/>
          <w:szCs w:val="40"/>
          <w:lang w:val="en-GB" w:eastAsia="en-US"/>
        </w:rPr>
      </w:pPr>
      <w:bookmarkStart w:id="22" w:name="_Toc420502887"/>
      <w:bookmarkStart w:id="23" w:name="_Toc420502926"/>
      <w:bookmarkStart w:id="24" w:name="_Toc420926927"/>
      <w:bookmarkStart w:id="25" w:name="_Toc422389610"/>
      <w:bookmarkEnd w:id="22"/>
      <w:bookmarkEnd w:id="23"/>
      <w:bookmarkEnd w:id="24"/>
      <w:bookmarkEnd w:id="25"/>
    </w:p>
    <w:p w:rsidR="00996101" w:rsidRPr="00560998" w:rsidRDefault="00996101" w:rsidP="006C2670">
      <w:pPr>
        <w:pStyle w:val="Heading1"/>
        <w:numPr>
          <w:ilvl w:val="1"/>
          <w:numId w:val="19"/>
        </w:numPr>
        <w:spacing w:before="240" w:after="240"/>
        <w:ind w:left="432"/>
        <w:jc w:val="left"/>
        <w:rPr>
          <w:rFonts w:cs="Times New Roman"/>
          <w:caps w:val="0"/>
          <w:color w:val="5F497A" w:themeColor="accent4" w:themeShade="BF"/>
          <w:sz w:val="40"/>
          <w:szCs w:val="40"/>
          <w:lang w:val="en-GB" w:eastAsia="en-US"/>
        </w:rPr>
      </w:pPr>
      <w:bookmarkStart w:id="26" w:name="_Toc422389611"/>
      <w:r w:rsidRPr="00560998">
        <w:rPr>
          <w:rFonts w:cs="Times New Roman"/>
          <w:caps w:val="0"/>
          <w:color w:val="5F497A" w:themeColor="accent4" w:themeShade="BF"/>
          <w:sz w:val="40"/>
          <w:szCs w:val="40"/>
          <w:lang w:val="en-GB" w:eastAsia="en-US"/>
        </w:rPr>
        <w:t>Purpose of portfolio management planning</w:t>
      </w:r>
      <w:bookmarkEnd w:id="20"/>
      <w:bookmarkEnd w:id="21"/>
      <w:bookmarkEnd w:id="26"/>
      <w:r w:rsidRPr="00560998">
        <w:rPr>
          <w:rFonts w:cs="Times New Roman"/>
          <w:caps w:val="0"/>
          <w:color w:val="5F497A" w:themeColor="accent4" w:themeShade="BF"/>
          <w:sz w:val="40"/>
          <w:szCs w:val="40"/>
          <w:lang w:val="en-GB" w:eastAsia="en-US"/>
        </w:rPr>
        <w:t xml:space="preserve"> </w:t>
      </w:r>
    </w:p>
    <w:p w:rsidR="00E64530" w:rsidRPr="00F930A4" w:rsidRDefault="00F930A4" w:rsidP="00F5362B">
      <w:pPr>
        <w:jc w:val="left"/>
        <w:rPr>
          <w:rFonts w:ascii="Century Gothic" w:hAnsi="Century Gothic"/>
        </w:rPr>
      </w:pPr>
      <w:r w:rsidRPr="00F930A4">
        <w:rPr>
          <w:rFonts w:ascii="Century Gothic" w:hAnsi="Century Gothic"/>
        </w:rPr>
        <w:t xml:space="preserve">The </w:t>
      </w:r>
      <w:r w:rsidR="00CD61FD">
        <w:rPr>
          <w:rFonts w:ascii="Century Gothic" w:hAnsi="Century Gothic"/>
        </w:rPr>
        <w:t>Commonwealth Environmental Water Holder</w:t>
      </w:r>
      <w:r w:rsidR="00CD61FD" w:rsidRPr="00F930A4">
        <w:rPr>
          <w:rFonts w:ascii="Century Gothic" w:hAnsi="Century Gothic"/>
        </w:rPr>
        <w:t xml:space="preserve"> </w:t>
      </w:r>
      <w:r w:rsidRPr="00F930A4">
        <w:rPr>
          <w:rFonts w:ascii="Century Gothic" w:hAnsi="Century Gothic"/>
        </w:rPr>
        <w:t xml:space="preserve">seeks </w:t>
      </w:r>
      <w:r w:rsidR="00CD61FD" w:rsidRPr="00F930A4">
        <w:rPr>
          <w:rFonts w:ascii="Century Gothic" w:hAnsi="Century Gothic"/>
        </w:rPr>
        <w:t xml:space="preserve">to maximise environmental outcomes at a Basin-scale and over the long-term </w:t>
      </w:r>
      <w:r w:rsidR="00CD61FD">
        <w:rPr>
          <w:rFonts w:ascii="Century Gothic" w:hAnsi="Century Gothic"/>
        </w:rPr>
        <w:t>through the</w:t>
      </w:r>
      <w:r w:rsidRPr="00F930A4">
        <w:rPr>
          <w:rFonts w:ascii="Century Gothic" w:hAnsi="Century Gothic"/>
        </w:rPr>
        <w:t xml:space="preserve"> </w:t>
      </w:r>
      <w:r w:rsidR="00E64530" w:rsidRPr="00F930A4">
        <w:rPr>
          <w:rFonts w:ascii="Century Gothic" w:hAnsi="Century Gothic"/>
        </w:rPr>
        <w:t>efficient</w:t>
      </w:r>
      <w:r w:rsidR="00CD61FD">
        <w:rPr>
          <w:rFonts w:ascii="Century Gothic" w:hAnsi="Century Gothic"/>
        </w:rPr>
        <w:t>,</w:t>
      </w:r>
      <w:r w:rsidR="00E64530" w:rsidRPr="00F930A4">
        <w:rPr>
          <w:rFonts w:ascii="Century Gothic" w:hAnsi="Century Gothic"/>
        </w:rPr>
        <w:t xml:space="preserve"> effective and transparent management of the Commonwealth environmental water portfolio.</w:t>
      </w:r>
    </w:p>
    <w:p w:rsidR="00996101" w:rsidRDefault="00E64530" w:rsidP="00F5362B">
      <w:pPr>
        <w:jc w:val="left"/>
        <w:rPr>
          <w:rFonts w:ascii="Century Gothic" w:hAnsi="Century Gothic"/>
        </w:rPr>
      </w:pPr>
      <w:bookmarkStart w:id="27" w:name="_Toc418060466"/>
      <w:r>
        <w:rPr>
          <w:rFonts w:ascii="Century Gothic" w:hAnsi="Century Gothic"/>
        </w:rPr>
        <w:t xml:space="preserve">This </w:t>
      </w:r>
      <w:r w:rsidR="00996101" w:rsidRPr="005B6F75">
        <w:rPr>
          <w:rFonts w:ascii="Century Gothic" w:hAnsi="Century Gothic"/>
        </w:rPr>
        <w:t>requires the utilisation of all portfolio management options</w:t>
      </w:r>
      <w:r w:rsidR="00CD61FD">
        <w:rPr>
          <w:rFonts w:ascii="Century Gothic" w:hAnsi="Century Gothic"/>
        </w:rPr>
        <w:t>:</w:t>
      </w:r>
      <w:r w:rsidR="00996101">
        <w:rPr>
          <w:rFonts w:ascii="Century Gothic" w:hAnsi="Century Gothic"/>
        </w:rPr>
        <w:t xml:space="preserve"> use, carryover and trade.</w:t>
      </w:r>
      <w:r w:rsidR="00996101" w:rsidRPr="005B6F75">
        <w:rPr>
          <w:rFonts w:ascii="Century Gothic" w:hAnsi="Century Gothic"/>
        </w:rPr>
        <w:t xml:space="preserve"> </w:t>
      </w:r>
      <w:r w:rsidR="00996101">
        <w:rPr>
          <w:rFonts w:ascii="Century Gothic" w:hAnsi="Century Gothic"/>
        </w:rPr>
        <w:t>To support improved outcomes from water use over time, c</w:t>
      </w:r>
      <w:r w:rsidR="00996101" w:rsidRPr="005B6F75">
        <w:rPr>
          <w:rFonts w:ascii="Century Gothic" w:hAnsi="Century Gothic"/>
        </w:rPr>
        <w:t>arryover provides the opportunity to optimise water use across water years</w:t>
      </w:r>
      <w:r w:rsidR="00996101">
        <w:rPr>
          <w:rFonts w:ascii="Century Gothic" w:hAnsi="Century Gothic"/>
        </w:rPr>
        <w:t xml:space="preserve"> and to improve water availability early in a water year</w:t>
      </w:r>
      <w:r w:rsidR="00046F6F">
        <w:rPr>
          <w:rFonts w:ascii="Century Gothic" w:hAnsi="Century Gothic"/>
        </w:rPr>
        <w:t>. Allocation</w:t>
      </w:r>
      <w:r w:rsidR="00996101" w:rsidRPr="005B6F75">
        <w:rPr>
          <w:rFonts w:ascii="Century Gothic" w:hAnsi="Century Gothic"/>
        </w:rPr>
        <w:t xml:space="preserve"> trade</w:t>
      </w:r>
      <w:r w:rsidR="00046F6F">
        <w:rPr>
          <w:rFonts w:ascii="Century Gothic" w:hAnsi="Century Gothic"/>
        </w:rPr>
        <w:t xml:space="preserve"> (buying or selling)</w:t>
      </w:r>
      <w:r w:rsidR="00996101" w:rsidRPr="005B6F75">
        <w:rPr>
          <w:rFonts w:ascii="Century Gothic" w:hAnsi="Century Gothic"/>
        </w:rPr>
        <w:t xml:space="preserve"> provides </w:t>
      </w:r>
      <w:r w:rsidR="00996101">
        <w:rPr>
          <w:rFonts w:ascii="Century Gothic" w:hAnsi="Century Gothic"/>
        </w:rPr>
        <w:t xml:space="preserve">further </w:t>
      </w:r>
      <w:r w:rsidR="00996101" w:rsidRPr="005B6F75">
        <w:rPr>
          <w:rFonts w:ascii="Century Gothic" w:hAnsi="Century Gothic"/>
        </w:rPr>
        <w:t>capacity to optimise use over the long-term as well as across catchments.</w:t>
      </w:r>
      <w:bookmarkEnd w:id="27"/>
    </w:p>
    <w:p w:rsidR="00996101" w:rsidRDefault="00996101" w:rsidP="00994672">
      <w:pPr>
        <w:jc w:val="left"/>
        <w:rPr>
          <w:rFonts w:ascii="Century Gothic" w:hAnsi="Century Gothic"/>
        </w:rPr>
      </w:pPr>
      <w:bookmarkStart w:id="28" w:name="_Toc418060467"/>
      <w:r>
        <w:rPr>
          <w:rFonts w:ascii="Century Gothic" w:hAnsi="Century Gothic"/>
        </w:rPr>
        <w:t>Through multi-year</w:t>
      </w:r>
      <w:r w:rsidRPr="005B6F75">
        <w:rPr>
          <w:rFonts w:ascii="Century Gothic" w:hAnsi="Century Gothic"/>
        </w:rPr>
        <w:t xml:space="preserve"> </w:t>
      </w:r>
      <w:r>
        <w:rPr>
          <w:rFonts w:ascii="Century Gothic" w:hAnsi="Century Gothic"/>
        </w:rPr>
        <w:t xml:space="preserve">integrated </w:t>
      </w:r>
      <w:r w:rsidRPr="005B6F75">
        <w:rPr>
          <w:rFonts w:ascii="Century Gothic" w:hAnsi="Century Gothic"/>
        </w:rPr>
        <w:t>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 xml:space="preserve">can be strategically managed. </w:t>
      </w:r>
      <w:r>
        <w:rPr>
          <w:rFonts w:ascii="Century Gothic" w:hAnsi="Century Gothic"/>
        </w:rPr>
        <w:t>Integrated</w:t>
      </w:r>
      <w:r w:rsidRPr="00546DE7">
        <w:rPr>
          <w:rFonts w:ascii="Century Gothic" w:hAnsi="Century Gothic"/>
        </w:rPr>
        <w:t xml:space="preserve"> portfolio management planning will also support the </w:t>
      </w:r>
      <w:r w:rsidR="00CD61FD">
        <w:rPr>
          <w:rFonts w:ascii="Century Gothic" w:hAnsi="Century Gothic"/>
        </w:rPr>
        <w:t>Commonwealth Environmental Water Holder</w:t>
      </w:r>
      <w:r w:rsidRPr="00546DE7">
        <w:rPr>
          <w:rFonts w:ascii="Century Gothic" w:hAnsi="Century Gothic"/>
        </w:rPr>
        <w:t xml:space="preserve"> in:</w:t>
      </w:r>
      <w:bookmarkEnd w:id="28"/>
    </w:p>
    <w:p w:rsidR="00996101" w:rsidRDefault="00996101" w:rsidP="00994672">
      <w:pPr>
        <w:numPr>
          <w:ilvl w:val="0"/>
          <w:numId w:val="9"/>
        </w:numPr>
        <w:jc w:val="left"/>
        <w:rPr>
          <w:rFonts w:ascii="Century Gothic" w:hAnsi="Century Gothic"/>
        </w:rPr>
      </w:pPr>
      <w:r w:rsidRPr="00546DE7">
        <w:rPr>
          <w:rFonts w:ascii="Century Gothic" w:hAnsi="Century Gothic"/>
        </w:rPr>
        <w:t>meeting Basin Plan</w:t>
      </w:r>
      <w:r>
        <w:rPr>
          <w:rFonts w:ascii="Century Gothic" w:hAnsi="Century Gothic"/>
        </w:rPr>
        <w:t xml:space="preserve"> obligations and contributing to the long-</w:t>
      </w:r>
      <w:r w:rsidRPr="004B627A">
        <w:rPr>
          <w:rFonts w:ascii="Century Gothic" w:hAnsi="Century Gothic"/>
        </w:rPr>
        <w:t>term objectives of the environmental watering plan</w:t>
      </w:r>
      <w:r>
        <w:rPr>
          <w:rFonts w:ascii="Century Gothic" w:hAnsi="Century Gothic"/>
        </w:rPr>
        <w:t>,</w:t>
      </w:r>
      <w:r w:rsidRPr="004B627A">
        <w:rPr>
          <w:rFonts w:ascii="Century Gothic" w:hAnsi="Century Gothic"/>
        </w:rPr>
        <w:t xml:space="preserve"> the</w:t>
      </w:r>
      <w:r>
        <w:rPr>
          <w:rFonts w:ascii="Century Gothic" w:hAnsi="Century Gothic"/>
        </w:rPr>
        <w:t xml:space="preserve"> expected outcomes in the</w:t>
      </w:r>
      <w:r w:rsidRPr="004B627A">
        <w:rPr>
          <w:rFonts w:ascii="Century Gothic" w:hAnsi="Century Gothic"/>
        </w:rPr>
        <w:t xml:space="preserve"> Basin-wide environmental watering strategy</w:t>
      </w:r>
      <w:r>
        <w:rPr>
          <w:rFonts w:ascii="Century Gothic" w:hAnsi="Century Gothic"/>
        </w:rPr>
        <w:t xml:space="preserve"> and Basin annual environmental watering priorities</w:t>
      </w:r>
    </w:p>
    <w:p w:rsidR="00996101" w:rsidRPr="0068402E" w:rsidRDefault="00996101" w:rsidP="00994672">
      <w:pPr>
        <w:numPr>
          <w:ilvl w:val="0"/>
          <w:numId w:val="9"/>
        </w:numPr>
        <w:jc w:val="left"/>
        <w:rPr>
          <w:rFonts w:ascii="Century Gothic" w:hAnsi="Century Gothic"/>
        </w:rPr>
      </w:pPr>
      <w:r w:rsidRPr="0068402E">
        <w:rPr>
          <w:rFonts w:ascii="Century Gothic" w:hAnsi="Century Gothic"/>
        </w:rPr>
        <w:t xml:space="preserve">managing the Commonwealth environmental water portfolio in response to the demands identified by Basin States </w:t>
      </w:r>
      <w:r>
        <w:rPr>
          <w:rFonts w:ascii="Century Gothic" w:hAnsi="Century Gothic"/>
        </w:rPr>
        <w:t xml:space="preserve">in </w:t>
      </w:r>
      <w:r w:rsidRPr="0068402E">
        <w:rPr>
          <w:rFonts w:ascii="Century Gothic" w:hAnsi="Century Gothic"/>
        </w:rPr>
        <w:t>long-term environmental watering plans</w:t>
      </w:r>
      <w:r>
        <w:rPr>
          <w:rFonts w:ascii="Century Gothic" w:hAnsi="Century Gothic"/>
        </w:rPr>
        <w:t xml:space="preserve"> </w:t>
      </w:r>
      <w:r w:rsidR="00CD61FD">
        <w:rPr>
          <w:rFonts w:ascii="Century Gothic" w:hAnsi="Century Gothic"/>
        </w:rPr>
        <w:t>(</w:t>
      </w:r>
      <w:r>
        <w:rPr>
          <w:rFonts w:ascii="Century Gothic" w:hAnsi="Century Gothic"/>
        </w:rPr>
        <w:t>once available</w:t>
      </w:r>
      <w:r w:rsidR="00CD61FD">
        <w:rPr>
          <w:rFonts w:ascii="Century Gothic" w:hAnsi="Century Gothic"/>
        </w:rPr>
        <w:t>)</w:t>
      </w:r>
    </w:p>
    <w:p w:rsidR="00996101" w:rsidRDefault="00996101" w:rsidP="00994672">
      <w:pPr>
        <w:numPr>
          <w:ilvl w:val="0"/>
          <w:numId w:val="9"/>
        </w:numPr>
        <w:jc w:val="left"/>
        <w:rPr>
          <w:rFonts w:ascii="Century Gothic" w:hAnsi="Century Gothic"/>
        </w:rPr>
      </w:pPr>
      <w:r>
        <w:rPr>
          <w:rFonts w:ascii="Century Gothic" w:hAnsi="Century Gothic"/>
        </w:rPr>
        <w:t>applying adaptive management (including the setting of objectives, evaluating outcomes and informing future decision making)</w:t>
      </w:r>
    </w:p>
    <w:p w:rsidR="00996101" w:rsidRPr="00C846A2" w:rsidRDefault="00996101" w:rsidP="00994672">
      <w:pPr>
        <w:numPr>
          <w:ilvl w:val="0"/>
          <w:numId w:val="9"/>
        </w:numPr>
        <w:jc w:val="left"/>
        <w:rPr>
          <w:rFonts w:ascii="Century Gothic" w:hAnsi="Century Gothic"/>
        </w:rPr>
      </w:pPr>
      <w:r w:rsidRPr="00546DE7">
        <w:rPr>
          <w:rFonts w:ascii="Century Gothic" w:hAnsi="Century Gothic"/>
        </w:rPr>
        <w:t xml:space="preserve">providing </w:t>
      </w:r>
      <w:r>
        <w:rPr>
          <w:rFonts w:ascii="Century Gothic" w:hAnsi="Century Gothic"/>
        </w:rPr>
        <w:t>increased</w:t>
      </w:r>
      <w:r w:rsidRPr="00546DE7">
        <w:rPr>
          <w:rFonts w:ascii="Century Gothic" w:hAnsi="Century Gothic"/>
        </w:rPr>
        <w:t xml:space="preserve"> </w:t>
      </w:r>
      <w:r>
        <w:rPr>
          <w:rFonts w:ascii="Century Gothic" w:hAnsi="Century Gothic"/>
        </w:rPr>
        <w:t>transparency in relation to the Commonwealth Environmental Water Holder’s portfolio management</w:t>
      </w:r>
      <w:r w:rsidRPr="00546DE7">
        <w:rPr>
          <w:rFonts w:ascii="Century Gothic" w:hAnsi="Century Gothic"/>
        </w:rPr>
        <w:t xml:space="preserve"> </w:t>
      </w:r>
      <w:r>
        <w:rPr>
          <w:rFonts w:ascii="Century Gothic" w:hAnsi="Century Gothic"/>
        </w:rPr>
        <w:t>(</w:t>
      </w:r>
      <w:r w:rsidRPr="00546DE7">
        <w:rPr>
          <w:rFonts w:ascii="Century Gothic" w:hAnsi="Century Gothic"/>
        </w:rPr>
        <w:t>use, trade and carryover</w:t>
      </w:r>
      <w:r>
        <w:rPr>
          <w:rFonts w:ascii="Century Gothic" w:hAnsi="Century Gothic"/>
        </w:rPr>
        <w:t>) behaviour</w:t>
      </w:r>
    </w:p>
    <w:p w:rsidR="00046F6F" w:rsidRPr="00F5362B" w:rsidRDefault="00996101" w:rsidP="00994672">
      <w:pPr>
        <w:numPr>
          <w:ilvl w:val="0"/>
          <w:numId w:val="9"/>
        </w:numPr>
        <w:jc w:val="left"/>
        <w:rPr>
          <w:rFonts w:ascii="Century Gothic" w:hAnsi="Century Gothic"/>
        </w:rPr>
      </w:pPr>
      <w:proofErr w:type="gramStart"/>
      <w:r>
        <w:rPr>
          <w:rFonts w:ascii="Century Gothic" w:hAnsi="Century Gothic"/>
        </w:rPr>
        <w:t>coordinating</w:t>
      </w:r>
      <w:proofErr w:type="gramEnd"/>
      <w:r>
        <w:rPr>
          <w:rFonts w:ascii="Century Gothic" w:hAnsi="Century Gothic"/>
        </w:rPr>
        <w:t xml:space="preserve"> water use with delivery partners, including </w:t>
      </w:r>
      <w:r w:rsidRPr="00546DE7">
        <w:rPr>
          <w:rFonts w:ascii="Century Gothic" w:hAnsi="Century Gothic"/>
        </w:rPr>
        <w:t xml:space="preserve">developing </w:t>
      </w:r>
      <w:r>
        <w:rPr>
          <w:rFonts w:ascii="Century Gothic" w:hAnsi="Century Gothic"/>
        </w:rPr>
        <w:t>long-term delivery arrangements</w:t>
      </w:r>
      <w:r w:rsidR="00995707">
        <w:rPr>
          <w:rFonts w:ascii="Century Gothic" w:hAnsi="Century Gothic"/>
        </w:rPr>
        <w:t>.</w:t>
      </w:r>
      <w:r w:rsidRPr="00546DE7">
        <w:rPr>
          <w:rFonts w:ascii="Century Gothic" w:hAnsi="Century Gothic"/>
        </w:rPr>
        <w:t xml:space="preserve"> </w:t>
      </w:r>
      <w:bookmarkStart w:id="29" w:name="_Toc418060468"/>
      <w:bookmarkStart w:id="30" w:name="_Toc396916454"/>
      <w:bookmarkStart w:id="31" w:name="_Toc414367226"/>
    </w:p>
    <w:p w:rsidR="00995707" w:rsidRPr="006C2670" w:rsidRDefault="00995707" w:rsidP="006C2670">
      <w:pPr>
        <w:pStyle w:val="Heading1"/>
        <w:numPr>
          <w:ilvl w:val="1"/>
          <w:numId w:val="19"/>
        </w:numPr>
        <w:spacing w:before="240" w:after="240"/>
        <w:ind w:left="0" w:firstLine="0"/>
        <w:jc w:val="left"/>
        <w:rPr>
          <w:rFonts w:cs="Times New Roman"/>
          <w:caps w:val="0"/>
          <w:color w:val="5F497A" w:themeColor="accent4" w:themeShade="BF"/>
          <w:sz w:val="40"/>
          <w:szCs w:val="40"/>
          <w:lang w:val="en-GB" w:eastAsia="en-US"/>
        </w:rPr>
      </w:pPr>
      <w:bookmarkStart w:id="32" w:name="_Toc422389612"/>
      <w:r w:rsidRPr="006C2670">
        <w:rPr>
          <w:rFonts w:cs="Times New Roman"/>
          <w:caps w:val="0"/>
          <w:color w:val="5F497A" w:themeColor="accent4" w:themeShade="BF"/>
          <w:sz w:val="40"/>
          <w:szCs w:val="40"/>
          <w:lang w:val="en-GB" w:eastAsia="en-US"/>
        </w:rPr>
        <w:lastRenderedPageBreak/>
        <w:t>Commonwealth Environmental Water Portfolio Management</w:t>
      </w:r>
      <w:r w:rsidR="00CD61FD" w:rsidRPr="006C2670">
        <w:rPr>
          <w:rFonts w:cs="Times New Roman"/>
          <w:caps w:val="0"/>
          <w:color w:val="5F497A" w:themeColor="accent4" w:themeShade="BF"/>
          <w:sz w:val="40"/>
          <w:szCs w:val="40"/>
          <w:lang w:val="en-GB" w:eastAsia="en-US"/>
        </w:rPr>
        <w:t xml:space="preserve"> Framework</w:t>
      </w:r>
      <w:r w:rsidRPr="006C2670">
        <w:rPr>
          <w:rFonts w:cs="Times New Roman"/>
          <w:caps w:val="0"/>
          <w:color w:val="5F497A" w:themeColor="accent4" w:themeShade="BF"/>
          <w:sz w:val="40"/>
          <w:szCs w:val="40"/>
          <w:lang w:val="en-GB" w:eastAsia="en-US"/>
        </w:rPr>
        <w:t>—planning based on Demand and Supply</w:t>
      </w:r>
      <w:bookmarkEnd w:id="29"/>
      <w:bookmarkEnd w:id="32"/>
    </w:p>
    <w:p w:rsidR="00995707" w:rsidRDefault="00995707" w:rsidP="00623152">
      <w:pPr>
        <w:pStyle w:val="CommentText"/>
        <w:rPr>
          <w:rFonts w:ascii="Century Gothic" w:hAnsi="Century Gothic"/>
          <w:lang w:eastAsia="en-AU"/>
        </w:rPr>
      </w:pPr>
      <w:r w:rsidRPr="00184473">
        <w:rPr>
          <w:rFonts w:ascii="Century Gothic" w:hAnsi="Century Gothic"/>
          <w:lang w:eastAsia="en-AU"/>
        </w:rPr>
        <w:t>The Commonwealth Environmental Water</w:t>
      </w:r>
      <w:r>
        <w:rPr>
          <w:rFonts w:ascii="Century Gothic" w:hAnsi="Century Gothic"/>
          <w:lang w:eastAsia="en-AU"/>
        </w:rPr>
        <w:t xml:space="preserve"> Portfolio Management</w:t>
      </w:r>
      <w:r w:rsidR="00CD61FD">
        <w:rPr>
          <w:rFonts w:ascii="Century Gothic" w:hAnsi="Century Gothic"/>
          <w:lang w:eastAsia="en-AU"/>
        </w:rPr>
        <w:t xml:space="preserve"> Framework</w:t>
      </w:r>
      <w:r>
        <w:rPr>
          <w:rFonts w:ascii="Century Gothic" w:hAnsi="Century Gothic"/>
          <w:lang w:eastAsia="en-AU"/>
        </w:rPr>
        <w:t xml:space="preserve"> </w:t>
      </w:r>
      <w:r w:rsidR="00B174C7">
        <w:rPr>
          <w:rFonts w:ascii="Century Gothic" w:hAnsi="Century Gothic"/>
          <w:lang w:eastAsia="en-AU"/>
        </w:rPr>
        <w:t xml:space="preserve">allows for planning </w:t>
      </w:r>
      <w:r w:rsidRPr="00184473">
        <w:rPr>
          <w:rFonts w:ascii="Century Gothic" w:hAnsi="Century Gothic"/>
          <w:lang w:eastAsia="en-AU"/>
        </w:rPr>
        <w:t>based on two key factors:</w:t>
      </w:r>
    </w:p>
    <w:p w:rsidR="00623152" w:rsidRPr="00623152" w:rsidRDefault="00623152" w:rsidP="00623152">
      <w:pPr>
        <w:pStyle w:val="CommentText"/>
        <w:rPr>
          <w:rFonts w:ascii="Century Gothic" w:hAnsi="Century Gothic"/>
          <w:lang w:eastAsia="en-AU"/>
        </w:rPr>
      </w:pPr>
    </w:p>
    <w:p w:rsidR="00995707" w:rsidRPr="00184473" w:rsidRDefault="00995707" w:rsidP="001D04AC">
      <w:pPr>
        <w:pStyle w:val="ListNumber"/>
        <w:numPr>
          <w:ilvl w:val="0"/>
          <w:numId w:val="0"/>
        </w:numPr>
        <w:ind w:left="346" w:hanging="346"/>
        <w:jc w:val="left"/>
        <w:rPr>
          <w:rFonts w:ascii="Century Gothic" w:hAnsi="Century Gothic"/>
        </w:rPr>
      </w:pPr>
      <w:r w:rsidRPr="00184473">
        <w:rPr>
          <w:rFonts w:ascii="Century Gothic" w:hAnsi="Century Gothic"/>
        </w:rPr>
        <w:t xml:space="preserve">1) </w:t>
      </w:r>
      <w:r w:rsidRPr="00184473">
        <w:rPr>
          <w:rFonts w:ascii="Century Gothic" w:hAnsi="Century Gothic"/>
        </w:rPr>
        <w:tab/>
      </w:r>
      <w:proofErr w:type="gramStart"/>
      <w:r>
        <w:rPr>
          <w:rFonts w:ascii="Century Gothic" w:hAnsi="Century Gothic"/>
        </w:rPr>
        <w:t>d</w:t>
      </w:r>
      <w:r w:rsidRPr="00184473">
        <w:rPr>
          <w:rFonts w:ascii="Century Gothic" w:hAnsi="Century Gothic"/>
        </w:rPr>
        <w:t>emand</w:t>
      </w:r>
      <w:proofErr w:type="gramEnd"/>
      <w:r w:rsidRPr="00184473">
        <w:rPr>
          <w:rFonts w:ascii="Century Gothic" w:hAnsi="Century Gothic"/>
        </w:rPr>
        <w:t xml:space="preserve"> according to environmental conditions: </w:t>
      </w:r>
      <w:r w:rsidR="001D04AC">
        <w:rPr>
          <w:rFonts w:ascii="Century Gothic" w:hAnsi="Century Gothic"/>
        </w:rPr>
        <w:t>w</w:t>
      </w:r>
      <w:r w:rsidRPr="00184473">
        <w:rPr>
          <w:rFonts w:ascii="Century Gothic" w:hAnsi="Century Gothic"/>
        </w:rPr>
        <w:t>atering needs of plants and animals are determined, based on scientific and local stakeholder input. Extended dry conditions commonly result in high demand for water whilst multiple wet years or successful environmental watering events typically result in low demand.</w:t>
      </w:r>
    </w:p>
    <w:p w:rsidR="00995707" w:rsidRPr="00184473" w:rsidRDefault="00995707" w:rsidP="001D04AC">
      <w:pPr>
        <w:pStyle w:val="ListNumber"/>
        <w:numPr>
          <w:ilvl w:val="0"/>
          <w:numId w:val="0"/>
        </w:numPr>
        <w:ind w:left="346" w:hanging="346"/>
        <w:jc w:val="left"/>
        <w:rPr>
          <w:rFonts w:ascii="Century Gothic" w:hAnsi="Century Gothic"/>
        </w:rPr>
      </w:pPr>
      <w:r w:rsidRPr="00184473">
        <w:rPr>
          <w:rFonts w:ascii="Century Gothic" w:hAnsi="Century Gothic"/>
        </w:rPr>
        <w:t xml:space="preserve">2) </w:t>
      </w:r>
      <w:r w:rsidRPr="00184473">
        <w:rPr>
          <w:rFonts w:ascii="Century Gothic" w:hAnsi="Century Gothic"/>
        </w:rPr>
        <w:tab/>
      </w:r>
      <w:proofErr w:type="gramStart"/>
      <w:r w:rsidR="00046F6F">
        <w:rPr>
          <w:rFonts w:ascii="Century Gothic" w:hAnsi="Century Gothic"/>
        </w:rPr>
        <w:t>w</w:t>
      </w:r>
      <w:r w:rsidR="00046F6F" w:rsidRPr="00184473">
        <w:rPr>
          <w:rFonts w:ascii="Century Gothic" w:hAnsi="Century Gothic"/>
        </w:rPr>
        <w:t>ater</w:t>
      </w:r>
      <w:proofErr w:type="gramEnd"/>
      <w:r w:rsidR="00046F6F" w:rsidRPr="00184473">
        <w:rPr>
          <w:rFonts w:ascii="Century Gothic" w:hAnsi="Century Gothic"/>
        </w:rPr>
        <w:t xml:space="preserve"> </w:t>
      </w:r>
      <w:r w:rsidRPr="00184473">
        <w:rPr>
          <w:rFonts w:ascii="Century Gothic" w:hAnsi="Century Gothic"/>
        </w:rPr>
        <w:t xml:space="preserve">availability to meet environmental demands: </w:t>
      </w:r>
      <w:r w:rsidR="001D04AC">
        <w:rPr>
          <w:rFonts w:ascii="Century Gothic" w:hAnsi="Century Gothic"/>
        </w:rPr>
        <w:t>t</w:t>
      </w:r>
      <w:r w:rsidRPr="00184473">
        <w:rPr>
          <w:rFonts w:ascii="Century Gothic" w:hAnsi="Century Gothic"/>
        </w:rPr>
        <w:t xml:space="preserve">he scope of watering actions and the environmental outcomes that can be achieved can be limited by availability of water. Environmental needs can be met from a range of sources, and Commonwealth environmental water is delivered in conjunction with natural flows, consumptive water, and other sources of environmental water. </w:t>
      </w:r>
    </w:p>
    <w:p w:rsidR="00995707" w:rsidRDefault="00995707" w:rsidP="00F5362B">
      <w:pPr>
        <w:jc w:val="left"/>
        <w:rPr>
          <w:rFonts w:ascii="Century Gothic" w:hAnsi="Century Gothic"/>
        </w:rPr>
      </w:pPr>
      <w:r w:rsidRPr="00184473">
        <w:rPr>
          <w:rFonts w:ascii="Century Gothic" w:hAnsi="Century Gothic"/>
        </w:rPr>
        <w:t>By considering these factors together, the Office can determine an overall purpose, ranging from ‘avoiding damage’ to the environment through to ‘improving’ ecological condition (Figure </w:t>
      </w:r>
      <w:r w:rsidR="00921DEE">
        <w:rPr>
          <w:rFonts w:ascii="Century Gothic" w:hAnsi="Century Gothic"/>
        </w:rPr>
        <w:t>1</w:t>
      </w:r>
      <w:r w:rsidRPr="00184473">
        <w:rPr>
          <w:rFonts w:ascii="Century Gothic" w:hAnsi="Century Gothic"/>
        </w:rPr>
        <w:t xml:space="preserve">). These two factors also help to determine the mix of portfolio management options that might be most suitable for maximising environmental outcomes in different conditions (Figure </w:t>
      </w:r>
      <w:r w:rsidR="00921DEE">
        <w:rPr>
          <w:rFonts w:ascii="Century Gothic" w:hAnsi="Century Gothic"/>
        </w:rPr>
        <w:t>2</w:t>
      </w:r>
      <w:r w:rsidRPr="00184473">
        <w:rPr>
          <w:rFonts w:ascii="Century Gothic" w:hAnsi="Century Gothic"/>
        </w:rPr>
        <w:t xml:space="preserve">). </w:t>
      </w:r>
    </w:p>
    <w:p w:rsidR="00CD61FD" w:rsidRDefault="00CD61FD" w:rsidP="00995707">
      <w:pPr>
        <w:rPr>
          <w:rFonts w:ascii="Century Gothic" w:hAnsi="Century Gothic"/>
        </w:rPr>
      </w:pPr>
    </w:p>
    <w:p w:rsidR="00995707" w:rsidRDefault="00E47462" w:rsidP="00995707">
      <w:pPr>
        <w:spacing w:after="240"/>
        <w:ind w:right="866"/>
        <w:jc w:val="left"/>
        <w:outlineLvl w:val="0"/>
        <w:rPr>
          <w:rFonts w:ascii="Century Gothic" w:hAnsi="Century Gothic"/>
        </w:rPr>
      </w:pPr>
      <w:r>
        <w:rPr>
          <w:rFonts w:ascii="Century Gothic" w:hAnsi="Century Gothic"/>
          <w:noProof/>
        </w:rPr>
        <w:drawing>
          <wp:inline distT="0" distB="0" distL="0" distR="0">
            <wp:extent cx="5849620" cy="3999604"/>
            <wp:effectExtent l="19050" t="0" r="0" b="0"/>
            <wp:docPr id="2" name="Picture 6" descr="A figure showing how the Office plans based on two key factors. The first is demand according to environmental conditions, while the second is water availability to meet environmental demands, which is made up of a range of sources, as Commonwealth environmental water is delivered in conjunction with natural flows, consumptive water, and other sources of environmental water. &#10;By considering these factors together, the Office can determine an overall purpose, ranging from ‘avoiding damage’ (where environmental demands are high and resource availability is low), through protecting and maintain the environment, to ‘improving’ ecological condition (where water availability is hig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x_table_V3.jpg"/>
                    <pic:cNvPicPr/>
                  </pic:nvPicPr>
                  <pic:blipFill>
                    <a:blip r:embed="rId20" cstate="print"/>
                    <a:stretch>
                      <a:fillRect/>
                    </a:stretch>
                  </pic:blipFill>
                  <pic:spPr>
                    <a:xfrm>
                      <a:off x="0" y="0"/>
                      <a:ext cx="5849620" cy="3999604"/>
                    </a:xfrm>
                    <a:prstGeom prst="rect">
                      <a:avLst/>
                    </a:prstGeom>
                  </pic:spPr>
                </pic:pic>
              </a:graphicData>
            </a:graphic>
          </wp:inline>
        </w:drawing>
      </w:r>
    </w:p>
    <w:p w:rsidR="00995707" w:rsidRDefault="00B174C7" w:rsidP="00487E31">
      <w:pPr>
        <w:pStyle w:val="Caption"/>
        <w:spacing w:after="240"/>
        <w:jc w:val="left"/>
        <w:rPr>
          <w:rFonts w:ascii="Century Gothic" w:hAnsi="Century Gothic"/>
        </w:rPr>
      </w:pPr>
      <w:r w:rsidRPr="00E078BB">
        <w:rPr>
          <w:rFonts w:ascii="Century Gothic" w:hAnsi="Century Gothic"/>
          <w:bCs w:val="0"/>
        </w:rPr>
        <w:t>Figure 1</w:t>
      </w:r>
      <w:r w:rsidR="00E078BB">
        <w:rPr>
          <w:rFonts w:ascii="Century Gothic" w:hAnsi="Century Gothic"/>
          <w:bCs w:val="0"/>
        </w:rPr>
        <w:t>:</w:t>
      </w:r>
      <w:r w:rsidRPr="00E078BB">
        <w:rPr>
          <w:rFonts w:ascii="Century Gothic" w:hAnsi="Century Gothic"/>
          <w:b w:val="0"/>
          <w:bCs w:val="0"/>
        </w:rPr>
        <w:t xml:space="preserve"> </w:t>
      </w:r>
      <w:r w:rsidRPr="00E078BB">
        <w:rPr>
          <w:rFonts w:ascii="Century Gothic" w:hAnsi="Century Gothic"/>
          <w:b w:val="0"/>
        </w:rPr>
        <w:t>Environmental demand and water available influence the purpose of Commonwealth environmental water management</w:t>
      </w:r>
    </w:p>
    <w:p w:rsidR="00995707" w:rsidRDefault="00995707" w:rsidP="00995707">
      <w:pPr>
        <w:spacing w:after="240"/>
        <w:ind w:right="866"/>
        <w:jc w:val="left"/>
        <w:outlineLvl w:val="0"/>
        <w:rPr>
          <w:rFonts w:ascii="Century Gothic" w:hAnsi="Century Gothic"/>
        </w:rPr>
        <w:sectPr w:rsidR="00995707" w:rsidSect="00994672">
          <w:pgSz w:w="11906" w:h="16838"/>
          <w:pgMar w:top="851" w:right="1276" w:bottom="567" w:left="1418" w:header="425" w:footer="188" w:gutter="0"/>
          <w:pgNumType w:start="1"/>
          <w:cols w:space="708"/>
          <w:titlePg/>
          <w:docGrid w:linePitch="360"/>
        </w:sectPr>
      </w:pPr>
    </w:p>
    <w:tbl>
      <w:tblPr>
        <w:tblStyle w:val="TableGrid"/>
        <w:tblpPr w:leftFromText="181" w:rightFromText="181" w:vertAnchor="text" w:horzAnchor="margin" w:tblpY="1"/>
        <w:tblOverlap w:val="never"/>
        <w:tblW w:w="15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30"/>
        <w:gridCol w:w="2863"/>
        <w:gridCol w:w="2863"/>
        <w:gridCol w:w="2865"/>
        <w:gridCol w:w="2866"/>
        <w:gridCol w:w="2863"/>
      </w:tblGrid>
      <w:tr w:rsidR="00995707" w:rsidRPr="009F7A28" w:rsidTr="00F73B30">
        <w:trPr>
          <w:cnfStyle w:val="100000000000"/>
          <w:trHeight w:val="427"/>
        </w:trPr>
        <w:tc>
          <w:tcPr>
            <w:tcW w:w="15750" w:type="dxa"/>
            <w:gridSpan w:val="6"/>
            <w:tcBorders>
              <w:top w:val="single" w:sz="4" w:space="0" w:color="auto"/>
              <w:left w:val="single" w:sz="4" w:space="0" w:color="auto"/>
              <w:bottom w:val="single" w:sz="4" w:space="0" w:color="auto"/>
              <w:right w:val="single" w:sz="4" w:space="0" w:color="auto"/>
            </w:tcBorders>
            <w:shd w:val="clear" w:color="auto" w:fill="93BBA9"/>
          </w:tcPr>
          <w:p w:rsidR="00995707" w:rsidRPr="009F7A28" w:rsidRDefault="00995707" w:rsidP="00F73B30">
            <w:pPr>
              <w:spacing w:before="120" w:after="120"/>
              <w:jc w:val="center"/>
              <w:rPr>
                <w:color w:val="FFFFFF" w:themeColor="background1"/>
                <w:sz w:val="16"/>
                <w:szCs w:val="16"/>
              </w:rPr>
            </w:pPr>
            <w:r w:rsidRPr="009F7A28">
              <w:rPr>
                <w:b/>
                <w:color w:val="FFFFFF" w:themeColor="background1"/>
                <w:sz w:val="16"/>
                <w:szCs w:val="16"/>
              </w:rPr>
              <w:lastRenderedPageBreak/>
              <w:t>Demand for environmental water</w:t>
            </w:r>
          </w:p>
        </w:tc>
      </w:tr>
      <w:tr w:rsidR="00995707" w:rsidRPr="009F7A28" w:rsidTr="00F73B30">
        <w:trPr>
          <w:cnfStyle w:val="000000100000"/>
          <w:trHeight w:val="1073"/>
        </w:trPr>
        <w:tc>
          <w:tcPr>
            <w:tcW w:w="1430" w:type="dxa"/>
            <w:tcBorders>
              <w:top w:val="single" w:sz="4" w:space="0" w:color="auto"/>
              <w:left w:val="single" w:sz="4" w:space="0" w:color="auto"/>
              <w:bottom w:val="single" w:sz="4" w:space="0" w:color="auto"/>
              <w:right w:val="single" w:sz="4" w:space="0" w:color="auto"/>
            </w:tcBorders>
            <w:vAlign w:val="bottom"/>
          </w:tcPr>
          <w:p w:rsidR="00995707" w:rsidRPr="009F7A28" w:rsidRDefault="00995707" w:rsidP="00E078BB">
            <w:pPr>
              <w:jc w:val="center"/>
              <w:rPr>
                <w:sz w:val="16"/>
                <w:szCs w:val="16"/>
              </w:rPr>
            </w:pPr>
            <w:r w:rsidRPr="009F7A28">
              <w:rPr>
                <w:b/>
                <w:sz w:val="16"/>
                <w:szCs w:val="16"/>
              </w:rPr>
              <w:t>Overall environmental water resource availability</w:t>
            </w:r>
          </w:p>
        </w:tc>
        <w:tc>
          <w:tcPr>
            <w:tcW w:w="2863" w:type="dxa"/>
            <w:tcBorders>
              <w:top w:val="single" w:sz="4" w:space="0" w:color="auto"/>
              <w:left w:val="single" w:sz="4" w:space="0" w:color="auto"/>
              <w:bottom w:val="single" w:sz="4" w:space="0" w:color="auto"/>
            </w:tcBorders>
            <w:vAlign w:val="center"/>
          </w:tcPr>
          <w:p w:rsidR="00995707" w:rsidRPr="009F7A28" w:rsidRDefault="00995707" w:rsidP="00F73B30">
            <w:pPr>
              <w:pStyle w:val="ListBullet"/>
              <w:numPr>
                <w:ilvl w:val="0"/>
                <w:numId w:val="0"/>
              </w:numPr>
              <w:jc w:val="center"/>
              <w:rPr>
                <w:b/>
                <w:sz w:val="16"/>
                <w:szCs w:val="16"/>
              </w:rPr>
            </w:pPr>
            <w:r w:rsidRPr="009F7A28">
              <w:rPr>
                <w:b/>
                <w:color w:val="000000" w:themeColor="text1"/>
                <w:sz w:val="16"/>
                <w:szCs w:val="16"/>
              </w:rPr>
              <w:t xml:space="preserve">Very High – water predominantly needed urgently  </w:t>
            </w:r>
          </w:p>
        </w:tc>
        <w:tc>
          <w:tcPr>
            <w:tcW w:w="2863" w:type="dxa"/>
            <w:tcBorders>
              <w:top w:val="single" w:sz="4" w:space="0" w:color="auto"/>
              <w:bottom w:val="single" w:sz="4" w:space="0" w:color="auto"/>
            </w:tcBorders>
            <w:vAlign w:val="center"/>
          </w:tcPr>
          <w:p w:rsidR="00995707" w:rsidRPr="009F7A28" w:rsidRDefault="00995707" w:rsidP="00F73B30">
            <w:pPr>
              <w:pStyle w:val="ListBullet"/>
              <w:numPr>
                <w:ilvl w:val="0"/>
                <w:numId w:val="0"/>
              </w:numPr>
              <w:ind w:left="-107"/>
              <w:jc w:val="center"/>
              <w:rPr>
                <w:b/>
                <w:sz w:val="16"/>
                <w:szCs w:val="16"/>
              </w:rPr>
            </w:pPr>
            <w:r w:rsidRPr="009F7A28">
              <w:rPr>
                <w:b/>
                <w:color w:val="000000" w:themeColor="text1"/>
                <w:sz w:val="16"/>
                <w:szCs w:val="16"/>
              </w:rPr>
              <w:t>High – water predominantly needed this year</w:t>
            </w:r>
          </w:p>
        </w:tc>
        <w:tc>
          <w:tcPr>
            <w:tcW w:w="2865" w:type="dxa"/>
            <w:tcBorders>
              <w:top w:val="single" w:sz="4" w:space="0" w:color="auto"/>
              <w:bottom w:val="single" w:sz="4" w:space="0" w:color="auto"/>
            </w:tcBorders>
            <w:vAlign w:val="center"/>
          </w:tcPr>
          <w:p w:rsidR="00995707" w:rsidRPr="009F7A28" w:rsidRDefault="00995707" w:rsidP="00F73B30">
            <w:pPr>
              <w:pStyle w:val="ListBullet"/>
              <w:numPr>
                <w:ilvl w:val="0"/>
                <w:numId w:val="0"/>
              </w:numPr>
              <w:jc w:val="center"/>
              <w:rPr>
                <w:b/>
                <w:sz w:val="16"/>
                <w:szCs w:val="16"/>
              </w:rPr>
            </w:pPr>
            <w:r w:rsidRPr="009F7A28">
              <w:rPr>
                <w:b/>
                <w:color w:val="000000" w:themeColor="text1"/>
                <w:sz w:val="16"/>
                <w:szCs w:val="16"/>
              </w:rPr>
              <w:t>Moderate – water predominantly needed this year and/or next</w:t>
            </w:r>
          </w:p>
        </w:tc>
        <w:tc>
          <w:tcPr>
            <w:tcW w:w="2865" w:type="dxa"/>
            <w:tcBorders>
              <w:top w:val="single" w:sz="4" w:space="0" w:color="auto"/>
              <w:bottom w:val="single" w:sz="4" w:space="0" w:color="auto"/>
            </w:tcBorders>
            <w:vAlign w:val="center"/>
          </w:tcPr>
          <w:p w:rsidR="00995707" w:rsidRPr="009F7A28" w:rsidRDefault="00995707" w:rsidP="00F73B30">
            <w:pPr>
              <w:pStyle w:val="ListBullet"/>
              <w:numPr>
                <w:ilvl w:val="0"/>
                <w:numId w:val="0"/>
              </w:numPr>
              <w:ind w:left="-64"/>
              <w:jc w:val="center"/>
              <w:rPr>
                <w:b/>
                <w:sz w:val="16"/>
                <w:szCs w:val="16"/>
              </w:rPr>
            </w:pPr>
            <w:r w:rsidRPr="009F7A28">
              <w:rPr>
                <w:b/>
                <w:color w:val="000000" w:themeColor="text1"/>
                <w:sz w:val="16"/>
                <w:szCs w:val="16"/>
              </w:rPr>
              <w:t>Low – water predominantly not needed this year</w:t>
            </w:r>
          </w:p>
        </w:tc>
        <w:tc>
          <w:tcPr>
            <w:tcW w:w="2863" w:type="dxa"/>
            <w:tcBorders>
              <w:top w:val="single" w:sz="4" w:space="0" w:color="auto"/>
              <w:bottom w:val="single" w:sz="4" w:space="0" w:color="auto"/>
              <w:right w:val="single" w:sz="4" w:space="0" w:color="auto"/>
            </w:tcBorders>
            <w:vAlign w:val="center"/>
          </w:tcPr>
          <w:p w:rsidR="00995707" w:rsidRPr="009F7A28" w:rsidRDefault="00995707" w:rsidP="00F73B30">
            <w:pPr>
              <w:pStyle w:val="ListBullet"/>
              <w:numPr>
                <w:ilvl w:val="0"/>
                <w:numId w:val="0"/>
              </w:numPr>
              <w:ind w:left="-60" w:firstLine="43"/>
              <w:jc w:val="center"/>
              <w:rPr>
                <w:b/>
                <w:sz w:val="16"/>
                <w:szCs w:val="16"/>
              </w:rPr>
            </w:pPr>
            <w:r w:rsidRPr="009F7A28">
              <w:rPr>
                <w:b/>
                <w:color w:val="000000" w:themeColor="text1"/>
                <w:sz w:val="16"/>
                <w:szCs w:val="16"/>
              </w:rPr>
              <w:t>Very low  - water predominantly not needed this year and next</w:t>
            </w:r>
          </w:p>
        </w:tc>
      </w:tr>
      <w:tr w:rsidR="00995707" w:rsidRPr="009F7A28" w:rsidTr="00F73B30">
        <w:trPr>
          <w:cnfStyle w:val="000000010000"/>
          <w:trHeight w:val="1520"/>
        </w:trPr>
        <w:tc>
          <w:tcPr>
            <w:tcW w:w="1430" w:type="dxa"/>
            <w:tcBorders>
              <w:top w:val="single" w:sz="4" w:space="0" w:color="auto"/>
              <w:left w:val="single" w:sz="4" w:space="0" w:color="auto"/>
              <w:right w:val="single" w:sz="4" w:space="0" w:color="auto"/>
            </w:tcBorders>
            <w:vAlign w:val="center"/>
          </w:tcPr>
          <w:p w:rsidR="00995707" w:rsidRPr="009F7A28" w:rsidRDefault="00995707" w:rsidP="00F73B30">
            <w:pPr>
              <w:pStyle w:val="ListBullet"/>
              <w:numPr>
                <w:ilvl w:val="0"/>
                <w:numId w:val="0"/>
              </w:numPr>
              <w:spacing w:before="40" w:after="40"/>
              <w:ind w:left="-250"/>
              <w:jc w:val="center"/>
              <w:rPr>
                <w:b/>
                <w:sz w:val="16"/>
                <w:szCs w:val="16"/>
              </w:rPr>
            </w:pPr>
          </w:p>
          <w:p w:rsidR="00995707" w:rsidRPr="009F7A28" w:rsidRDefault="00995707" w:rsidP="00F73B30">
            <w:pPr>
              <w:pStyle w:val="ListBullet"/>
              <w:numPr>
                <w:ilvl w:val="0"/>
                <w:numId w:val="0"/>
              </w:numPr>
              <w:spacing w:before="40" w:after="40"/>
              <w:ind w:left="-108"/>
              <w:jc w:val="center"/>
              <w:rPr>
                <w:b/>
                <w:sz w:val="16"/>
                <w:szCs w:val="16"/>
              </w:rPr>
            </w:pPr>
            <w:r w:rsidRPr="009F7A28">
              <w:rPr>
                <w:b/>
                <w:sz w:val="16"/>
                <w:szCs w:val="16"/>
              </w:rPr>
              <w:t>Very low</w:t>
            </w:r>
          </w:p>
          <w:p w:rsidR="00995707" w:rsidRPr="009F7A28" w:rsidRDefault="00995707" w:rsidP="00F73B30">
            <w:pPr>
              <w:pStyle w:val="ListBullet"/>
              <w:numPr>
                <w:ilvl w:val="0"/>
                <w:numId w:val="0"/>
              </w:numPr>
              <w:spacing w:before="40" w:after="40"/>
              <w:ind w:left="-108"/>
              <w:jc w:val="center"/>
              <w:rPr>
                <w:b/>
                <w:sz w:val="16"/>
                <w:szCs w:val="16"/>
              </w:rPr>
            </w:pPr>
          </w:p>
        </w:tc>
        <w:tc>
          <w:tcPr>
            <w:tcW w:w="2863" w:type="dxa"/>
            <w:vMerge w:val="restart"/>
            <w:tcBorders>
              <w:top w:val="single" w:sz="4" w:space="0" w:color="auto"/>
              <w:left w:val="single" w:sz="4" w:space="0" w:color="auto"/>
            </w:tcBorders>
            <w:shd w:val="clear" w:color="auto" w:fill="E9C8C1"/>
          </w:tcPr>
          <w:p w:rsidR="00995707" w:rsidRPr="009F7A28" w:rsidRDefault="00D44173" w:rsidP="00F73B30">
            <w:pPr>
              <w:pStyle w:val="ListBullet"/>
              <w:numPr>
                <w:ilvl w:val="0"/>
                <w:numId w:val="0"/>
              </w:numPr>
              <w:spacing w:before="40" w:after="40"/>
              <w:ind w:right="-86"/>
              <w:rPr>
                <w:sz w:val="16"/>
                <w:szCs w:val="16"/>
              </w:rPr>
            </w:pPr>
            <w:r>
              <w:rPr>
                <w:noProof/>
                <w:sz w:val="16"/>
                <w:szCs w:val="16"/>
              </w:rPr>
              <w:pict>
                <v:shapetype id="_x0000_t202" coordsize="21600,21600" o:spt="202" path="m,l,21600r21600,l21600,xe">
                  <v:stroke joinstyle="miter"/>
                  <v:path gradientshapeok="t" o:connecttype="rect"/>
                </v:shapetype>
                <v:shape id="_x0000_s1100" type="#_x0000_t202" style="position:absolute;left:0;text-align:left;margin-left:12.9pt;margin-top:9.3pt;width:228.8pt;height:23.25pt;z-index:251663872;mso-height-percent:200;mso-position-horizontal-relative:text;mso-position-vertical-relative:text;mso-height-percent:200;mso-width-relative:margin;mso-height-relative:margin" stroked="f">
                  <v:fill opacity="0"/>
                  <v:textbox style="mso-next-textbox:#_x0000_s1100;mso-fit-shape-to-text:t">
                    <w:txbxContent>
                      <w:p w:rsidR="00033AD2" w:rsidRPr="005C0CB0" w:rsidRDefault="00033AD2" w:rsidP="00995707">
                        <w:pPr>
                          <w:pStyle w:val="ListBullet2"/>
                          <w:numPr>
                            <w:ilvl w:val="0"/>
                            <w:numId w:val="0"/>
                          </w:numPr>
                          <w:spacing w:before="20" w:after="20" w:line="276" w:lineRule="auto"/>
                          <w:cnfStyle w:val="000000010000"/>
                          <w:rPr>
                            <w:b/>
                            <w:i/>
                            <w:color w:val="632423" w:themeColor="accent2" w:themeShade="80"/>
                          </w:rPr>
                        </w:pPr>
                        <w:r w:rsidRPr="005C0CB0">
                          <w:rPr>
                            <w:b/>
                            <w:i/>
                            <w:color w:val="632423" w:themeColor="accent2" w:themeShade="80"/>
                          </w:rPr>
                          <w:t xml:space="preserve">Purpose: avoid damage to the environment </w:t>
                        </w:r>
                      </w:p>
                    </w:txbxContent>
                  </v:textbox>
                </v:shape>
              </w:pict>
            </w:r>
          </w:p>
          <w:p w:rsidR="00995707" w:rsidRPr="009F7A28" w:rsidRDefault="00D44173" w:rsidP="00F73B30">
            <w:pPr>
              <w:pStyle w:val="ListBullet"/>
              <w:spacing w:before="40" w:after="40"/>
              <w:ind w:left="0" w:right="-86"/>
              <w:jc w:val="left"/>
              <w:rPr>
                <w:sz w:val="16"/>
                <w:szCs w:val="16"/>
              </w:rPr>
            </w:pPr>
            <w:r>
              <w:rPr>
                <w:noProof/>
                <w:sz w:val="16"/>
                <w:szCs w:val="16"/>
              </w:rPr>
              <w:pict>
                <v:shape id="_x0000_s1101" type="#_x0000_t202" style="position:absolute;left:0;text-align:left;margin-left:50.4pt;margin-top:27.05pt;width:229.05pt;height:104.75pt;z-index:251664896;mso-height-percent:200;mso-height-percent:200;mso-width-relative:margin;mso-height-relative:margin" stroked="f">
                  <v:fill opacity="0"/>
                  <v:textbox style="mso-next-textbox:#_x0000_s1101;mso-fit-shape-to-text:t">
                    <w:txbxContent>
                      <w:p w:rsidR="00033AD2" w:rsidRPr="00BF26F8" w:rsidRDefault="00033AD2" w:rsidP="00995707">
                        <w:pPr>
                          <w:spacing w:before="20" w:after="20" w:line="276" w:lineRule="auto"/>
                          <w:jc w:val="center"/>
                          <w:cnfStyle w:val="000000010000"/>
                          <w:rPr>
                            <w:b/>
                            <w:sz w:val="16"/>
                            <w:szCs w:val="16"/>
                          </w:rPr>
                        </w:pPr>
                        <w:r w:rsidRPr="00CE75BA">
                          <w:rPr>
                            <w:b/>
                            <w:sz w:val="16"/>
                            <w:szCs w:val="16"/>
                          </w:rPr>
                          <w:t>Extended dry conditions</w:t>
                        </w:r>
                      </w:p>
                      <w:p w:rsidR="00033AD2" w:rsidRDefault="00033AD2" w:rsidP="00A13294">
                        <w:pPr>
                          <w:pStyle w:val="ListBullet2"/>
                          <w:numPr>
                            <w:ilvl w:val="1"/>
                            <w:numId w:val="10"/>
                          </w:numPr>
                          <w:spacing w:before="20" w:after="20" w:line="276" w:lineRule="auto"/>
                          <w:ind w:left="284" w:hanging="284"/>
                          <w:jc w:val="center"/>
                          <w:cnfStyle w:val="000000010000"/>
                          <w:rPr>
                            <w:sz w:val="16"/>
                            <w:szCs w:val="16"/>
                          </w:rPr>
                        </w:pPr>
                        <w:r>
                          <w:rPr>
                            <w:sz w:val="16"/>
                            <w:szCs w:val="16"/>
                          </w:rPr>
                          <w:t xml:space="preserve">Water availability may be insufficient to meet all environmental demands </w:t>
                        </w:r>
                      </w:p>
                      <w:p w:rsidR="00033AD2" w:rsidRPr="00A13F31" w:rsidRDefault="00033AD2" w:rsidP="00A13294">
                        <w:pPr>
                          <w:pStyle w:val="ListBullet2"/>
                          <w:numPr>
                            <w:ilvl w:val="1"/>
                            <w:numId w:val="10"/>
                          </w:numPr>
                          <w:spacing w:before="20" w:after="20" w:line="276" w:lineRule="auto"/>
                          <w:ind w:left="284" w:hanging="284"/>
                          <w:jc w:val="center"/>
                          <w:cnfStyle w:val="000000010000"/>
                          <w:rPr>
                            <w:sz w:val="16"/>
                            <w:szCs w:val="16"/>
                          </w:rPr>
                        </w:pPr>
                        <w:r w:rsidRPr="00A13F31">
                          <w:rPr>
                            <w:sz w:val="16"/>
                            <w:szCs w:val="16"/>
                          </w:rPr>
                          <w:t>Use</w:t>
                        </w:r>
                        <w:r>
                          <w:rPr>
                            <w:sz w:val="16"/>
                            <w:szCs w:val="16"/>
                          </w:rPr>
                          <w:t xml:space="preserve"> a high proportion of limited allocations in targeted manner (e.g. individual wetlands, base flows)</w:t>
                        </w:r>
                      </w:p>
                      <w:p w:rsidR="00033AD2" w:rsidRPr="00A13F31" w:rsidRDefault="00033AD2" w:rsidP="00A13294">
                        <w:pPr>
                          <w:pStyle w:val="ListBullet2"/>
                          <w:numPr>
                            <w:ilvl w:val="1"/>
                            <w:numId w:val="10"/>
                          </w:numPr>
                          <w:spacing w:before="20" w:after="20" w:line="276" w:lineRule="auto"/>
                          <w:ind w:left="284" w:hanging="284"/>
                          <w:jc w:val="center"/>
                          <w:cnfStyle w:val="000000010000"/>
                          <w:rPr>
                            <w:sz w:val="16"/>
                            <w:szCs w:val="16"/>
                          </w:rPr>
                        </w:pPr>
                        <w:r>
                          <w:rPr>
                            <w:sz w:val="16"/>
                            <w:szCs w:val="16"/>
                          </w:rPr>
                          <w:t>C</w:t>
                        </w:r>
                        <w:r w:rsidRPr="00A13F31">
                          <w:rPr>
                            <w:sz w:val="16"/>
                            <w:szCs w:val="16"/>
                          </w:rPr>
                          <w:t>arryover</w:t>
                        </w:r>
                        <w:r>
                          <w:rPr>
                            <w:sz w:val="16"/>
                            <w:szCs w:val="16"/>
                          </w:rPr>
                          <w:t xml:space="preserve"> a small proportion or no allocations</w:t>
                        </w:r>
                      </w:p>
                      <w:p w:rsidR="00033AD2" w:rsidRPr="00A13F31" w:rsidRDefault="00033AD2" w:rsidP="00A13294">
                        <w:pPr>
                          <w:pStyle w:val="ListBullet2"/>
                          <w:numPr>
                            <w:ilvl w:val="1"/>
                            <w:numId w:val="10"/>
                          </w:numPr>
                          <w:spacing w:before="20" w:after="20" w:line="276" w:lineRule="auto"/>
                          <w:ind w:left="284" w:hanging="284"/>
                          <w:jc w:val="center"/>
                          <w:cnfStyle w:val="000000010000"/>
                          <w:rPr>
                            <w:sz w:val="16"/>
                            <w:szCs w:val="16"/>
                          </w:rPr>
                        </w:pPr>
                        <w:r>
                          <w:rPr>
                            <w:sz w:val="16"/>
                            <w:szCs w:val="16"/>
                          </w:rPr>
                          <w:t>Investigate opportunity to p</w:t>
                        </w:r>
                        <w:r w:rsidRPr="00A13F31">
                          <w:rPr>
                            <w:sz w:val="16"/>
                            <w:szCs w:val="16"/>
                          </w:rPr>
                          <w:t xml:space="preserve">urchase </w:t>
                        </w:r>
                        <w:r>
                          <w:rPr>
                            <w:sz w:val="16"/>
                            <w:szCs w:val="16"/>
                          </w:rPr>
                          <w:t xml:space="preserve">allocations by exception, </w:t>
                        </w:r>
                        <w:r w:rsidRPr="00A13F31">
                          <w:rPr>
                            <w:sz w:val="16"/>
                            <w:szCs w:val="16"/>
                          </w:rPr>
                          <w:t xml:space="preserve">to assist in meeting urgent </w:t>
                        </w:r>
                        <w:r>
                          <w:rPr>
                            <w:sz w:val="16"/>
                            <w:szCs w:val="16"/>
                          </w:rPr>
                          <w:t xml:space="preserve">and critical </w:t>
                        </w:r>
                        <w:r w:rsidRPr="00A13F31">
                          <w:rPr>
                            <w:sz w:val="16"/>
                            <w:szCs w:val="16"/>
                          </w:rPr>
                          <w:t>demands</w:t>
                        </w:r>
                      </w:p>
                    </w:txbxContent>
                  </v:textbox>
                </v:shape>
              </w:pict>
            </w:r>
          </w:p>
        </w:tc>
        <w:tc>
          <w:tcPr>
            <w:tcW w:w="2863" w:type="dxa"/>
            <w:tcBorders>
              <w:top w:val="single" w:sz="4" w:space="0" w:color="auto"/>
            </w:tcBorders>
            <w:shd w:val="clear" w:color="auto" w:fill="E9C8C1"/>
          </w:tcPr>
          <w:p w:rsidR="00995707" w:rsidRPr="009F7A28" w:rsidRDefault="00995707" w:rsidP="00F73B30">
            <w:pPr>
              <w:pStyle w:val="ListBullet"/>
              <w:numPr>
                <w:ilvl w:val="0"/>
                <w:numId w:val="0"/>
              </w:numPr>
              <w:spacing w:before="40" w:after="40"/>
              <w:rPr>
                <w:sz w:val="16"/>
                <w:szCs w:val="16"/>
              </w:rPr>
            </w:pPr>
          </w:p>
        </w:tc>
        <w:tc>
          <w:tcPr>
            <w:tcW w:w="2865" w:type="dxa"/>
            <w:tcBorders>
              <w:top w:val="single" w:sz="4" w:space="0" w:color="auto"/>
            </w:tcBorders>
            <w:shd w:val="clear" w:color="auto" w:fill="FDE9D9" w:themeFill="accent6" w:themeFillTint="33"/>
          </w:tcPr>
          <w:p w:rsidR="00995707" w:rsidRPr="009F7A28" w:rsidRDefault="00D44173" w:rsidP="00F73B30">
            <w:pPr>
              <w:pStyle w:val="ListBullet"/>
              <w:numPr>
                <w:ilvl w:val="0"/>
                <w:numId w:val="0"/>
              </w:numPr>
              <w:spacing w:before="40" w:after="40"/>
              <w:rPr>
                <w:sz w:val="16"/>
                <w:szCs w:val="16"/>
              </w:rPr>
            </w:pPr>
            <w:r>
              <w:rPr>
                <w:noProof/>
                <w:sz w:val="16"/>
                <w:szCs w:val="16"/>
              </w:rPr>
              <w:pict>
                <v:shape id="_x0000_s1102" type="#_x0000_t202" style="position:absolute;left:0;text-align:left;margin-left:13.5pt;margin-top:24.45pt;width:164.65pt;height:38.3pt;z-index:251665920;mso-height-percent:200;mso-position-horizontal-relative:text;mso-position-vertical-relative:text;mso-height-percent:200;mso-width-relative:margin;mso-height-relative:margin" stroked="f">
                  <v:fill opacity="0"/>
                  <v:textbox style="mso-next-textbox:#_x0000_s1102;mso-fit-shape-to-text:t">
                    <w:txbxContent>
                      <w:p w:rsidR="00033AD2" w:rsidRDefault="00033AD2" w:rsidP="00995707">
                        <w:pPr>
                          <w:pStyle w:val="ListBullet2"/>
                          <w:numPr>
                            <w:ilvl w:val="0"/>
                            <w:numId w:val="0"/>
                          </w:numPr>
                          <w:spacing w:before="20" w:after="20" w:line="276" w:lineRule="auto"/>
                          <w:cnfStyle w:val="000000010000"/>
                          <w:rPr>
                            <w:b/>
                            <w:i/>
                            <w:color w:val="984806" w:themeColor="accent6" w:themeShade="80"/>
                          </w:rPr>
                        </w:pPr>
                        <w:r w:rsidRPr="005C0CB0">
                          <w:rPr>
                            <w:b/>
                            <w:i/>
                            <w:color w:val="984806" w:themeColor="accent6" w:themeShade="80"/>
                          </w:rPr>
                          <w:t xml:space="preserve">Purpose: Protect and ensure </w:t>
                        </w:r>
                      </w:p>
                      <w:p w:rsidR="00033AD2" w:rsidRPr="005C0CB0" w:rsidRDefault="00033AD2" w:rsidP="00995707">
                        <w:pPr>
                          <w:pStyle w:val="ListBullet2"/>
                          <w:numPr>
                            <w:ilvl w:val="0"/>
                            <w:numId w:val="0"/>
                          </w:numPr>
                          <w:spacing w:before="20" w:after="20" w:line="276" w:lineRule="auto"/>
                          <w:cnfStyle w:val="000000010000"/>
                          <w:rPr>
                            <w:b/>
                            <w:i/>
                            <w:color w:val="984806" w:themeColor="accent6" w:themeShade="80"/>
                          </w:rPr>
                        </w:pPr>
                        <w:r w:rsidRPr="005C0CB0">
                          <w:rPr>
                            <w:b/>
                            <w:i/>
                            <w:color w:val="984806" w:themeColor="accent6" w:themeShade="80"/>
                          </w:rPr>
                          <w:t xml:space="preserve">capacity for recovery </w:t>
                        </w:r>
                      </w:p>
                    </w:txbxContent>
                  </v:textbox>
                </v:shape>
              </w:pict>
            </w:r>
          </w:p>
        </w:tc>
        <w:tc>
          <w:tcPr>
            <w:tcW w:w="2865" w:type="dxa"/>
            <w:tcBorders>
              <w:top w:val="single" w:sz="4" w:space="0" w:color="auto"/>
            </w:tcBorders>
            <w:shd w:val="clear" w:color="auto" w:fill="FDE9D9" w:themeFill="accent6" w:themeFillTint="33"/>
          </w:tcPr>
          <w:p w:rsidR="00995707" w:rsidRPr="009F7A28" w:rsidRDefault="00D44173" w:rsidP="00F73B30">
            <w:pPr>
              <w:pStyle w:val="ListBullet"/>
              <w:numPr>
                <w:ilvl w:val="0"/>
                <w:numId w:val="0"/>
              </w:numPr>
              <w:spacing w:before="40" w:after="40"/>
              <w:rPr>
                <w:sz w:val="16"/>
                <w:szCs w:val="16"/>
              </w:rPr>
            </w:pPr>
            <w:r>
              <w:rPr>
                <w:noProof/>
                <w:sz w:val="16"/>
                <w:szCs w:val="16"/>
              </w:rPr>
              <w:pict>
                <v:shape id="_x0000_s1103" type="#_x0000_t202" style="position:absolute;left:0;text-align:left;margin-left:4.65pt;margin-top:42.6pt;width:255.9pt;height:127.45pt;z-index:251666944;mso-height-percent:200;mso-position-horizontal-relative:text;mso-position-vertical-relative:text;mso-height-percent:200;mso-width-relative:margin;mso-height-relative:margin" stroked="f">
                  <v:fill opacity="0"/>
                  <v:textbox style="mso-next-textbox:#_x0000_s1103;mso-fit-shape-to-text:t">
                    <w:txbxContent>
                      <w:p w:rsidR="00033AD2" w:rsidRPr="00BF26F8" w:rsidRDefault="00033AD2" w:rsidP="00995707">
                        <w:pPr>
                          <w:spacing w:before="20" w:after="20" w:line="276" w:lineRule="auto"/>
                          <w:jc w:val="center"/>
                          <w:cnfStyle w:val="000000010000"/>
                          <w:rPr>
                            <w:b/>
                            <w:sz w:val="16"/>
                            <w:szCs w:val="16"/>
                          </w:rPr>
                        </w:pPr>
                        <w:r>
                          <w:rPr>
                            <w:b/>
                            <w:sz w:val="16"/>
                            <w:szCs w:val="16"/>
                          </w:rPr>
                          <w:t>Transitioning from wet period to dry</w:t>
                        </w:r>
                      </w:p>
                      <w:p w:rsidR="00033AD2" w:rsidRDefault="00033AD2" w:rsidP="00A13294">
                        <w:pPr>
                          <w:pStyle w:val="ListBullet2"/>
                          <w:numPr>
                            <w:ilvl w:val="1"/>
                            <w:numId w:val="10"/>
                          </w:numPr>
                          <w:spacing w:before="20" w:after="20" w:line="276" w:lineRule="auto"/>
                          <w:ind w:left="284" w:hanging="284"/>
                          <w:jc w:val="center"/>
                          <w:cnfStyle w:val="000000010000"/>
                          <w:rPr>
                            <w:sz w:val="16"/>
                            <w:szCs w:val="16"/>
                          </w:rPr>
                        </w:pPr>
                        <w:r>
                          <w:rPr>
                            <w:sz w:val="16"/>
                            <w:szCs w:val="16"/>
                          </w:rPr>
                          <w:t>Water availability typically sufficient to meet demands</w:t>
                        </w:r>
                      </w:p>
                      <w:p w:rsidR="00033AD2" w:rsidRDefault="00033AD2" w:rsidP="00A13294">
                        <w:pPr>
                          <w:pStyle w:val="ListBullet2"/>
                          <w:numPr>
                            <w:ilvl w:val="1"/>
                            <w:numId w:val="10"/>
                          </w:numPr>
                          <w:spacing w:before="20" w:after="20" w:line="276" w:lineRule="auto"/>
                          <w:ind w:left="284" w:hanging="284"/>
                          <w:jc w:val="center"/>
                          <w:cnfStyle w:val="000000010000"/>
                          <w:rPr>
                            <w:sz w:val="16"/>
                            <w:szCs w:val="16"/>
                          </w:rPr>
                        </w:pPr>
                        <w:r>
                          <w:rPr>
                            <w:sz w:val="16"/>
                            <w:szCs w:val="16"/>
                          </w:rPr>
                          <w:t>Allow drying to occur and u</w:t>
                        </w:r>
                        <w:r w:rsidRPr="002902E4">
                          <w:rPr>
                            <w:sz w:val="16"/>
                            <w:szCs w:val="16"/>
                          </w:rPr>
                          <w:t xml:space="preserve">se a </w:t>
                        </w:r>
                        <w:r>
                          <w:rPr>
                            <w:sz w:val="16"/>
                            <w:szCs w:val="16"/>
                          </w:rPr>
                          <w:t xml:space="preserve">low-moderate </w:t>
                        </w:r>
                        <w:r w:rsidRPr="002902E4">
                          <w:rPr>
                            <w:sz w:val="16"/>
                            <w:szCs w:val="16"/>
                          </w:rPr>
                          <w:t xml:space="preserve">proportion </w:t>
                        </w:r>
                        <w:r>
                          <w:rPr>
                            <w:sz w:val="16"/>
                            <w:szCs w:val="16"/>
                          </w:rPr>
                          <w:t>of available allocations as needed(e.g. for base flows)</w:t>
                        </w:r>
                      </w:p>
                      <w:p w:rsidR="00033AD2" w:rsidRDefault="00033AD2" w:rsidP="00A13294">
                        <w:pPr>
                          <w:pStyle w:val="ListBullet2"/>
                          <w:numPr>
                            <w:ilvl w:val="1"/>
                            <w:numId w:val="10"/>
                          </w:numPr>
                          <w:spacing w:before="20" w:after="20" w:line="276" w:lineRule="auto"/>
                          <w:ind w:left="284" w:hanging="284"/>
                          <w:jc w:val="center"/>
                          <w:cnfStyle w:val="000000010000"/>
                          <w:rPr>
                            <w:sz w:val="16"/>
                            <w:szCs w:val="16"/>
                          </w:rPr>
                        </w:pPr>
                        <w:r w:rsidRPr="002902E4">
                          <w:rPr>
                            <w:sz w:val="16"/>
                            <w:szCs w:val="16"/>
                          </w:rPr>
                          <w:t>Carryover a moderate proportion of allocations</w:t>
                        </w:r>
                        <w:r>
                          <w:rPr>
                            <w:sz w:val="16"/>
                            <w:szCs w:val="16"/>
                          </w:rPr>
                          <w:t xml:space="preserve"> to meet minimum requirements in coming years</w:t>
                        </w:r>
                      </w:p>
                      <w:p w:rsidR="00033AD2" w:rsidRDefault="00033AD2" w:rsidP="00A13294">
                        <w:pPr>
                          <w:pStyle w:val="ListBullet2"/>
                          <w:numPr>
                            <w:ilvl w:val="1"/>
                            <w:numId w:val="10"/>
                          </w:numPr>
                          <w:spacing w:before="20" w:after="20" w:line="276" w:lineRule="auto"/>
                          <w:ind w:left="284" w:hanging="284"/>
                          <w:jc w:val="center"/>
                          <w:cnfStyle w:val="000000010000"/>
                          <w:rPr>
                            <w:sz w:val="16"/>
                            <w:szCs w:val="16"/>
                          </w:rPr>
                        </w:pPr>
                        <w:r>
                          <w:rPr>
                            <w:sz w:val="16"/>
                            <w:szCs w:val="16"/>
                          </w:rPr>
                          <w:t>An o</w:t>
                        </w:r>
                        <w:r w:rsidRPr="002902E4">
                          <w:rPr>
                            <w:sz w:val="16"/>
                            <w:szCs w:val="16"/>
                          </w:rPr>
                          <w:t xml:space="preserve">pportunity for </w:t>
                        </w:r>
                        <w:r>
                          <w:rPr>
                            <w:sz w:val="16"/>
                            <w:szCs w:val="16"/>
                          </w:rPr>
                          <w:t xml:space="preserve">sale of </w:t>
                        </w:r>
                        <w:r w:rsidRPr="002902E4">
                          <w:rPr>
                            <w:sz w:val="16"/>
                            <w:szCs w:val="16"/>
                          </w:rPr>
                          <w:t>allocations</w:t>
                        </w:r>
                        <w:r>
                          <w:rPr>
                            <w:sz w:val="16"/>
                            <w:szCs w:val="16"/>
                          </w:rPr>
                          <w:t>, subject to:</w:t>
                        </w:r>
                      </w:p>
                      <w:p w:rsidR="00033AD2" w:rsidRPr="003601CE" w:rsidRDefault="00033AD2" w:rsidP="00A13294">
                        <w:pPr>
                          <w:pStyle w:val="ListNumber"/>
                          <w:numPr>
                            <w:ilvl w:val="0"/>
                            <w:numId w:val="11"/>
                          </w:numPr>
                          <w:spacing w:after="0"/>
                          <w:ind w:left="851" w:firstLine="142"/>
                          <w:jc w:val="left"/>
                          <w:cnfStyle w:val="000000010000"/>
                          <w:rPr>
                            <w:sz w:val="16"/>
                            <w:szCs w:val="16"/>
                          </w:rPr>
                        </w:pPr>
                        <w:r w:rsidRPr="003601CE">
                          <w:rPr>
                            <w:sz w:val="16"/>
                            <w:szCs w:val="16"/>
                          </w:rPr>
                          <w:t>Environmental demands being met;</w:t>
                        </w:r>
                      </w:p>
                      <w:p w:rsidR="00033AD2" w:rsidRPr="003601CE" w:rsidRDefault="00033AD2" w:rsidP="00A13294">
                        <w:pPr>
                          <w:pStyle w:val="ListNumber"/>
                          <w:numPr>
                            <w:ilvl w:val="0"/>
                            <w:numId w:val="11"/>
                          </w:numPr>
                          <w:spacing w:after="0"/>
                          <w:ind w:left="851" w:firstLine="142"/>
                          <w:jc w:val="left"/>
                          <w:cnfStyle w:val="000000010000"/>
                          <w:rPr>
                            <w:sz w:val="16"/>
                            <w:szCs w:val="16"/>
                          </w:rPr>
                        </w:pPr>
                        <w:r w:rsidRPr="003601CE">
                          <w:rPr>
                            <w:sz w:val="16"/>
                            <w:szCs w:val="16"/>
                          </w:rPr>
                          <w:t>Sufficient carryover to meet future demands; and</w:t>
                        </w:r>
                      </w:p>
                      <w:p w:rsidR="00033AD2" w:rsidRPr="003601CE" w:rsidRDefault="00033AD2" w:rsidP="00A13294">
                        <w:pPr>
                          <w:pStyle w:val="ListNumber"/>
                          <w:numPr>
                            <w:ilvl w:val="0"/>
                            <w:numId w:val="11"/>
                          </w:numPr>
                          <w:spacing w:after="0"/>
                          <w:ind w:left="851" w:firstLine="142"/>
                          <w:jc w:val="left"/>
                          <w:cnfStyle w:val="000000010000"/>
                          <w:rPr>
                            <w:sz w:val="16"/>
                            <w:szCs w:val="16"/>
                          </w:rPr>
                        </w:pPr>
                        <w:r w:rsidRPr="003601CE">
                          <w:rPr>
                            <w:sz w:val="16"/>
                            <w:szCs w:val="16"/>
                          </w:rPr>
                          <w:t>Market conditions</w:t>
                        </w:r>
                      </w:p>
                    </w:txbxContent>
                  </v:textbox>
                </v:shape>
              </w:pict>
            </w:r>
          </w:p>
        </w:tc>
        <w:tc>
          <w:tcPr>
            <w:tcW w:w="2863" w:type="dxa"/>
            <w:vMerge w:val="restart"/>
            <w:tcBorders>
              <w:top w:val="single" w:sz="4" w:space="0" w:color="auto"/>
              <w:bottom w:val="single" w:sz="4" w:space="0" w:color="auto"/>
              <w:right w:val="single" w:sz="4" w:space="0" w:color="auto"/>
            </w:tcBorders>
            <w:shd w:val="clear" w:color="auto" w:fill="CEE0D8"/>
          </w:tcPr>
          <w:p w:rsidR="00995707" w:rsidRPr="009F7A28" w:rsidRDefault="00995707" w:rsidP="00F73B30">
            <w:pPr>
              <w:pStyle w:val="ListBullet"/>
              <w:spacing w:before="40" w:after="40"/>
              <w:ind w:left="0"/>
              <w:jc w:val="left"/>
              <w:rPr>
                <w:sz w:val="16"/>
                <w:szCs w:val="16"/>
              </w:rPr>
            </w:pPr>
          </w:p>
          <w:p w:rsidR="00995707" w:rsidRPr="009F7A28" w:rsidRDefault="00995707" w:rsidP="00F73B30">
            <w:pPr>
              <w:pStyle w:val="ListBullet"/>
              <w:spacing w:before="40" w:after="40"/>
              <w:ind w:left="0"/>
              <w:jc w:val="left"/>
              <w:rPr>
                <w:sz w:val="16"/>
                <w:szCs w:val="16"/>
              </w:rPr>
            </w:pPr>
          </w:p>
          <w:p w:rsidR="00995707" w:rsidRPr="009F7A28" w:rsidRDefault="00995707" w:rsidP="00F73B30">
            <w:pPr>
              <w:pStyle w:val="ListBullet"/>
              <w:spacing w:before="40" w:after="40"/>
              <w:ind w:left="0"/>
              <w:jc w:val="left"/>
              <w:rPr>
                <w:sz w:val="16"/>
                <w:szCs w:val="16"/>
              </w:rPr>
            </w:pPr>
          </w:p>
          <w:p w:rsidR="00995707" w:rsidRPr="009F7A28" w:rsidRDefault="00995707" w:rsidP="00F73B30">
            <w:pPr>
              <w:pStyle w:val="ListBullet"/>
              <w:spacing w:before="40" w:after="40"/>
              <w:ind w:left="0"/>
              <w:jc w:val="left"/>
              <w:rPr>
                <w:sz w:val="16"/>
                <w:szCs w:val="16"/>
              </w:rPr>
            </w:pPr>
          </w:p>
          <w:p w:rsidR="00995707" w:rsidRPr="009F7A28" w:rsidRDefault="00995707" w:rsidP="00F73B30">
            <w:pPr>
              <w:pStyle w:val="ListBullet"/>
              <w:spacing w:before="40" w:after="40"/>
              <w:ind w:left="0"/>
              <w:jc w:val="left"/>
              <w:rPr>
                <w:sz w:val="16"/>
                <w:szCs w:val="16"/>
              </w:rPr>
            </w:pPr>
          </w:p>
        </w:tc>
      </w:tr>
      <w:tr w:rsidR="00995707" w:rsidRPr="009F7A28" w:rsidTr="00F73B30">
        <w:trPr>
          <w:cnfStyle w:val="000000100000"/>
          <w:trHeight w:val="1501"/>
        </w:trPr>
        <w:tc>
          <w:tcPr>
            <w:tcW w:w="1430" w:type="dxa"/>
            <w:tcBorders>
              <w:left w:val="single" w:sz="4" w:space="0" w:color="auto"/>
              <w:right w:val="single" w:sz="4" w:space="0" w:color="auto"/>
            </w:tcBorders>
            <w:vAlign w:val="center"/>
          </w:tcPr>
          <w:p w:rsidR="00995707" w:rsidRPr="009F7A28" w:rsidRDefault="00995707" w:rsidP="00F73B30">
            <w:pPr>
              <w:pStyle w:val="ListBullet"/>
              <w:numPr>
                <w:ilvl w:val="0"/>
                <w:numId w:val="0"/>
              </w:numPr>
              <w:spacing w:before="40" w:after="40"/>
              <w:ind w:left="-108"/>
              <w:jc w:val="center"/>
              <w:rPr>
                <w:b/>
                <w:sz w:val="16"/>
                <w:szCs w:val="16"/>
              </w:rPr>
            </w:pPr>
            <w:r w:rsidRPr="009F7A28">
              <w:rPr>
                <w:b/>
                <w:sz w:val="16"/>
                <w:szCs w:val="16"/>
              </w:rPr>
              <w:t>Low</w:t>
            </w:r>
          </w:p>
          <w:p w:rsidR="00995707" w:rsidRPr="009F7A28" w:rsidRDefault="00995707" w:rsidP="00F73B30">
            <w:pPr>
              <w:pStyle w:val="ListBullet"/>
              <w:numPr>
                <w:ilvl w:val="0"/>
                <w:numId w:val="0"/>
              </w:numPr>
              <w:spacing w:before="40" w:after="40"/>
              <w:ind w:left="-108"/>
              <w:jc w:val="center"/>
              <w:rPr>
                <w:b/>
                <w:sz w:val="16"/>
                <w:szCs w:val="16"/>
              </w:rPr>
            </w:pPr>
          </w:p>
        </w:tc>
        <w:tc>
          <w:tcPr>
            <w:tcW w:w="2863" w:type="dxa"/>
            <w:vMerge/>
            <w:tcBorders>
              <w:left w:val="single" w:sz="4" w:space="0" w:color="auto"/>
            </w:tcBorders>
            <w:shd w:val="clear" w:color="auto" w:fill="F2DBDB" w:themeFill="accent2" w:themeFillTint="33"/>
          </w:tcPr>
          <w:p w:rsidR="00995707" w:rsidRPr="009F7A28" w:rsidRDefault="00995707" w:rsidP="00F73B30">
            <w:pPr>
              <w:pStyle w:val="ListBullet"/>
              <w:numPr>
                <w:ilvl w:val="0"/>
                <w:numId w:val="0"/>
              </w:numPr>
              <w:spacing w:before="40" w:after="40"/>
              <w:ind w:right="-86"/>
              <w:rPr>
                <w:sz w:val="16"/>
                <w:szCs w:val="16"/>
              </w:rPr>
            </w:pPr>
          </w:p>
        </w:tc>
        <w:tc>
          <w:tcPr>
            <w:tcW w:w="2863" w:type="dxa"/>
            <w:shd w:val="clear" w:color="auto" w:fill="FDE9D9" w:themeFill="accent6" w:themeFillTint="33"/>
          </w:tcPr>
          <w:p w:rsidR="00995707" w:rsidRPr="009F7A28" w:rsidRDefault="00995707" w:rsidP="00F73B30">
            <w:pPr>
              <w:pStyle w:val="ListBullet"/>
              <w:numPr>
                <w:ilvl w:val="0"/>
                <w:numId w:val="0"/>
              </w:numPr>
              <w:spacing w:before="40" w:after="40"/>
              <w:rPr>
                <w:sz w:val="16"/>
                <w:szCs w:val="16"/>
              </w:rPr>
            </w:pPr>
            <w:r w:rsidRPr="009F7A28">
              <w:rPr>
                <w:sz w:val="16"/>
                <w:szCs w:val="16"/>
              </w:rPr>
              <w:t xml:space="preserve">             </w:t>
            </w:r>
          </w:p>
          <w:p w:rsidR="00995707" w:rsidRPr="009F7A28" w:rsidRDefault="00D44173" w:rsidP="00F73B30">
            <w:pPr>
              <w:pStyle w:val="ListBullet"/>
              <w:numPr>
                <w:ilvl w:val="0"/>
                <w:numId w:val="0"/>
              </w:numPr>
              <w:spacing w:before="40" w:after="40"/>
              <w:rPr>
                <w:sz w:val="16"/>
                <w:szCs w:val="16"/>
              </w:rPr>
            </w:pPr>
            <w:r>
              <w:rPr>
                <w:noProof/>
                <w:sz w:val="16"/>
                <w:szCs w:val="16"/>
              </w:rPr>
              <w:pict>
                <v:shape id="_x0000_s1104" type="#_x0000_t202" style="position:absolute;left:0;text-align:left;margin-left:94.85pt;margin-top:56.45pt;width:228.7pt;height:104.75pt;z-index:251667968;mso-height-percent:200;mso-height-percent:200;mso-width-relative:margin;mso-height-relative:margin" stroked="f">
                  <v:fill opacity="0"/>
                  <v:textbox style="mso-next-textbox:#_x0000_s1104;mso-fit-shape-to-text:t">
                    <w:txbxContent>
                      <w:p w:rsidR="00033AD2" w:rsidRPr="00BF26F8" w:rsidRDefault="00033AD2" w:rsidP="00995707">
                        <w:pPr>
                          <w:spacing w:before="20" w:after="20" w:line="276" w:lineRule="auto"/>
                          <w:jc w:val="center"/>
                          <w:cnfStyle w:val="000000010000"/>
                          <w:rPr>
                            <w:b/>
                            <w:sz w:val="16"/>
                            <w:szCs w:val="16"/>
                          </w:rPr>
                        </w:pPr>
                        <w:r w:rsidRPr="00CE75BA">
                          <w:rPr>
                            <w:b/>
                            <w:sz w:val="16"/>
                            <w:szCs w:val="16"/>
                          </w:rPr>
                          <w:t>Moderate or average conditions</w:t>
                        </w:r>
                      </w:p>
                      <w:p w:rsidR="00033AD2" w:rsidRDefault="00033AD2" w:rsidP="00A13294">
                        <w:pPr>
                          <w:pStyle w:val="ListBullet2"/>
                          <w:numPr>
                            <w:ilvl w:val="1"/>
                            <w:numId w:val="10"/>
                          </w:numPr>
                          <w:spacing w:before="20" w:after="20" w:line="276" w:lineRule="auto"/>
                          <w:ind w:left="284" w:hanging="284"/>
                          <w:jc w:val="center"/>
                          <w:cnfStyle w:val="000000010000"/>
                          <w:rPr>
                            <w:sz w:val="16"/>
                            <w:szCs w:val="16"/>
                          </w:rPr>
                        </w:pPr>
                        <w:r>
                          <w:rPr>
                            <w:sz w:val="16"/>
                            <w:szCs w:val="16"/>
                          </w:rPr>
                          <w:t>Environmental demands and water availability broadly match</w:t>
                        </w:r>
                      </w:p>
                      <w:p w:rsidR="00033AD2" w:rsidRDefault="00033AD2" w:rsidP="00A13294">
                        <w:pPr>
                          <w:pStyle w:val="ListBullet2"/>
                          <w:numPr>
                            <w:ilvl w:val="1"/>
                            <w:numId w:val="10"/>
                          </w:numPr>
                          <w:spacing w:before="20" w:after="20" w:line="276" w:lineRule="auto"/>
                          <w:ind w:left="284" w:hanging="284"/>
                          <w:jc w:val="center"/>
                          <w:cnfStyle w:val="000000010000"/>
                          <w:rPr>
                            <w:sz w:val="16"/>
                            <w:szCs w:val="16"/>
                          </w:rPr>
                        </w:pPr>
                        <w:r>
                          <w:rPr>
                            <w:sz w:val="16"/>
                            <w:szCs w:val="16"/>
                          </w:rPr>
                          <w:t>Use a moderate to high proportion of available allocations (e.g. for base flows through to limited overbank flows)</w:t>
                        </w:r>
                      </w:p>
                      <w:p w:rsidR="00033AD2" w:rsidRPr="00C36DCC" w:rsidRDefault="00033AD2" w:rsidP="00A13294">
                        <w:pPr>
                          <w:pStyle w:val="ListBullet2"/>
                          <w:numPr>
                            <w:ilvl w:val="1"/>
                            <w:numId w:val="10"/>
                          </w:numPr>
                          <w:spacing w:before="20" w:after="20" w:line="276" w:lineRule="auto"/>
                          <w:ind w:left="284" w:hanging="284"/>
                          <w:jc w:val="center"/>
                          <w:cnfStyle w:val="000000010000"/>
                          <w:rPr>
                            <w:sz w:val="16"/>
                            <w:szCs w:val="16"/>
                          </w:rPr>
                        </w:pPr>
                        <w:r>
                          <w:rPr>
                            <w:sz w:val="16"/>
                            <w:szCs w:val="16"/>
                          </w:rPr>
                          <w:t>Carryover a low to moderate proportion of available allocations</w:t>
                        </w:r>
                      </w:p>
                      <w:p w:rsidR="00033AD2" w:rsidRPr="00C36DCC" w:rsidRDefault="00033AD2" w:rsidP="00A13294">
                        <w:pPr>
                          <w:pStyle w:val="ListBullet2"/>
                          <w:numPr>
                            <w:ilvl w:val="1"/>
                            <w:numId w:val="10"/>
                          </w:numPr>
                          <w:spacing w:before="20" w:after="20" w:line="276" w:lineRule="auto"/>
                          <w:ind w:left="284" w:hanging="284"/>
                          <w:jc w:val="center"/>
                          <w:cnfStyle w:val="000000010000"/>
                          <w:rPr>
                            <w:sz w:val="16"/>
                            <w:szCs w:val="16"/>
                          </w:rPr>
                        </w:pPr>
                        <w:r>
                          <w:rPr>
                            <w:sz w:val="16"/>
                            <w:szCs w:val="16"/>
                          </w:rPr>
                          <w:t>Investigate opportunity for allocation sale or purchase, depending on needs and market conditions</w:t>
                        </w:r>
                      </w:p>
                    </w:txbxContent>
                  </v:textbox>
                </v:shape>
              </w:pict>
            </w:r>
            <w:r w:rsidR="00995707" w:rsidRPr="009F7A28">
              <w:rPr>
                <w:sz w:val="16"/>
                <w:szCs w:val="16"/>
              </w:rPr>
              <w:t xml:space="preserve">               </w:t>
            </w:r>
          </w:p>
        </w:tc>
        <w:tc>
          <w:tcPr>
            <w:tcW w:w="2865" w:type="dxa"/>
            <w:shd w:val="clear" w:color="auto" w:fill="FDE9D9" w:themeFill="accent6" w:themeFillTint="33"/>
          </w:tcPr>
          <w:p w:rsidR="00995707" w:rsidRPr="009F7A28" w:rsidRDefault="00995707" w:rsidP="00F73B30">
            <w:pPr>
              <w:pStyle w:val="ListBullet"/>
              <w:numPr>
                <w:ilvl w:val="0"/>
                <w:numId w:val="0"/>
              </w:numPr>
              <w:spacing w:before="40" w:after="40"/>
              <w:rPr>
                <w:sz w:val="16"/>
                <w:szCs w:val="16"/>
              </w:rPr>
            </w:pPr>
          </w:p>
        </w:tc>
        <w:tc>
          <w:tcPr>
            <w:tcW w:w="2865" w:type="dxa"/>
            <w:vMerge w:val="restart"/>
            <w:shd w:val="clear" w:color="auto" w:fill="CEE0D8"/>
          </w:tcPr>
          <w:p w:rsidR="00995707" w:rsidRPr="009F7A28" w:rsidRDefault="00995707" w:rsidP="00F73B30">
            <w:pPr>
              <w:pStyle w:val="ListBullet"/>
              <w:numPr>
                <w:ilvl w:val="0"/>
                <w:numId w:val="0"/>
              </w:numPr>
              <w:spacing w:before="40" w:after="40"/>
              <w:rPr>
                <w:sz w:val="16"/>
                <w:szCs w:val="16"/>
              </w:rPr>
            </w:pPr>
          </w:p>
          <w:p w:rsidR="00995707" w:rsidRPr="009F7A28" w:rsidRDefault="00995707" w:rsidP="00F73B30">
            <w:pPr>
              <w:pStyle w:val="ListBullet"/>
              <w:numPr>
                <w:ilvl w:val="0"/>
                <w:numId w:val="0"/>
              </w:numPr>
              <w:spacing w:before="40" w:after="40"/>
              <w:rPr>
                <w:sz w:val="16"/>
                <w:szCs w:val="16"/>
              </w:rPr>
            </w:pPr>
            <w:r w:rsidRPr="009F7A28">
              <w:rPr>
                <w:sz w:val="16"/>
                <w:szCs w:val="16"/>
              </w:rPr>
              <w:t xml:space="preserve"> </w:t>
            </w:r>
          </w:p>
          <w:p w:rsidR="00995707" w:rsidRPr="009F7A28" w:rsidRDefault="00995707" w:rsidP="00F73B30">
            <w:pPr>
              <w:pStyle w:val="ListBullet"/>
              <w:numPr>
                <w:ilvl w:val="0"/>
                <w:numId w:val="0"/>
              </w:numPr>
              <w:spacing w:before="40" w:after="40"/>
              <w:rPr>
                <w:sz w:val="16"/>
                <w:szCs w:val="16"/>
              </w:rPr>
            </w:pPr>
          </w:p>
          <w:p w:rsidR="00995707" w:rsidRPr="009F7A28" w:rsidRDefault="00995707" w:rsidP="00F73B30">
            <w:pPr>
              <w:pStyle w:val="ListBullet"/>
              <w:numPr>
                <w:ilvl w:val="0"/>
                <w:numId w:val="0"/>
              </w:numPr>
              <w:spacing w:before="40" w:after="40"/>
              <w:rPr>
                <w:sz w:val="16"/>
                <w:szCs w:val="16"/>
              </w:rPr>
            </w:pPr>
            <w:r w:rsidRPr="009F7A28">
              <w:rPr>
                <w:sz w:val="16"/>
                <w:szCs w:val="16"/>
              </w:rPr>
              <w:t xml:space="preserve">                   </w:t>
            </w:r>
          </w:p>
          <w:p w:rsidR="00995707" w:rsidRPr="009F7A28" w:rsidRDefault="00D44173" w:rsidP="00F73B30">
            <w:pPr>
              <w:pStyle w:val="ListBullet"/>
              <w:spacing w:before="40" w:after="40"/>
              <w:ind w:left="0"/>
              <w:jc w:val="left"/>
              <w:rPr>
                <w:sz w:val="16"/>
                <w:szCs w:val="16"/>
              </w:rPr>
            </w:pPr>
            <w:r>
              <w:rPr>
                <w:noProof/>
                <w:sz w:val="16"/>
                <w:szCs w:val="16"/>
              </w:rPr>
              <w:pict>
                <v:shape id="_x0000_s1105" type="#_x0000_t202" style="position:absolute;left:0;text-align:left;margin-left:71.35pt;margin-top:60.15pt;width:174.85pt;height:38.3pt;z-index:251668992;mso-height-percent:200;mso-height-percent:200;mso-width-relative:margin;mso-height-relative:margin" stroked="f">
                  <v:fill opacity="0"/>
                  <v:textbox style="mso-next-textbox:#_x0000_s1105;mso-fit-shape-to-text:t">
                    <w:txbxContent>
                      <w:p w:rsidR="00033AD2" w:rsidRPr="00AB4FAF" w:rsidRDefault="00033AD2" w:rsidP="00995707">
                        <w:pPr>
                          <w:pStyle w:val="ListBullet2"/>
                          <w:numPr>
                            <w:ilvl w:val="0"/>
                            <w:numId w:val="0"/>
                          </w:numPr>
                          <w:spacing w:before="20" w:after="20" w:line="276" w:lineRule="auto"/>
                          <w:cnfStyle w:val="000000010000"/>
                          <w:rPr>
                            <w:b/>
                            <w:i/>
                            <w:color w:val="3A5C4C"/>
                          </w:rPr>
                        </w:pPr>
                        <w:r w:rsidRPr="00AB4FAF">
                          <w:rPr>
                            <w:b/>
                            <w:i/>
                            <w:color w:val="3A5C4C"/>
                          </w:rPr>
                          <w:t xml:space="preserve">Purpose: Maintain ecological </w:t>
                        </w:r>
                      </w:p>
                      <w:p w:rsidR="00033AD2" w:rsidRPr="00AB4FAF" w:rsidRDefault="00033AD2" w:rsidP="00995707">
                        <w:pPr>
                          <w:pStyle w:val="ListBullet2"/>
                          <w:numPr>
                            <w:ilvl w:val="0"/>
                            <w:numId w:val="0"/>
                          </w:numPr>
                          <w:spacing w:before="20" w:after="20" w:line="276" w:lineRule="auto"/>
                          <w:cnfStyle w:val="000000010000"/>
                          <w:rPr>
                            <w:b/>
                            <w:i/>
                            <w:color w:val="3A5C4C"/>
                          </w:rPr>
                        </w:pPr>
                        <w:r w:rsidRPr="00AB4FAF">
                          <w:rPr>
                            <w:b/>
                            <w:i/>
                            <w:color w:val="3A5C4C"/>
                          </w:rPr>
                          <w:t>health and resilience</w:t>
                        </w:r>
                      </w:p>
                    </w:txbxContent>
                  </v:textbox>
                </v:shape>
              </w:pict>
            </w:r>
            <w:r>
              <w:rPr>
                <w:noProof/>
                <w:sz w:val="16"/>
                <w:szCs w:val="16"/>
              </w:rPr>
              <w:pict>
                <v:shape id="_x0000_s1106" type="#_x0000_t202" style="position:absolute;left:0;text-align:left;margin-left:14.8pt;margin-top:114.35pt;width:231.4pt;height:105.75pt;z-index:251670016;mso-height-percent:200;mso-height-percent:200;mso-width-relative:margin;mso-height-relative:margin" stroked="f">
                  <v:fill opacity="0"/>
                  <v:textbox style="mso-next-textbox:#_x0000_s1106;mso-fit-shape-to-text:t">
                    <w:txbxContent>
                      <w:p w:rsidR="00033AD2" w:rsidRPr="00BF26F8" w:rsidRDefault="00033AD2" w:rsidP="00995707">
                        <w:pPr>
                          <w:spacing w:before="20" w:after="20" w:line="276" w:lineRule="auto"/>
                          <w:jc w:val="center"/>
                          <w:cnfStyle w:val="000000010000"/>
                          <w:rPr>
                            <w:b/>
                            <w:sz w:val="16"/>
                            <w:szCs w:val="16"/>
                          </w:rPr>
                        </w:pPr>
                        <w:r w:rsidRPr="00CE75BA">
                          <w:rPr>
                            <w:b/>
                            <w:sz w:val="16"/>
                            <w:szCs w:val="16"/>
                          </w:rPr>
                          <w:t>Extended wet conditions</w:t>
                        </w:r>
                      </w:p>
                      <w:p w:rsidR="00033AD2" w:rsidRDefault="00033AD2" w:rsidP="00A13294">
                        <w:pPr>
                          <w:pStyle w:val="ListBullet2"/>
                          <w:numPr>
                            <w:ilvl w:val="1"/>
                            <w:numId w:val="10"/>
                          </w:numPr>
                          <w:spacing w:before="20" w:after="20" w:line="276" w:lineRule="auto"/>
                          <w:ind w:left="284" w:hanging="284"/>
                          <w:jc w:val="center"/>
                          <w:cnfStyle w:val="000000010000"/>
                          <w:rPr>
                            <w:sz w:val="16"/>
                            <w:szCs w:val="16"/>
                          </w:rPr>
                        </w:pPr>
                        <w:r>
                          <w:rPr>
                            <w:sz w:val="16"/>
                            <w:szCs w:val="16"/>
                          </w:rPr>
                          <w:t>Water availability typically in excess of that required to meet demands</w:t>
                        </w:r>
                      </w:p>
                      <w:p w:rsidR="00033AD2" w:rsidRDefault="00033AD2" w:rsidP="00A13294">
                        <w:pPr>
                          <w:pStyle w:val="ListBullet2"/>
                          <w:numPr>
                            <w:ilvl w:val="1"/>
                            <w:numId w:val="10"/>
                          </w:numPr>
                          <w:spacing w:before="20" w:after="20" w:line="276" w:lineRule="auto"/>
                          <w:ind w:left="284" w:hanging="284"/>
                          <w:jc w:val="center"/>
                          <w:cnfStyle w:val="000000010000"/>
                          <w:rPr>
                            <w:sz w:val="16"/>
                            <w:szCs w:val="16"/>
                          </w:rPr>
                        </w:pPr>
                        <w:r w:rsidRPr="002902E4">
                          <w:rPr>
                            <w:sz w:val="16"/>
                            <w:szCs w:val="16"/>
                          </w:rPr>
                          <w:t xml:space="preserve">Use a limited proportion </w:t>
                        </w:r>
                        <w:r>
                          <w:rPr>
                            <w:sz w:val="16"/>
                            <w:szCs w:val="16"/>
                          </w:rPr>
                          <w:t>of high allocations (e.g. base flows)</w:t>
                        </w:r>
                      </w:p>
                      <w:p w:rsidR="00033AD2" w:rsidRDefault="00033AD2" w:rsidP="00A13294">
                        <w:pPr>
                          <w:pStyle w:val="ListBullet2"/>
                          <w:numPr>
                            <w:ilvl w:val="1"/>
                            <w:numId w:val="10"/>
                          </w:numPr>
                          <w:spacing w:before="20" w:after="20" w:line="276" w:lineRule="auto"/>
                          <w:ind w:left="284" w:hanging="284"/>
                          <w:jc w:val="center"/>
                          <w:cnfStyle w:val="000000010000"/>
                          <w:rPr>
                            <w:sz w:val="16"/>
                            <w:szCs w:val="16"/>
                          </w:rPr>
                        </w:pPr>
                        <w:r w:rsidRPr="002902E4">
                          <w:rPr>
                            <w:sz w:val="16"/>
                            <w:szCs w:val="16"/>
                          </w:rPr>
                          <w:t>Carryover a high proportion of</w:t>
                        </w:r>
                        <w:r>
                          <w:rPr>
                            <w:sz w:val="16"/>
                            <w:szCs w:val="16"/>
                          </w:rPr>
                          <w:t xml:space="preserve"> available</w:t>
                        </w:r>
                        <w:r w:rsidRPr="002902E4">
                          <w:rPr>
                            <w:sz w:val="16"/>
                            <w:szCs w:val="16"/>
                          </w:rPr>
                          <w:t xml:space="preserve"> allocations</w:t>
                        </w:r>
                      </w:p>
                      <w:p w:rsidR="00033AD2" w:rsidRPr="00C36DCC" w:rsidRDefault="00033AD2" w:rsidP="00A13294">
                        <w:pPr>
                          <w:pStyle w:val="ListBullet2"/>
                          <w:numPr>
                            <w:ilvl w:val="1"/>
                            <w:numId w:val="10"/>
                          </w:numPr>
                          <w:spacing w:before="20" w:after="20" w:line="276" w:lineRule="auto"/>
                          <w:ind w:left="284" w:hanging="284"/>
                          <w:jc w:val="center"/>
                          <w:cnfStyle w:val="000000010000"/>
                          <w:rPr>
                            <w:sz w:val="16"/>
                            <w:szCs w:val="16"/>
                          </w:rPr>
                        </w:pPr>
                        <w:r>
                          <w:rPr>
                            <w:sz w:val="16"/>
                            <w:szCs w:val="16"/>
                          </w:rPr>
                          <w:t>Investigate opportunity for allocation sale, market likely to be limited</w:t>
                        </w:r>
                      </w:p>
                      <w:p w:rsidR="00033AD2" w:rsidRPr="002902E4" w:rsidRDefault="00033AD2" w:rsidP="00995707">
                        <w:pPr>
                          <w:pStyle w:val="ListBullet2"/>
                          <w:numPr>
                            <w:ilvl w:val="0"/>
                            <w:numId w:val="0"/>
                          </w:numPr>
                          <w:spacing w:before="20" w:after="20" w:line="276" w:lineRule="auto"/>
                          <w:jc w:val="center"/>
                          <w:cnfStyle w:val="000000010000"/>
                          <w:rPr>
                            <w:sz w:val="16"/>
                            <w:szCs w:val="16"/>
                          </w:rPr>
                        </w:pPr>
                      </w:p>
                    </w:txbxContent>
                  </v:textbox>
                </v:shape>
              </w:pict>
            </w:r>
          </w:p>
        </w:tc>
        <w:tc>
          <w:tcPr>
            <w:tcW w:w="2863" w:type="dxa"/>
            <w:vMerge/>
            <w:tcBorders>
              <w:bottom w:val="single" w:sz="4" w:space="0" w:color="auto"/>
              <w:right w:val="single" w:sz="4" w:space="0" w:color="auto"/>
            </w:tcBorders>
            <w:shd w:val="clear" w:color="auto" w:fill="CEE0D8"/>
          </w:tcPr>
          <w:p w:rsidR="00995707" w:rsidRPr="009F7A28" w:rsidRDefault="00995707" w:rsidP="00F73B30">
            <w:pPr>
              <w:pStyle w:val="ListBullet"/>
              <w:spacing w:before="40" w:after="40"/>
              <w:ind w:left="0"/>
              <w:jc w:val="left"/>
              <w:rPr>
                <w:sz w:val="16"/>
                <w:szCs w:val="16"/>
              </w:rPr>
            </w:pPr>
          </w:p>
        </w:tc>
      </w:tr>
      <w:tr w:rsidR="00995707" w:rsidRPr="009F7A28" w:rsidTr="00F73B30">
        <w:trPr>
          <w:cnfStyle w:val="000000010000"/>
          <w:trHeight w:val="1868"/>
        </w:trPr>
        <w:tc>
          <w:tcPr>
            <w:tcW w:w="1430" w:type="dxa"/>
            <w:tcBorders>
              <w:left w:val="single" w:sz="4" w:space="0" w:color="auto"/>
              <w:right w:val="single" w:sz="4" w:space="0" w:color="auto"/>
            </w:tcBorders>
            <w:vAlign w:val="center"/>
          </w:tcPr>
          <w:p w:rsidR="00995707" w:rsidRPr="009F7A28" w:rsidRDefault="00995707" w:rsidP="00F73B30">
            <w:pPr>
              <w:pStyle w:val="ListBullet"/>
              <w:numPr>
                <w:ilvl w:val="0"/>
                <w:numId w:val="0"/>
              </w:numPr>
              <w:spacing w:before="40" w:after="40"/>
              <w:ind w:left="-108"/>
              <w:jc w:val="center"/>
              <w:rPr>
                <w:b/>
                <w:sz w:val="16"/>
                <w:szCs w:val="16"/>
              </w:rPr>
            </w:pPr>
            <w:r w:rsidRPr="009F7A28">
              <w:rPr>
                <w:b/>
                <w:sz w:val="16"/>
                <w:szCs w:val="16"/>
              </w:rPr>
              <w:t>Moderate</w:t>
            </w:r>
          </w:p>
          <w:p w:rsidR="00995707" w:rsidRPr="009F7A28" w:rsidRDefault="00995707" w:rsidP="00F73B30">
            <w:pPr>
              <w:pStyle w:val="ListBullet"/>
              <w:numPr>
                <w:ilvl w:val="0"/>
                <w:numId w:val="0"/>
              </w:numPr>
              <w:spacing w:before="40" w:after="40"/>
              <w:ind w:left="-108"/>
              <w:jc w:val="center"/>
              <w:rPr>
                <w:b/>
                <w:sz w:val="16"/>
                <w:szCs w:val="16"/>
              </w:rPr>
            </w:pPr>
          </w:p>
        </w:tc>
        <w:tc>
          <w:tcPr>
            <w:tcW w:w="2863" w:type="dxa"/>
            <w:tcBorders>
              <w:left w:val="single" w:sz="4" w:space="0" w:color="auto"/>
            </w:tcBorders>
            <w:shd w:val="clear" w:color="auto" w:fill="FDE9D9" w:themeFill="accent6" w:themeFillTint="33"/>
          </w:tcPr>
          <w:p w:rsidR="00995707" w:rsidRPr="009F7A28" w:rsidRDefault="00995707" w:rsidP="00F73B30">
            <w:pPr>
              <w:pStyle w:val="ListBullet"/>
              <w:numPr>
                <w:ilvl w:val="0"/>
                <w:numId w:val="0"/>
              </w:numPr>
              <w:spacing w:before="40" w:after="40"/>
              <w:ind w:right="-86"/>
              <w:rPr>
                <w:sz w:val="16"/>
                <w:szCs w:val="16"/>
              </w:rPr>
            </w:pPr>
          </w:p>
        </w:tc>
        <w:tc>
          <w:tcPr>
            <w:tcW w:w="2863" w:type="dxa"/>
            <w:shd w:val="clear" w:color="auto" w:fill="FDE9D9" w:themeFill="accent6" w:themeFillTint="33"/>
          </w:tcPr>
          <w:p w:rsidR="00995707" w:rsidRPr="009F7A28" w:rsidRDefault="00995707" w:rsidP="00F73B30">
            <w:pPr>
              <w:pStyle w:val="ListBullet"/>
              <w:numPr>
                <w:ilvl w:val="0"/>
                <w:numId w:val="0"/>
              </w:numPr>
              <w:spacing w:before="40" w:after="40"/>
              <w:ind w:right="-86"/>
              <w:rPr>
                <w:sz w:val="16"/>
                <w:szCs w:val="16"/>
              </w:rPr>
            </w:pPr>
          </w:p>
        </w:tc>
        <w:tc>
          <w:tcPr>
            <w:tcW w:w="2865" w:type="dxa"/>
            <w:shd w:val="clear" w:color="auto" w:fill="CEE0D8"/>
          </w:tcPr>
          <w:p w:rsidR="00995707" w:rsidRPr="009F7A28" w:rsidRDefault="00995707" w:rsidP="00F73B30">
            <w:pPr>
              <w:pStyle w:val="ListBullet"/>
              <w:numPr>
                <w:ilvl w:val="0"/>
                <w:numId w:val="0"/>
              </w:numPr>
              <w:spacing w:before="40" w:after="40"/>
              <w:rPr>
                <w:sz w:val="16"/>
                <w:szCs w:val="16"/>
              </w:rPr>
            </w:pPr>
          </w:p>
        </w:tc>
        <w:tc>
          <w:tcPr>
            <w:tcW w:w="2865" w:type="dxa"/>
            <w:vMerge/>
            <w:shd w:val="clear" w:color="auto" w:fill="CEE0D8"/>
          </w:tcPr>
          <w:p w:rsidR="00995707" w:rsidRPr="009F7A28" w:rsidRDefault="00995707" w:rsidP="00F73B30">
            <w:pPr>
              <w:pStyle w:val="ListBullet"/>
              <w:spacing w:before="40" w:after="40"/>
              <w:ind w:left="0"/>
              <w:jc w:val="left"/>
              <w:rPr>
                <w:sz w:val="16"/>
                <w:szCs w:val="16"/>
              </w:rPr>
            </w:pPr>
          </w:p>
        </w:tc>
        <w:tc>
          <w:tcPr>
            <w:tcW w:w="2863" w:type="dxa"/>
            <w:vMerge/>
            <w:tcBorders>
              <w:bottom w:val="single" w:sz="4" w:space="0" w:color="auto"/>
              <w:right w:val="single" w:sz="4" w:space="0" w:color="auto"/>
            </w:tcBorders>
            <w:shd w:val="clear" w:color="auto" w:fill="CEE0D8"/>
          </w:tcPr>
          <w:p w:rsidR="00995707" w:rsidRPr="009F7A28" w:rsidRDefault="00995707" w:rsidP="00F73B30">
            <w:pPr>
              <w:pStyle w:val="ListBullet"/>
              <w:spacing w:before="40" w:after="40"/>
              <w:ind w:left="0"/>
              <w:jc w:val="left"/>
              <w:rPr>
                <w:sz w:val="16"/>
                <w:szCs w:val="16"/>
              </w:rPr>
            </w:pPr>
          </w:p>
        </w:tc>
      </w:tr>
      <w:tr w:rsidR="00995707" w:rsidRPr="009F7A28" w:rsidTr="00F73B30">
        <w:trPr>
          <w:cnfStyle w:val="000000100000"/>
          <w:trHeight w:val="1689"/>
        </w:trPr>
        <w:tc>
          <w:tcPr>
            <w:tcW w:w="1430" w:type="dxa"/>
            <w:tcBorders>
              <w:left w:val="single" w:sz="4" w:space="0" w:color="auto"/>
              <w:right w:val="single" w:sz="4" w:space="0" w:color="auto"/>
            </w:tcBorders>
            <w:vAlign w:val="center"/>
          </w:tcPr>
          <w:p w:rsidR="00995707" w:rsidRPr="009F7A28" w:rsidRDefault="00995707" w:rsidP="00F73B30">
            <w:pPr>
              <w:pStyle w:val="ListBullet"/>
              <w:numPr>
                <w:ilvl w:val="0"/>
                <w:numId w:val="0"/>
              </w:numPr>
              <w:spacing w:before="40" w:after="40"/>
              <w:ind w:left="-108"/>
              <w:jc w:val="center"/>
              <w:rPr>
                <w:b/>
                <w:sz w:val="16"/>
                <w:szCs w:val="16"/>
              </w:rPr>
            </w:pPr>
            <w:r w:rsidRPr="009F7A28">
              <w:rPr>
                <w:b/>
                <w:sz w:val="16"/>
                <w:szCs w:val="16"/>
              </w:rPr>
              <w:t>High</w:t>
            </w:r>
          </w:p>
          <w:p w:rsidR="00995707" w:rsidRPr="009F7A28" w:rsidRDefault="00995707" w:rsidP="00F73B30">
            <w:pPr>
              <w:pStyle w:val="ListBullet"/>
              <w:numPr>
                <w:ilvl w:val="0"/>
                <w:numId w:val="0"/>
              </w:numPr>
              <w:spacing w:before="40" w:after="40"/>
              <w:ind w:left="-108"/>
              <w:jc w:val="center"/>
              <w:rPr>
                <w:b/>
                <w:sz w:val="16"/>
                <w:szCs w:val="16"/>
              </w:rPr>
            </w:pPr>
          </w:p>
        </w:tc>
        <w:tc>
          <w:tcPr>
            <w:tcW w:w="8591" w:type="dxa"/>
            <w:gridSpan w:val="3"/>
            <w:tcBorders>
              <w:left w:val="single" w:sz="4" w:space="0" w:color="auto"/>
            </w:tcBorders>
            <w:shd w:val="clear" w:color="auto" w:fill="CFD6E7"/>
          </w:tcPr>
          <w:p w:rsidR="00995707" w:rsidRPr="009F7A28" w:rsidRDefault="00D44173" w:rsidP="00F73B30">
            <w:pPr>
              <w:pStyle w:val="ListBullet"/>
              <w:numPr>
                <w:ilvl w:val="0"/>
                <w:numId w:val="0"/>
              </w:numPr>
              <w:spacing w:before="40" w:after="40"/>
              <w:ind w:right="-86"/>
              <w:rPr>
                <w:sz w:val="16"/>
                <w:szCs w:val="16"/>
              </w:rPr>
            </w:pPr>
            <w:r w:rsidRPr="00D44173">
              <w:rPr>
                <w:noProof/>
                <w:sz w:val="16"/>
                <w:szCs w:val="16"/>
                <w:lang w:val="en-US" w:eastAsia="zh-TW"/>
              </w:rPr>
              <w:pict>
                <v:shape id="_x0000_s1107" type="#_x0000_t202" style="position:absolute;left:0;text-align:left;margin-left:41.4pt;margin-top:10.45pt;width:250.75pt;height:93.5pt;z-index:251671040;mso-height-percent:200;mso-position-horizontal-relative:text;mso-position-vertical-relative:text;mso-height-percent:200;mso-width-relative:margin;mso-height-relative:margin" stroked="f">
                  <v:fill opacity="0"/>
                  <v:textbox style="mso-next-textbox:#_x0000_s1107;mso-fit-shape-to-text:t">
                    <w:txbxContent>
                      <w:p w:rsidR="00033AD2" w:rsidRPr="00BF26F8" w:rsidRDefault="00033AD2" w:rsidP="00995707">
                        <w:pPr>
                          <w:spacing w:before="20" w:after="20" w:line="276" w:lineRule="auto"/>
                          <w:jc w:val="center"/>
                          <w:cnfStyle w:val="000000010000"/>
                          <w:rPr>
                            <w:b/>
                            <w:sz w:val="16"/>
                            <w:szCs w:val="16"/>
                          </w:rPr>
                        </w:pPr>
                        <w:r>
                          <w:rPr>
                            <w:b/>
                            <w:sz w:val="16"/>
                            <w:szCs w:val="16"/>
                          </w:rPr>
                          <w:t>Wet period following dry period</w:t>
                        </w:r>
                      </w:p>
                      <w:p w:rsidR="00033AD2" w:rsidRDefault="00033AD2" w:rsidP="00A13294">
                        <w:pPr>
                          <w:pStyle w:val="ListBullet2"/>
                          <w:numPr>
                            <w:ilvl w:val="1"/>
                            <w:numId w:val="10"/>
                          </w:numPr>
                          <w:spacing w:before="20" w:after="20" w:line="276" w:lineRule="auto"/>
                          <w:ind w:left="284" w:hanging="284"/>
                          <w:jc w:val="center"/>
                          <w:cnfStyle w:val="000000010000"/>
                          <w:rPr>
                            <w:sz w:val="16"/>
                            <w:szCs w:val="16"/>
                          </w:rPr>
                        </w:pPr>
                        <w:r>
                          <w:rPr>
                            <w:sz w:val="16"/>
                            <w:szCs w:val="16"/>
                          </w:rPr>
                          <w:t>Water availability typically sufficient to meet demands</w:t>
                        </w:r>
                      </w:p>
                      <w:p w:rsidR="00033AD2" w:rsidRDefault="00033AD2" w:rsidP="00A13294">
                        <w:pPr>
                          <w:pStyle w:val="ListBullet2"/>
                          <w:numPr>
                            <w:ilvl w:val="1"/>
                            <w:numId w:val="10"/>
                          </w:numPr>
                          <w:spacing w:before="20" w:after="20" w:line="276" w:lineRule="auto"/>
                          <w:ind w:left="284" w:hanging="284"/>
                          <w:jc w:val="center"/>
                          <w:cnfStyle w:val="000000010000"/>
                          <w:rPr>
                            <w:sz w:val="16"/>
                            <w:szCs w:val="16"/>
                          </w:rPr>
                        </w:pPr>
                        <w:r>
                          <w:rPr>
                            <w:sz w:val="16"/>
                            <w:szCs w:val="16"/>
                          </w:rPr>
                          <w:t>U</w:t>
                        </w:r>
                        <w:r w:rsidRPr="00C36DCC">
                          <w:rPr>
                            <w:sz w:val="16"/>
                            <w:szCs w:val="16"/>
                          </w:rPr>
                          <w:t>se a</w:t>
                        </w:r>
                        <w:r>
                          <w:rPr>
                            <w:sz w:val="16"/>
                            <w:szCs w:val="16"/>
                          </w:rPr>
                          <w:t xml:space="preserve"> moderate proportion of available allocations for a range of flow types, focused on connected and multiple-site watering events</w:t>
                        </w:r>
                      </w:p>
                      <w:p w:rsidR="00033AD2" w:rsidRPr="00C36DCC" w:rsidRDefault="00033AD2" w:rsidP="00A13294">
                        <w:pPr>
                          <w:pStyle w:val="ListBullet2"/>
                          <w:numPr>
                            <w:ilvl w:val="1"/>
                            <w:numId w:val="10"/>
                          </w:numPr>
                          <w:spacing w:before="20" w:after="20" w:line="276" w:lineRule="auto"/>
                          <w:ind w:left="284" w:hanging="284"/>
                          <w:jc w:val="center"/>
                          <w:cnfStyle w:val="000000010000"/>
                          <w:rPr>
                            <w:sz w:val="16"/>
                            <w:szCs w:val="16"/>
                          </w:rPr>
                        </w:pPr>
                        <w:r>
                          <w:rPr>
                            <w:sz w:val="16"/>
                            <w:szCs w:val="16"/>
                          </w:rPr>
                          <w:t>Carryover a moderate proportion of allocations</w:t>
                        </w:r>
                      </w:p>
                      <w:p w:rsidR="00033AD2" w:rsidRPr="00C36DCC" w:rsidRDefault="00033AD2" w:rsidP="00A13294">
                        <w:pPr>
                          <w:pStyle w:val="ListBullet2"/>
                          <w:numPr>
                            <w:ilvl w:val="1"/>
                            <w:numId w:val="10"/>
                          </w:numPr>
                          <w:spacing w:before="20" w:after="20" w:line="276" w:lineRule="auto"/>
                          <w:ind w:left="284" w:hanging="284"/>
                          <w:jc w:val="center"/>
                          <w:cnfStyle w:val="000000010000"/>
                          <w:rPr>
                            <w:sz w:val="16"/>
                            <w:szCs w:val="16"/>
                          </w:rPr>
                        </w:pPr>
                        <w:r>
                          <w:rPr>
                            <w:sz w:val="16"/>
                            <w:szCs w:val="16"/>
                          </w:rPr>
                          <w:t>An</w:t>
                        </w:r>
                        <w:r w:rsidRPr="00C36DCC">
                          <w:rPr>
                            <w:sz w:val="16"/>
                            <w:szCs w:val="16"/>
                          </w:rPr>
                          <w:t xml:space="preserve"> opportunity for purchasing allocations </w:t>
                        </w:r>
                        <w:r>
                          <w:rPr>
                            <w:sz w:val="16"/>
                            <w:szCs w:val="16"/>
                          </w:rPr>
                          <w:t>to use or carryover, subject to market conditions</w:t>
                        </w:r>
                      </w:p>
                    </w:txbxContent>
                  </v:textbox>
                </v:shape>
              </w:pict>
            </w:r>
            <w:r w:rsidR="00995707" w:rsidRPr="009F7A28">
              <w:rPr>
                <w:sz w:val="16"/>
                <w:szCs w:val="16"/>
              </w:rPr>
              <w:t xml:space="preserve">                                                     </w:t>
            </w:r>
          </w:p>
          <w:p w:rsidR="00995707" w:rsidRPr="009F7A28" w:rsidRDefault="00995707" w:rsidP="00F73B30">
            <w:pPr>
              <w:pStyle w:val="ListBullet"/>
              <w:numPr>
                <w:ilvl w:val="0"/>
                <w:numId w:val="0"/>
              </w:numPr>
              <w:spacing w:before="40" w:after="40"/>
              <w:ind w:right="-86"/>
              <w:rPr>
                <w:sz w:val="16"/>
                <w:szCs w:val="16"/>
              </w:rPr>
            </w:pPr>
            <w:r w:rsidRPr="009F7A28">
              <w:rPr>
                <w:sz w:val="16"/>
                <w:szCs w:val="16"/>
              </w:rPr>
              <w:t xml:space="preserve">                                                    </w:t>
            </w:r>
          </w:p>
        </w:tc>
        <w:tc>
          <w:tcPr>
            <w:tcW w:w="2865" w:type="dxa"/>
            <w:vMerge/>
            <w:shd w:val="clear" w:color="auto" w:fill="CEE0D8"/>
          </w:tcPr>
          <w:p w:rsidR="00995707" w:rsidRPr="009F7A28" w:rsidRDefault="00995707" w:rsidP="00F73B30">
            <w:pPr>
              <w:pStyle w:val="ListBullet"/>
              <w:numPr>
                <w:ilvl w:val="0"/>
                <w:numId w:val="0"/>
              </w:numPr>
              <w:spacing w:before="40" w:after="40"/>
              <w:rPr>
                <w:sz w:val="16"/>
                <w:szCs w:val="16"/>
              </w:rPr>
            </w:pPr>
          </w:p>
        </w:tc>
        <w:tc>
          <w:tcPr>
            <w:tcW w:w="2863" w:type="dxa"/>
            <w:vMerge/>
            <w:tcBorders>
              <w:bottom w:val="single" w:sz="4" w:space="0" w:color="auto"/>
              <w:right w:val="single" w:sz="4" w:space="0" w:color="auto"/>
            </w:tcBorders>
            <w:shd w:val="clear" w:color="auto" w:fill="CEE0D8"/>
          </w:tcPr>
          <w:p w:rsidR="00995707" w:rsidRPr="009F7A28" w:rsidRDefault="00995707" w:rsidP="00F73B30">
            <w:pPr>
              <w:pStyle w:val="ListBullet"/>
              <w:spacing w:before="40" w:after="40"/>
              <w:ind w:left="0"/>
              <w:jc w:val="left"/>
              <w:rPr>
                <w:sz w:val="16"/>
                <w:szCs w:val="16"/>
              </w:rPr>
            </w:pPr>
          </w:p>
        </w:tc>
      </w:tr>
      <w:tr w:rsidR="00995707" w:rsidRPr="009F7A28" w:rsidTr="00F73B30">
        <w:trPr>
          <w:cnfStyle w:val="000000010000"/>
          <w:trHeight w:val="822"/>
        </w:trPr>
        <w:tc>
          <w:tcPr>
            <w:tcW w:w="1430" w:type="dxa"/>
            <w:tcBorders>
              <w:left w:val="single" w:sz="4" w:space="0" w:color="auto"/>
              <w:bottom w:val="single" w:sz="4" w:space="0" w:color="auto"/>
              <w:right w:val="single" w:sz="4" w:space="0" w:color="auto"/>
            </w:tcBorders>
            <w:vAlign w:val="center"/>
          </w:tcPr>
          <w:p w:rsidR="00995707" w:rsidRPr="009F7A28" w:rsidRDefault="00995707" w:rsidP="00F73B30">
            <w:pPr>
              <w:pStyle w:val="ListBullet"/>
              <w:numPr>
                <w:ilvl w:val="0"/>
                <w:numId w:val="0"/>
              </w:numPr>
              <w:spacing w:before="40" w:after="40"/>
              <w:ind w:left="-108"/>
              <w:jc w:val="center"/>
              <w:rPr>
                <w:b/>
                <w:sz w:val="16"/>
                <w:szCs w:val="16"/>
              </w:rPr>
            </w:pPr>
            <w:r w:rsidRPr="009F7A28">
              <w:rPr>
                <w:b/>
                <w:sz w:val="16"/>
                <w:szCs w:val="16"/>
              </w:rPr>
              <w:t>Very high</w:t>
            </w:r>
          </w:p>
          <w:p w:rsidR="00995707" w:rsidRPr="009F7A28" w:rsidRDefault="00995707" w:rsidP="00F73B30">
            <w:pPr>
              <w:pStyle w:val="ListBullet"/>
              <w:numPr>
                <w:ilvl w:val="0"/>
                <w:numId w:val="0"/>
              </w:numPr>
              <w:spacing w:before="40" w:after="40"/>
              <w:ind w:left="-108"/>
              <w:jc w:val="center"/>
              <w:rPr>
                <w:b/>
                <w:sz w:val="16"/>
                <w:szCs w:val="16"/>
              </w:rPr>
            </w:pPr>
          </w:p>
        </w:tc>
        <w:tc>
          <w:tcPr>
            <w:tcW w:w="11457" w:type="dxa"/>
            <w:gridSpan w:val="4"/>
            <w:tcBorders>
              <w:left w:val="single" w:sz="4" w:space="0" w:color="auto"/>
              <w:bottom w:val="single" w:sz="4" w:space="0" w:color="auto"/>
            </w:tcBorders>
            <w:shd w:val="clear" w:color="auto" w:fill="CFD6E7"/>
          </w:tcPr>
          <w:p w:rsidR="00995707" w:rsidRPr="009F7A28" w:rsidRDefault="00D44173" w:rsidP="00F73B30">
            <w:pPr>
              <w:pStyle w:val="ListBullet"/>
              <w:numPr>
                <w:ilvl w:val="0"/>
                <w:numId w:val="0"/>
              </w:numPr>
              <w:spacing w:before="40" w:after="40"/>
              <w:ind w:right="-86"/>
              <w:rPr>
                <w:sz w:val="16"/>
                <w:szCs w:val="16"/>
              </w:rPr>
            </w:pPr>
            <w:r>
              <w:rPr>
                <w:noProof/>
                <w:sz w:val="16"/>
                <w:szCs w:val="16"/>
              </w:rPr>
              <w:pict>
                <v:shape id="_x0000_s1108" type="#_x0000_t202" style="position:absolute;left:0;text-align:left;margin-left:272.15pt;margin-top:17.5pt;width:270.1pt;height:23.25pt;z-index:251672064;mso-height-percent:200;mso-position-horizontal-relative:text;mso-position-vertical-relative:text;mso-height-percent:200;mso-width-relative:margin;mso-height-relative:margin" stroked="f">
                  <v:fill opacity="0"/>
                  <v:textbox style="mso-next-textbox:#_x0000_s1108;mso-fit-shape-to-text:t">
                    <w:txbxContent>
                      <w:p w:rsidR="00033AD2" w:rsidRPr="00E76A9F" w:rsidRDefault="00033AD2" w:rsidP="00995707">
                        <w:pPr>
                          <w:pStyle w:val="ListBullet2"/>
                          <w:numPr>
                            <w:ilvl w:val="0"/>
                            <w:numId w:val="0"/>
                          </w:numPr>
                          <w:spacing w:before="20" w:after="20" w:line="276" w:lineRule="auto"/>
                          <w:cnfStyle w:val="000000010000"/>
                          <w:rPr>
                            <w:b/>
                            <w:i/>
                            <w:color w:val="2F3D5F"/>
                          </w:rPr>
                        </w:pPr>
                        <w:r w:rsidRPr="00E76A9F">
                          <w:rPr>
                            <w:b/>
                            <w:i/>
                            <w:color w:val="2F3D5F"/>
                          </w:rPr>
                          <w:t>Purpose: Improve ecological health and resilience</w:t>
                        </w:r>
                      </w:p>
                    </w:txbxContent>
                  </v:textbox>
                </v:shape>
              </w:pict>
            </w:r>
          </w:p>
        </w:tc>
        <w:tc>
          <w:tcPr>
            <w:tcW w:w="2863" w:type="dxa"/>
            <w:vMerge/>
            <w:tcBorders>
              <w:bottom w:val="single" w:sz="4" w:space="0" w:color="auto"/>
              <w:right w:val="single" w:sz="4" w:space="0" w:color="auto"/>
            </w:tcBorders>
            <w:shd w:val="clear" w:color="auto" w:fill="CEE0D8"/>
          </w:tcPr>
          <w:p w:rsidR="00995707" w:rsidRPr="009F7A28" w:rsidRDefault="00995707" w:rsidP="00F73B30">
            <w:pPr>
              <w:pStyle w:val="ListBullet"/>
              <w:numPr>
                <w:ilvl w:val="0"/>
                <w:numId w:val="0"/>
              </w:numPr>
              <w:spacing w:before="40" w:after="40"/>
              <w:rPr>
                <w:sz w:val="16"/>
                <w:szCs w:val="16"/>
              </w:rPr>
            </w:pPr>
          </w:p>
        </w:tc>
      </w:tr>
    </w:tbl>
    <w:p w:rsidR="00E078BB" w:rsidRDefault="00995707" w:rsidP="00E078BB">
      <w:pPr>
        <w:pStyle w:val="Caption"/>
        <w:spacing w:after="240"/>
        <w:jc w:val="left"/>
        <w:rPr>
          <w:rFonts w:ascii="Century Gothic" w:hAnsi="Century Gothic"/>
          <w:b w:val="0"/>
          <w:bCs w:val="0"/>
        </w:rPr>
      </w:pPr>
      <w:r w:rsidRPr="00E078BB">
        <w:rPr>
          <w:rFonts w:ascii="Century Gothic" w:hAnsi="Century Gothic"/>
        </w:rPr>
        <w:t xml:space="preserve">Figure </w:t>
      </w:r>
      <w:r w:rsidR="00C93532" w:rsidRPr="00E078BB">
        <w:rPr>
          <w:rFonts w:ascii="Century Gothic" w:hAnsi="Century Gothic"/>
        </w:rPr>
        <w:t>2</w:t>
      </w:r>
      <w:r w:rsidR="00E078BB">
        <w:rPr>
          <w:rFonts w:ascii="Century Gothic" w:hAnsi="Century Gothic"/>
        </w:rPr>
        <w:t>:</w:t>
      </w:r>
      <w:r w:rsidRPr="00E078BB">
        <w:rPr>
          <w:rFonts w:ascii="Century Gothic" w:hAnsi="Century Gothic"/>
          <w:bCs w:val="0"/>
        </w:rPr>
        <w:t xml:space="preserve"> </w:t>
      </w:r>
      <w:r w:rsidRPr="00E078BB">
        <w:rPr>
          <w:rFonts w:ascii="Century Gothic" w:hAnsi="Century Gothic"/>
          <w:b w:val="0"/>
          <w:bCs w:val="0"/>
        </w:rPr>
        <w:t xml:space="preserve">Examples of how environmental demand and water availability shape planning for the mix of portfolio management options for maximising environmental outcomes in different conditions </w:t>
      </w:r>
    </w:p>
    <w:p w:rsidR="00995707" w:rsidRPr="00E078BB" w:rsidRDefault="00E078BB" w:rsidP="00E078BB">
      <w:pPr>
        <w:pStyle w:val="Caption"/>
        <w:spacing w:after="240"/>
        <w:jc w:val="left"/>
        <w:rPr>
          <w:rFonts w:ascii="Century Gothic" w:hAnsi="Century Gothic"/>
          <w:bCs w:val="0"/>
          <w:sz w:val="16"/>
          <w:szCs w:val="16"/>
        </w:rPr>
        <w:sectPr w:rsidR="00995707" w:rsidRPr="00E078BB" w:rsidSect="00AE6A0D">
          <w:pgSz w:w="16839" w:h="11907" w:orient="landscape" w:code="9"/>
          <w:pgMar w:top="568" w:right="567" w:bottom="707" w:left="567" w:header="425" w:footer="267" w:gutter="0"/>
          <w:cols w:space="708"/>
          <w:titlePg/>
          <w:docGrid w:linePitch="360"/>
        </w:sectPr>
      </w:pPr>
      <w:r w:rsidRPr="00E078BB">
        <w:rPr>
          <w:rFonts w:ascii="Century Gothic" w:hAnsi="Century Gothic"/>
          <w:b w:val="0"/>
          <w:bCs w:val="0"/>
          <w:sz w:val="16"/>
          <w:szCs w:val="16"/>
        </w:rPr>
        <w:t>N</w:t>
      </w:r>
      <w:r w:rsidR="00995707" w:rsidRPr="00E078BB">
        <w:rPr>
          <w:rFonts w:ascii="Century Gothic" w:hAnsi="Century Gothic"/>
          <w:b w:val="0"/>
          <w:bCs w:val="0"/>
          <w:sz w:val="16"/>
          <w:szCs w:val="16"/>
        </w:rPr>
        <w:t>ote</w:t>
      </w:r>
      <w:r w:rsidRPr="00E078BB">
        <w:rPr>
          <w:rFonts w:ascii="Century Gothic" w:hAnsi="Century Gothic"/>
          <w:b w:val="0"/>
          <w:bCs w:val="0"/>
          <w:sz w:val="16"/>
          <w:szCs w:val="16"/>
        </w:rPr>
        <w:t>:</w:t>
      </w:r>
      <w:r w:rsidR="00995707" w:rsidRPr="00E078BB">
        <w:rPr>
          <w:rFonts w:ascii="Century Gothic" w:hAnsi="Century Gothic"/>
          <w:b w:val="0"/>
          <w:bCs w:val="0"/>
          <w:sz w:val="16"/>
          <w:szCs w:val="16"/>
        </w:rPr>
        <w:t xml:space="preserve"> the portfolio management actions in each scenario represent generic examples and the specific approach taken in individual catchments and conditions will vary</w:t>
      </w:r>
    </w:p>
    <w:p w:rsidR="00995707" w:rsidRPr="006C2670" w:rsidRDefault="005B42CB" w:rsidP="006C2670">
      <w:pPr>
        <w:pStyle w:val="Heading1"/>
        <w:numPr>
          <w:ilvl w:val="1"/>
          <w:numId w:val="19"/>
        </w:numPr>
        <w:spacing w:before="240" w:after="240"/>
        <w:ind w:left="0" w:firstLine="0"/>
        <w:jc w:val="left"/>
        <w:rPr>
          <w:rFonts w:cs="Times New Roman"/>
          <w:caps w:val="0"/>
          <w:color w:val="5F497A" w:themeColor="accent4" w:themeShade="BF"/>
          <w:sz w:val="40"/>
          <w:szCs w:val="40"/>
          <w:lang w:val="en-GB" w:eastAsia="en-US"/>
        </w:rPr>
      </w:pPr>
      <w:bookmarkStart w:id="33" w:name="_Toc422389613"/>
      <w:bookmarkStart w:id="34" w:name="_Toc414367238"/>
      <w:bookmarkEnd w:id="30"/>
      <w:bookmarkEnd w:id="31"/>
      <w:r w:rsidRPr="006C2670">
        <w:rPr>
          <w:rFonts w:cs="Times New Roman"/>
          <w:caps w:val="0"/>
          <w:color w:val="5F497A" w:themeColor="accent4" w:themeShade="BF"/>
          <w:sz w:val="40"/>
          <w:szCs w:val="40"/>
          <w:lang w:val="en-GB" w:eastAsia="en-US"/>
        </w:rPr>
        <w:lastRenderedPageBreak/>
        <w:t>Environmental water demands</w:t>
      </w:r>
      <w:bookmarkEnd w:id="33"/>
    </w:p>
    <w:p w:rsidR="00E47462" w:rsidRDefault="00F00169" w:rsidP="00F5362B">
      <w:pPr>
        <w:spacing w:after="240"/>
        <w:jc w:val="left"/>
        <w:rPr>
          <w:rFonts w:ascii="Century Gothic" w:hAnsi="Century Gothic"/>
        </w:rPr>
      </w:pPr>
      <w:r w:rsidRPr="00F00169">
        <w:rPr>
          <w:rFonts w:ascii="Century Gothic" w:hAnsi="Century Gothic"/>
        </w:rPr>
        <w:t>The Basi</w:t>
      </w:r>
      <w:r w:rsidR="00995707">
        <w:rPr>
          <w:rFonts w:ascii="Century Gothic" w:hAnsi="Century Gothic"/>
        </w:rPr>
        <w:t xml:space="preserve">n Plan’s environmental watering plan establishes the objectives, processes and principles that guide the management of water by the </w:t>
      </w:r>
      <w:r w:rsidR="00F73B30">
        <w:rPr>
          <w:rFonts w:ascii="Century Gothic" w:hAnsi="Century Gothic"/>
        </w:rPr>
        <w:t>MDBA</w:t>
      </w:r>
      <w:r w:rsidR="00995707">
        <w:rPr>
          <w:rFonts w:ascii="Century Gothic" w:hAnsi="Century Gothic"/>
        </w:rPr>
        <w:t xml:space="preserve">, Basin States and the Commonwealth Environmental Water Holder to achieve environmental outcomes. The environmental watering plan and the subsidiary documents provide key inputs into the Office’s portfolio management planning, particularly in identifying the long-term and annual environmental demands in the Basin. </w:t>
      </w:r>
    </w:p>
    <w:p w:rsidR="00E61A1F" w:rsidRPr="003C7B4D" w:rsidRDefault="00384203" w:rsidP="003C7B4D">
      <w:pPr>
        <w:pStyle w:val="Heading2"/>
        <w:numPr>
          <w:ilvl w:val="0"/>
          <w:numId w:val="0"/>
        </w:numPr>
        <w:spacing w:after="240"/>
        <w:jc w:val="left"/>
        <w:rPr>
          <w:rFonts w:ascii="Century Gothic" w:hAnsi="Century Gothic" w:cs="Calibri"/>
          <w:noProof/>
          <w:color w:val="5F497A" w:themeColor="accent4" w:themeShade="BF"/>
          <w:sz w:val="24"/>
          <w:szCs w:val="24"/>
          <w:lang w:val="en-GB" w:eastAsia="en-US"/>
        </w:rPr>
      </w:pPr>
      <w:bookmarkStart w:id="35" w:name="_Toc422389614"/>
      <w:r w:rsidRPr="003C7B4D">
        <w:rPr>
          <w:rFonts w:ascii="Century Gothic" w:hAnsi="Century Gothic" w:cs="Calibri"/>
          <w:noProof/>
          <w:color w:val="5F497A" w:themeColor="accent4" w:themeShade="BF"/>
          <w:sz w:val="24"/>
          <w:szCs w:val="24"/>
          <w:lang w:val="en-GB" w:eastAsia="en-US"/>
        </w:rPr>
        <w:t>Basin-wide l</w:t>
      </w:r>
      <w:r w:rsidR="00F028C6" w:rsidRPr="003C7B4D">
        <w:rPr>
          <w:rFonts w:ascii="Century Gothic" w:hAnsi="Century Gothic" w:cs="Calibri"/>
          <w:noProof/>
          <w:color w:val="5F497A" w:themeColor="accent4" w:themeShade="BF"/>
          <w:sz w:val="24"/>
          <w:szCs w:val="24"/>
          <w:lang w:val="en-GB" w:eastAsia="en-US"/>
        </w:rPr>
        <w:t>ong-term environmental demands</w:t>
      </w:r>
      <w:bookmarkEnd w:id="35"/>
    </w:p>
    <w:p w:rsidR="00273B89" w:rsidRPr="00F5362B" w:rsidRDefault="00273B89" w:rsidP="00F5362B">
      <w:pPr>
        <w:spacing w:after="240"/>
        <w:jc w:val="left"/>
        <w:rPr>
          <w:rFonts w:ascii="Century Gothic" w:hAnsi="Century Gothic"/>
        </w:rPr>
      </w:pPr>
      <w:r w:rsidRPr="00F5362B">
        <w:rPr>
          <w:rFonts w:ascii="Century Gothic" w:hAnsi="Century Gothic"/>
        </w:rPr>
        <w:t>The overall environmental objectives for the water-dependent ecosystems of the Murray–Darling Basin are:</w:t>
      </w:r>
    </w:p>
    <w:p w:rsidR="00273B89" w:rsidRPr="00F5362B" w:rsidRDefault="00273B89" w:rsidP="00F5362B">
      <w:pPr>
        <w:numPr>
          <w:ilvl w:val="0"/>
          <w:numId w:val="9"/>
        </w:numPr>
        <w:spacing w:after="240"/>
        <w:jc w:val="left"/>
        <w:rPr>
          <w:rFonts w:ascii="Century Gothic" w:hAnsi="Century Gothic"/>
        </w:rPr>
      </w:pPr>
      <w:r w:rsidRPr="00F5362B">
        <w:rPr>
          <w:rFonts w:ascii="Century Gothic" w:hAnsi="Century Gothic"/>
        </w:rPr>
        <w:t>to protect and restore the Basin’s water-dependent ecosystems</w:t>
      </w:r>
    </w:p>
    <w:p w:rsidR="00273B89" w:rsidRPr="00F5362B" w:rsidRDefault="00273B89" w:rsidP="00F5362B">
      <w:pPr>
        <w:numPr>
          <w:ilvl w:val="0"/>
          <w:numId w:val="9"/>
        </w:numPr>
        <w:spacing w:after="240"/>
        <w:jc w:val="left"/>
        <w:rPr>
          <w:rFonts w:ascii="Century Gothic" w:hAnsi="Century Gothic"/>
        </w:rPr>
      </w:pPr>
      <w:r w:rsidRPr="00F5362B">
        <w:rPr>
          <w:rFonts w:ascii="Century Gothic" w:hAnsi="Century Gothic"/>
        </w:rPr>
        <w:t>to protect and restore the ecosystem functions of water-dependent ecosystems</w:t>
      </w:r>
    </w:p>
    <w:p w:rsidR="00273B89" w:rsidRPr="00F5362B" w:rsidRDefault="00273B89" w:rsidP="00F5362B">
      <w:pPr>
        <w:numPr>
          <w:ilvl w:val="0"/>
          <w:numId w:val="9"/>
        </w:numPr>
        <w:spacing w:after="240"/>
        <w:jc w:val="left"/>
        <w:rPr>
          <w:rFonts w:ascii="Century Gothic" w:hAnsi="Century Gothic"/>
        </w:rPr>
      </w:pPr>
      <w:proofErr w:type="gramStart"/>
      <w:r w:rsidRPr="00F5362B">
        <w:rPr>
          <w:rFonts w:ascii="Century Gothic" w:hAnsi="Century Gothic"/>
        </w:rPr>
        <w:t>to</w:t>
      </w:r>
      <w:proofErr w:type="gramEnd"/>
      <w:r w:rsidRPr="00F5362B">
        <w:rPr>
          <w:rFonts w:ascii="Century Gothic" w:hAnsi="Century Gothic"/>
        </w:rPr>
        <w:t xml:space="preserve"> ensure that water-dependent ecosystems are </w:t>
      </w:r>
      <w:hyperlink r:id="rId21" w:anchor="resilience" w:history="1">
        <w:r w:rsidRPr="00F5362B">
          <w:rPr>
            <w:rFonts w:ascii="Century Gothic" w:hAnsi="Century Gothic"/>
          </w:rPr>
          <w:t>resilient</w:t>
        </w:r>
      </w:hyperlink>
      <w:r w:rsidRPr="00F5362B">
        <w:rPr>
          <w:rFonts w:ascii="Century Gothic" w:hAnsi="Century Gothic"/>
        </w:rPr>
        <w:t xml:space="preserve"> to risks and threats.</w:t>
      </w:r>
    </w:p>
    <w:p w:rsidR="00273B89" w:rsidRPr="00F5362B" w:rsidRDefault="00273B89" w:rsidP="00F5362B">
      <w:pPr>
        <w:spacing w:after="240"/>
        <w:jc w:val="left"/>
        <w:rPr>
          <w:rFonts w:ascii="Century Gothic" w:hAnsi="Century Gothic"/>
        </w:rPr>
      </w:pPr>
      <w:r w:rsidRPr="00F5362B">
        <w:rPr>
          <w:rFonts w:ascii="Century Gothic" w:hAnsi="Century Gothic"/>
        </w:rPr>
        <w:t>These objectives are intended to be understood in the context of a working Basin. The fact that water storages and property, including floodplains, are under the control of various people will restrict the capacity to actively manage all water-dependent ecosystems.</w:t>
      </w:r>
    </w:p>
    <w:p w:rsidR="009A2935" w:rsidRPr="00F5362B" w:rsidRDefault="009A2935" w:rsidP="00F5362B">
      <w:pPr>
        <w:spacing w:after="240"/>
        <w:jc w:val="left"/>
        <w:rPr>
          <w:rFonts w:ascii="Century Gothic" w:hAnsi="Century Gothic"/>
        </w:rPr>
      </w:pPr>
      <w:r w:rsidRPr="00F5362B">
        <w:rPr>
          <w:rFonts w:ascii="Century Gothic" w:hAnsi="Century Gothic"/>
        </w:rPr>
        <w:t>The Basin-wide environmental watering strategy (</w:t>
      </w:r>
      <w:r w:rsidR="00281DEF">
        <w:rPr>
          <w:rFonts w:ascii="Century Gothic" w:hAnsi="Century Gothic"/>
        </w:rPr>
        <w:t xml:space="preserve">available from: </w:t>
      </w:r>
      <w:hyperlink r:id="rId22" w:history="1">
        <w:r w:rsidR="00281DEF" w:rsidRPr="002B6397">
          <w:rPr>
            <w:rStyle w:val="Hyperlink"/>
            <w:rFonts w:ascii="Century Gothic" w:hAnsi="Century Gothic"/>
          </w:rPr>
          <w:t>http://www.mdba.gov.au/media-pubs/publications/basin-wide-environmental-watering-strategy</w:t>
        </w:r>
      </w:hyperlink>
      <w:r w:rsidRPr="00F5362B">
        <w:rPr>
          <w:rFonts w:ascii="Century Gothic" w:hAnsi="Century Gothic"/>
        </w:rPr>
        <w:t xml:space="preserve">) builds on these environmental objectives and sets out the Murray-Darling Basin Authority’s best assessment of the expected environmental outcomes over the next decade as a result of implementing the Basin Plan and associated water reforms. The Strategy </w:t>
      </w:r>
      <w:r w:rsidR="00FE6485" w:rsidRPr="00F5362B">
        <w:rPr>
          <w:rFonts w:ascii="Century Gothic" w:hAnsi="Century Gothic"/>
        </w:rPr>
        <w:t>focuses</w:t>
      </w:r>
      <w:r w:rsidRPr="00F5362B">
        <w:rPr>
          <w:rFonts w:ascii="Century Gothic" w:hAnsi="Century Gothic"/>
        </w:rPr>
        <w:t xml:space="preserve"> on four components: river flows and connectivity; vegetation; waterbirds; and native fish. The expected outcomes for each component are summarised below, with more specific quantified outcomes provided in </w:t>
      </w:r>
      <w:r w:rsidRPr="00081397">
        <w:rPr>
          <w:rFonts w:ascii="Century Gothic" w:hAnsi="Century Gothic"/>
          <w:b/>
          <w:u w:val="single"/>
        </w:rPr>
        <w:t>Attachment A</w:t>
      </w:r>
      <w:r w:rsidRPr="00F5362B">
        <w:rPr>
          <w:rFonts w:ascii="Century Gothic" w:hAnsi="Century Gothic"/>
        </w:rPr>
        <w:t>.</w:t>
      </w:r>
    </w:p>
    <w:p w:rsidR="00940242" w:rsidRPr="00F5362B" w:rsidRDefault="009A2935" w:rsidP="00F5362B">
      <w:pPr>
        <w:numPr>
          <w:ilvl w:val="0"/>
          <w:numId w:val="9"/>
        </w:numPr>
        <w:spacing w:after="240"/>
        <w:jc w:val="left"/>
        <w:rPr>
          <w:rFonts w:ascii="Century Gothic" w:hAnsi="Century Gothic"/>
        </w:rPr>
      </w:pPr>
      <w:r w:rsidRPr="00F5362B">
        <w:rPr>
          <w:rFonts w:ascii="Century Gothic" w:hAnsi="Century Gothic"/>
        </w:rPr>
        <w:t>River flows and connectivity: Improve connections along rivers and between rivers and their floodplains</w:t>
      </w:r>
    </w:p>
    <w:p w:rsidR="00940242" w:rsidRPr="00F5362B" w:rsidRDefault="009A2935" w:rsidP="00F5362B">
      <w:pPr>
        <w:numPr>
          <w:ilvl w:val="0"/>
          <w:numId w:val="9"/>
        </w:numPr>
        <w:spacing w:after="240"/>
        <w:jc w:val="left"/>
        <w:rPr>
          <w:rFonts w:ascii="Century Gothic" w:hAnsi="Century Gothic"/>
        </w:rPr>
      </w:pPr>
      <w:r w:rsidRPr="00F5362B">
        <w:rPr>
          <w:rFonts w:ascii="Century Gothic" w:hAnsi="Century Gothic"/>
        </w:rPr>
        <w:t>Vegetation: Maintain extent and improve the condition</w:t>
      </w:r>
    </w:p>
    <w:p w:rsidR="00940242" w:rsidRPr="00F5362B" w:rsidRDefault="009A2935" w:rsidP="00F5362B">
      <w:pPr>
        <w:numPr>
          <w:ilvl w:val="0"/>
          <w:numId w:val="9"/>
        </w:numPr>
        <w:spacing w:after="240"/>
        <w:jc w:val="left"/>
        <w:rPr>
          <w:rFonts w:ascii="Century Gothic" w:hAnsi="Century Gothic"/>
        </w:rPr>
      </w:pPr>
      <w:r w:rsidRPr="00F5362B">
        <w:rPr>
          <w:rFonts w:ascii="Century Gothic" w:hAnsi="Century Gothic"/>
        </w:rPr>
        <w:t>Waterbirds: Maintain current species diversity, improve breeding success and numbers</w:t>
      </w:r>
    </w:p>
    <w:p w:rsidR="00940242" w:rsidRPr="00F5362B" w:rsidRDefault="009A2935" w:rsidP="00F5362B">
      <w:pPr>
        <w:numPr>
          <w:ilvl w:val="0"/>
          <w:numId w:val="9"/>
        </w:numPr>
        <w:spacing w:after="240"/>
        <w:jc w:val="left"/>
        <w:rPr>
          <w:rFonts w:ascii="Century Gothic" w:hAnsi="Century Gothic"/>
        </w:rPr>
      </w:pPr>
      <w:r w:rsidRPr="00F5362B">
        <w:rPr>
          <w:rFonts w:ascii="Century Gothic" w:hAnsi="Century Gothic"/>
        </w:rPr>
        <w:t>Native Fish: Maintain current species diversity, extend distributions, improve breeding success and numbers</w:t>
      </w:r>
      <w:r w:rsidR="001D04AC">
        <w:rPr>
          <w:rFonts w:ascii="Century Gothic" w:hAnsi="Century Gothic"/>
        </w:rPr>
        <w:t>.</w:t>
      </w:r>
    </w:p>
    <w:p w:rsidR="00FE6485" w:rsidRPr="00F5362B" w:rsidRDefault="009A2935" w:rsidP="00F5362B">
      <w:pPr>
        <w:spacing w:after="240"/>
        <w:jc w:val="left"/>
        <w:rPr>
          <w:rFonts w:ascii="Century Gothic" w:hAnsi="Century Gothic"/>
        </w:rPr>
      </w:pPr>
      <w:r w:rsidRPr="00F5362B">
        <w:rPr>
          <w:rFonts w:ascii="Century Gothic" w:hAnsi="Century Gothic"/>
        </w:rPr>
        <w:t xml:space="preserve">Commonwealth environmental watering must be consistent with both the </w:t>
      </w:r>
      <w:r w:rsidR="00E61A1F" w:rsidRPr="00F5362B">
        <w:rPr>
          <w:rFonts w:ascii="Century Gothic" w:hAnsi="Century Gothic"/>
        </w:rPr>
        <w:t xml:space="preserve">objectives </w:t>
      </w:r>
      <w:r w:rsidR="00FE6485" w:rsidRPr="00F5362B">
        <w:rPr>
          <w:rFonts w:ascii="Century Gothic" w:hAnsi="Century Gothic"/>
        </w:rPr>
        <w:t xml:space="preserve">of the environmental watering plan and the expected environmental outcomes in the Basin-wide environmental watering strategy. </w:t>
      </w:r>
      <w:r w:rsidR="00070D2B" w:rsidRPr="00F5362B">
        <w:rPr>
          <w:rFonts w:ascii="Century Gothic" w:hAnsi="Century Gothic"/>
        </w:rPr>
        <w:t>The Commonwealth Environmental Water Outcomes Framework</w:t>
      </w:r>
      <w:r w:rsidR="00FE6485" w:rsidRPr="00F5362B">
        <w:rPr>
          <w:rFonts w:ascii="Century Gothic" w:hAnsi="Century Gothic"/>
        </w:rPr>
        <w:t xml:space="preserve"> has been designed to be able support this</w:t>
      </w:r>
      <w:r w:rsidR="00070D2B" w:rsidRPr="00F5362B">
        <w:rPr>
          <w:rFonts w:ascii="Century Gothic" w:hAnsi="Century Gothic"/>
        </w:rPr>
        <w:t>.</w:t>
      </w:r>
      <w:r w:rsidR="003C1ED6" w:rsidRPr="00F5362B">
        <w:rPr>
          <w:rFonts w:ascii="Century Gothic" w:hAnsi="Century Gothic"/>
        </w:rPr>
        <w:t xml:space="preserve"> </w:t>
      </w:r>
    </w:p>
    <w:p w:rsidR="007D55A4" w:rsidRPr="00F5362B" w:rsidRDefault="00540914" w:rsidP="00F5362B">
      <w:pPr>
        <w:spacing w:after="240"/>
        <w:jc w:val="left"/>
        <w:rPr>
          <w:rFonts w:ascii="Century Gothic" w:hAnsi="Century Gothic"/>
        </w:rPr>
      </w:pPr>
      <w:r w:rsidRPr="00F5362B">
        <w:rPr>
          <w:rFonts w:ascii="Century Gothic" w:hAnsi="Century Gothic"/>
        </w:rPr>
        <w:t xml:space="preserve">The </w:t>
      </w:r>
      <w:r w:rsidR="00FE6485" w:rsidRPr="00F5362B">
        <w:rPr>
          <w:rFonts w:ascii="Century Gothic" w:hAnsi="Century Gothic"/>
        </w:rPr>
        <w:t>O</w:t>
      </w:r>
      <w:r w:rsidRPr="00F5362B">
        <w:rPr>
          <w:rFonts w:ascii="Century Gothic" w:hAnsi="Century Gothic"/>
        </w:rPr>
        <w:t xml:space="preserve">utcomes </w:t>
      </w:r>
      <w:r w:rsidR="00FE6485" w:rsidRPr="00F5362B">
        <w:rPr>
          <w:rFonts w:ascii="Century Gothic" w:hAnsi="Century Gothic"/>
        </w:rPr>
        <w:t>F</w:t>
      </w:r>
      <w:r w:rsidRPr="00F5362B">
        <w:rPr>
          <w:rFonts w:ascii="Century Gothic" w:hAnsi="Century Gothic"/>
        </w:rPr>
        <w:t xml:space="preserve">ramework sets out </w:t>
      </w:r>
      <w:r w:rsidR="007D55A4" w:rsidRPr="00F5362B">
        <w:rPr>
          <w:rFonts w:ascii="Century Gothic" w:hAnsi="Century Gothic"/>
        </w:rPr>
        <w:t xml:space="preserve">a hierarchy of expected outcomes, which are matters that the best available science </w:t>
      </w:r>
      <w:proofErr w:type="gramStart"/>
      <w:r w:rsidR="007D55A4" w:rsidRPr="00F5362B">
        <w:rPr>
          <w:rFonts w:ascii="Century Gothic" w:hAnsi="Century Gothic"/>
        </w:rPr>
        <w:t>indicates</w:t>
      </w:r>
      <w:proofErr w:type="gramEnd"/>
      <w:r w:rsidR="007D55A4" w:rsidRPr="00F5362B">
        <w:rPr>
          <w:rFonts w:ascii="Century Gothic" w:hAnsi="Century Gothic"/>
        </w:rPr>
        <w:t xml:space="preserve"> can be achieved from environmental watering:</w:t>
      </w:r>
    </w:p>
    <w:p w:rsidR="007D55A4" w:rsidRPr="00F5362B" w:rsidRDefault="007D55A4" w:rsidP="00F5362B">
      <w:pPr>
        <w:numPr>
          <w:ilvl w:val="0"/>
          <w:numId w:val="9"/>
        </w:numPr>
        <w:spacing w:after="240"/>
        <w:jc w:val="left"/>
        <w:rPr>
          <w:rFonts w:ascii="Century Gothic" w:hAnsi="Century Gothic"/>
        </w:rPr>
      </w:pPr>
      <w:r w:rsidRPr="00F5362B">
        <w:rPr>
          <w:rFonts w:ascii="Century Gothic" w:hAnsi="Century Gothic"/>
        </w:rPr>
        <w:t>within a one year timeframe (1 year expected outcomes)</w:t>
      </w:r>
    </w:p>
    <w:p w:rsidR="007D55A4" w:rsidRPr="00F5362B" w:rsidRDefault="007D55A4" w:rsidP="00F5362B">
      <w:pPr>
        <w:numPr>
          <w:ilvl w:val="0"/>
          <w:numId w:val="9"/>
        </w:numPr>
        <w:spacing w:after="240"/>
        <w:jc w:val="left"/>
        <w:rPr>
          <w:rFonts w:ascii="Century Gothic" w:hAnsi="Century Gothic"/>
        </w:rPr>
      </w:pPr>
      <w:proofErr w:type="gramStart"/>
      <w:r w:rsidRPr="00F5362B">
        <w:rPr>
          <w:rFonts w:ascii="Century Gothic" w:hAnsi="Century Gothic"/>
        </w:rPr>
        <w:t>within</w:t>
      </w:r>
      <w:proofErr w:type="gramEnd"/>
      <w:r w:rsidRPr="00F5362B">
        <w:rPr>
          <w:rFonts w:ascii="Century Gothic" w:hAnsi="Century Gothic"/>
        </w:rPr>
        <w:t xml:space="preserve"> a one year to five year timeframe (5 year expected outcomes).</w:t>
      </w:r>
    </w:p>
    <w:p w:rsidR="00CD10DD" w:rsidRDefault="00FE6485" w:rsidP="001D04AC">
      <w:pPr>
        <w:shd w:val="clear" w:color="auto" w:fill="FFFFFF"/>
        <w:spacing w:after="240"/>
        <w:jc w:val="left"/>
        <w:rPr>
          <w:rFonts w:ascii="Century Gothic" w:hAnsi="Century Gothic"/>
        </w:rPr>
      </w:pPr>
      <w:r w:rsidRPr="00F5362B">
        <w:rPr>
          <w:rFonts w:ascii="Century Gothic" w:hAnsi="Century Gothic"/>
        </w:rPr>
        <w:t xml:space="preserve">The </w:t>
      </w:r>
      <w:r w:rsidR="00384203" w:rsidRPr="00F5362B">
        <w:rPr>
          <w:rFonts w:ascii="Century Gothic" w:hAnsi="Century Gothic"/>
        </w:rPr>
        <w:t>cumulative</w:t>
      </w:r>
      <w:r w:rsidRPr="00F5362B">
        <w:rPr>
          <w:rFonts w:ascii="Century Gothic" w:hAnsi="Century Gothic"/>
        </w:rPr>
        <w:t xml:space="preserve"> implementation of these shorter-term outcomes</w:t>
      </w:r>
      <w:r w:rsidR="00384203" w:rsidRPr="00F5362B">
        <w:rPr>
          <w:rFonts w:ascii="Century Gothic" w:hAnsi="Century Gothic"/>
        </w:rPr>
        <w:t xml:space="preserve"> over success</w:t>
      </w:r>
      <w:r w:rsidR="001D04AC">
        <w:rPr>
          <w:rFonts w:ascii="Century Gothic" w:hAnsi="Century Gothic"/>
        </w:rPr>
        <w:t>ive</w:t>
      </w:r>
      <w:r w:rsidR="00384203" w:rsidRPr="00F5362B">
        <w:rPr>
          <w:rFonts w:ascii="Century Gothic" w:hAnsi="Century Gothic"/>
        </w:rPr>
        <w:t xml:space="preserve"> years</w:t>
      </w:r>
      <w:r w:rsidRPr="00F5362B">
        <w:rPr>
          <w:rFonts w:ascii="Century Gothic" w:hAnsi="Century Gothic"/>
        </w:rPr>
        <w:t xml:space="preserve"> is expected to contribute to the longer term objectives and </w:t>
      </w:r>
      <w:r w:rsidR="00384203" w:rsidRPr="00F5362B">
        <w:rPr>
          <w:rFonts w:ascii="Century Gothic" w:hAnsi="Century Gothic"/>
        </w:rPr>
        <w:t>outcomes in the</w:t>
      </w:r>
      <w:r w:rsidRPr="00F5362B">
        <w:rPr>
          <w:rFonts w:ascii="Century Gothic" w:hAnsi="Century Gothic"/>
        </w:rPr>
        <w:t xml:space="preserve"> environmental watering plan</w:t>
      </w:r>
      <w:r w:rsidR="00384203">
        <w:rPr>
          <w:rFonts w:ascii="Century Gothic" w:hAnsi="Century Gothic"/>
        </w:rPr>
        <w:t xml:space="preserve"> </w:t>
      </w:r>
      <w:r>
        <w:rPr>
          <w:rFonts w:ascii="Century Gothic" w:hAnsi="Century Gothic"/>
        </w:rPr>
        <w:t>and the Basin-wide</w:t>
      </w:r>
      <w:r w:rsidR="00384203">
        <w:rPr>
          <w:rFonts w:ascii="Century Gothic" w:hAnsi="Century Gothic"/>
        </w:rPr>
        <w:t xml:space="preserve"> environmental watering strategy (see Figure 3). </w:t>
      </w:r>
      <w:r w:rsidR="00CD10DD">
        <w:rPr>
          <w:rFonts w:ascii="Century Gothic" w:hAnsi="Century Gothic"/>
        </w:rPr>
        <w:t>For further information please refer to:</w:t>
      </w:r>
      <w:r w:rsidR="00F5362B">
        <w:rPr>
          <w:rFonts w:ascii="Century Gothic" w:hAnsi="Century Gothic"/>
        </w:rPr>
        <w:t xml:space="preserve"> </w:t>
      </w:r>
      <w:hyperlink r:id="rId23" w:history="1">
        <w:r w:rsidR="00281DEF" w:rsidRPr="002B6397">
          <w:rPr>
            <w:rStyle w:val="Hyperlink"/>
            <w:rFonts w:ascii="Century Gothic" w:hAnsi="Century Gothic"/>
          </w:rPr>
          <w:t>http://www.environment.gov.au/water/cewo/publications/environmental-water-outcomes-framework</w:t>
        </w:r>
      </w:hyperlink>
      <w:r w:rsidR="00CD10DD">
        <w:rPr>
          <w:rFonts w:ascii="Century Gothic" w:hAnsi="Century Gothic"/>
        </w:rPr>
        <w:t xml:space="preserve"> </w:t>
      </w:r>
    </w:p>
    <w:bookmarkEnd w:id="34"/>
    <w:p w:rsidR="001D04AC" w:rsidRDefault="001D04AC" w:rsidP="001D04AC">
      <w:pPr>
        <w:pStyle w:val="Caption"/>
        <w:spacing w:after="240"/>
        <w:jc w:val="left"/>
        <w:rPr>
          <w:rFonts w:ascii="Century Gothic" w:hAnsi="Century Gothic"/>
          <w:b w:val="0"/>
        </w:rPr>
      </w:pPr>
      <w:r>
        <w:rPr>
          <w:rFonts w:ascii="Century Gothic" w:hAnsi="Century Gothic"/>
        </w:rPr>
        <w:lastRenderedPageBreak/>
        <w:t>Table 1:</w:t>
      </w:r>
      <w:r w:rsidRPr="00E078BB">
        <w:rPr>
          <w:rFonts w:ascii="Century Gothic" w:hAnsi="Century Gothic"/>
        </w:rPr>
        <w:t xml:space="preserve"> </w:t>
      </w:r>
      <w:r w:rsidR="00553B2D">
        <w:rPr>
          <w:rFonts w:ascii="Century Gothic" w:hAnsi="Century Gothic"/>
          <w:b w:val="0"/>
        </w:rPr>
        <w:t>Commonwealth E</w:t>
      </w:r>
      <w:r w:rsidRPr="00E078BB">
        <w:rPr>
          <w:rFonts w:ascii="Century Gothic" w:hAnsi="Century Gothic"/>
          <w:b w:val="0"/>
        </w:rPr>
        <w:t>nvironmental</w:t>
      </w:r>
      <w:r w:rsidR="00553B2D">
        <w:rPr>
          <w:rFonts w:ascii="Century Gothic" w:hAnsi="Century Gothic"/>
          <w:b w:val="0"/>
        </w:rPr>
        <w:t xml:space="preserve"> Water</w:t>
      </w:r>
      <w:r w:rsidRPr="00E078BB">
        <w:rPr>
          <w:rFonts w:ascii="Century Gothic" w:hAnsi="Century Gothic"/>
          <w:b w:val="0"/>
        </w:rPr>
        <w:t xml:space="preserve"> </w:t>
      </w:r>
      <w:r w:rsidR="00553B2D">
        <w:rPr>
          <w:rFonts w:ascii="Century Gothic" w:hAnsi="Century Gothic"/>
          <w:b w:val="0"/>
        </w:rPr>
        <w:t>O</w:t>
      </w:r>
      <w:r w:rsidRPr="00E078BB">
        <w:rPr>
          <w:rFonts w:ascii="Century Gothic" w:hAnsi="Century Gothic"/>
          <w:b w:val="0"/>
        </w:rPr>
        <w:t xml:space="preserve">utcomes </w:t>
      </w:r>
      <w:r w:rsidR="00553B2D">
        <w:rPr>
          <w:rFonts w:ascii="Century Gothic" w:hAnsi="Century Gothic"/>
          <w:b w:val="0"/>
        </w:rPr>
        <w:t>F</w:t>
      </w:r>
      <w:r w:rsidRPr="00E078BB">
        <w:rPr>
          <w:rFonts w:ascii="Century Gothic" w:hAnsi="Century Gothic"/>
          <w:b w:val="0"/>
        </w:rPr>
        <w:t xml:space="preserve">ramework </w:t>
      </w:r>
    </w:p>
    <w:tbl>
      <w:tblPr>
        <w:tblW w:w="10490" w:type="dxa"/>
        <w:tblInd w:w="-459" w:type="dxa"/>
        <w:tblLayout w:type="fixed"/>
        <w:tblLook w:val="04A0"/>
      </w:tblPr>
      <w:tblGrid>
        <w:gridCol w:w="1308"/>
        <w:gridCol w:w="535"/>
        <w:gridCol w:w="583"/>
        <w:gridCol w:w="1119"/>
        <w:gridCol w:w="2834"/>
        <w:gridCol w:w="1985"/>
        <w:gridCol w:w="2126"/>
      </w:tblGrid>
      <w:tr w:rsidR="00BA5E36" w:rsidRPr="00561936" w:rsidTr="00553B2D">
        <w:trPr>
          <w:trHeight w:val="547"/>
        </w:trPr>
        <w:tc>
          <w:tcPr>
            <w:tcW w:w="1308"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BA5E36" w:rsidRPr="00561936" w:rsidRDefault="00BA5E36" w:rsidP="00553B2D">
            <w:pPr>
              <w:spacing w:after="40"/>
              <w:jc w:val="left"/>
              <w:rPr>
                <w:rFonts w:asciiTheme="minorHAnsi" w:hAnsiTheme="minorHAnsi"/>
                <w:b/>
                <w:bCs/>
                <w:color w:val="FFFFFF" w:themeColor="background1"/>
                <w:sz w:val="18"/>
                <w:szCs w:val="18"/>
              </w:rPr>
            </w:pPr>
            <w:r w:rsidRPr="00561936">
              <w:rPr>
                <w:rFonts w:asciiTheme="minorHAnsi" w:hAnsiTheme="minorHAnsi"/>
                <w:b/>
                <w:bCs/>
                <w:color w:val="FFFFFF" w:themeColor="background1"/>
                <w:sz w:val="18"/>
                <w:szCs w:val="18"/>
              </w:rPr>
              <w:t>Basin Plan Objectives</w:t>
            </w:r>
          </w:p>
        </w:tc>
        <w:tc>
          <w:tcPr>
            <w:tcW w:w="2237" w:type="dxa"/>
            <w:gridSpan w:val="3"/>
            <w:tcBorders>
              <w:top w:val="single" w:sz="8" w:space="0" w:color="auto"/>
              <w:left w:val="single" w:sz="4" w:space="0" w:color="auto"/>
              <w:bottom w:val="single" w:sz="4" w:space="0" w:color="auto"/>
              <w:right w:val="single" w:sz="8" w:space="0" w:color="000000"/>
            </w:tcBorders>
            <w:shd w:val="clear" w:color="auto" w:fill="79B2F7"/>
            <w:vAlign w:val="center"/>
            <w:hideMark/>
          </w:tcPr>
          <w:p w:rsidR="00BA5E36" w:rsidRPr="00561936" w:rsidRDefault="00BA5E36" w:rsidP="00553B2D">
            <w:pPr>
              <w:spacing w:after="40"/>
              <w:jc w:val="center"/>
              <w:rPr>
                <w:rFonts w:asciiTheme="minorHAnsi" w:hAnsiTheme="minorHAnsi"/>
                <w:b/>
                <w:bCs/>
                <w:sz w:val="18"/>
                <w:szCs w:val="18"/>
              </w:rPr>
            </w:pPr>
            <w:r w:rsidRPr="00561936">
              <w:rPr>
                <w:rFonts w:asciiTheme="minorHAnsi" w:hAnsiTheme="minorHAnsi"/>
                <w:b/>
                <w:bCs/>
                <w:sz w:val="18"/>
                <w:szCs w:val="18"/>
              </w:rPr>
              <w:t>Basin Outcomes</w:t>
            </w:r>
          </w:p>
        </w:tc>
        <w:tc>
          <w:tcPr>
            <w:tcW w:w="2834" w:type="dxa"/>
            <w:tcBorders>
              <w:top w:val="single" w:sz="8" w:space="0" w:color="auto"/>
              <w:left w:val="single" w:sz="8" w:space="0" w:color="auto"/>
              <w:bottom w:val="single" w:sz="8" w:space="0" w:color="000000"/>
              <w:right w:val="single" w:sz="4" w:space="0" w:color="auto"/>
            </w:tcBorders>
            <w:shd w:val="clear" w:color="auto" w:fill="FABF8F" w:themeFill="accent6" w:themeFillTint="99"/>
          </w:tcPr>
          <w:p w:rsidR="00BA5E36" w:rsidRPr="00561936" w:rsidRDefault="00BA5E36" w:rsidP="00553B2D">
            <w:pPr>
              <w:spacing w:after="40"/>
              <w:jc w:val="center"/>
              <w:rPr>
                <w:rFonts w:asciiTheme="minorHAnsi" w:hAnsiTheme="minorHAnsi"/>
                <w:b/>
                <w:bCs/>
                <w:sz w:val="18"/>
                <w:szCs w:val="18"/>
              </w:rPr>
            </w:pPr>
            <w:r w:rsidRPr="00561936">
              <w:rPr>
                <w:rFonts w:asciiTheme="minorHAnsi" w:hAnsiTheme="minorHAnsi"/>
                <w:b/>
                <w:bCs/>
                <w:sz w:val="18"/>
                <w:szCs w:val="18"/>
              </w:rPr>
              <w:t>Basin Wide Environmental Watering Strategy – Expected Outcomes</w:t>
            </w:r>
          </w:p>
        </w:tc>
        <w:tc>
          <w:tcPr>
            <w:tcW w:w="1985" w:type="dxa"/>
            <w:tcBorders>
              <w:top w:val="single" w:sz="4" w:space="0" w:color="auto"/>
              <w:left w:val="single" w:sz="4" w:space="0" w:color="auto"/>
              <w:bottom w:val="single" w:sz="8" w:space="0" w:color="000000"/>
              <w:right w:val="single" w:sz="4" w:space="0" w:color="auto"/>
            </w:tcBorders>
            <w:shd w:val="clear" w:color="auto" w:fill="92D050"/>
            <w:vAlign w:val="center"/>
            <w:hideMark/>
          </w:tcPr>
          <w:p w:rsidR="00BA5E36" w:rsidRPr="00561936" w:rsidRDefault="00BA5E36" w:rsidP="00553B2D">
            <w:pPr>
              <w:spacing w:after="40"/>
              <w:jc w:val="center"/>
              <w:rPr>
                <w:rFonts w:asciiTheme="minorHAnsi" w:hAnsiTheme="minorHAnsi"/>
                <w:b/>
                <w:bCs/>
                <w:sz w:val="18"/>
                <w:szCs w:val="18"/>
              </w:rPr>
            </w:pPr>
            <w:r w:rsidRPr="00561936">
              <w:rPr>
                <w:rFonts w:asciiTheme="minorHAnsi" w:hAnsiTheme="minorHAnsi"/>
                <w:b/>
                <w:bCs/>
                <w:sz w:val="18"/>
                <w:szCs w:val="18"/>
              </w:rPr>
              <w:t>5 year Expected Outcomes</w:t>
            </w:r>
          </w:p>
        </w:tc>
        <w:tc>
          <w:tcPr>
            <w:tcW w:w="2126" w:type="dxa"/>
            <w:tcBorders>
              <w:top w:val="single" w:sz="8" w:space="0" w:color="auto"/>
              <w:left w:val="single" w:sz="4" w:space="0" w:color="auto"/>
              <w:bottom w:val="single" w:sz="8" w:space="0" w:color="000000"/>
              <w:right w:val="single" w:sz="4" w:space="0" w:color="auto"/>
            </w:tcBorders>
            <w:shd w:val="clear" w:color="auto" w:fill="D6E3BC" w:themeFill="accent3" w:themeFillTint="66"/>
            <w:vAlign w:val="center"/>
            <w:hideMark/>
          </w:tcPr>
          <w:p w:rsidR="00BA5E36" w:rsidRPr="00561936" w:rsidRDefault="00BA5E36" w:rsidP="00553B2D">
            <w:pPr>
              <w:spacing w:after="40"/>
              <w:jc w:val="center"/>
              <w:rPr>
                <w:rFonts w:asciiTheme="minorHAnsi" w:hAnsiTheme="minorHAnsi"/>
                <w:b/>
                <w:bCs/>
                <w:sz w:val="18"/>
                <w:szCs w:val="18"/>
              </w:rPr>
            </w:pPr>
            <w:r w:rsidRPr="00561936">
              <w:rPr>
                <w:rFonts w:asciiTheme="minorHAnsi" w:hAnsiTheme="minorHAnsi"/>
                <w:b/>
                <w:bCs/>
                <w:sz w:val="18"/>
                <w:szCs w:val="18"/>
              </w:rPr>
              <w:t>1 year Expected Outcomes</w:t>
            </w:r>
          </w:p>
        </w:tc>
      </w:tr>
      <w:tr w:rsidR="00BA5E36" w:rsidRPr="00561936" w:rsidTr="00553B2D">
        <w:trPr>
          <w:trHeight w:val="54"/>
        </w:trPr>
        <w:tc>
          <w:tcPr>
            <w:tcW w:w="1308"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BA5E36" w:rsidRPr="00561936" w:rsidRDefault="00BA5E36" w:rsidP="00553B2D">
            <w:pPr>
              <w:spacing w:after="40"/>
              <w:jc w:val="left"/>
              <w:rPr>
                <w:rFonts w:asciiTheme="minorHAnsi" w:hAnsiTheme="minorHAnsi"/>
                <w:color w:val="FFFFFF" w:themeColor="background1"/>
                <w:sz w:val="18"/>
                <w:szCs w:val="18"/>
              </w:rPr>
            </w:pPr>
            <w:r>
              <w:rPr>
                <w:rFonts w:asciiTheme="minorHAnsi" w:hAnsiTheme="minorHAnsi"/>
                <w:color w:val="FFFFFF" w:themeColor="background1"/>
                <w:sz w:val="18"/>
                <w:szCs w:val="18"/>
              </w:rPr>
              <w:t>B</w:t>
            </w:r>
            <w:r w:rsidRPr="00561936">
              <w:rPr>
                <w:rFonts w:asciiTheme="minorHAnsi" w:hAnsiTheme="minorHAnsi"/>
                <w:color w:val="FFFFFF" w:themeColor="background1"/>
                <w:sz w:val="18"/>
                <w:szCs w:val="18"/>
              </w:rPr>
              <w:t>iodiversity</w:t>
            </w:r>
            <w:r w:rsidRPr="00561936">
              <w:rPr>
                <w:rFonts w:asciiTheme="minorHAnsi" w:hAnsiTheme="minorHAnsi"/>
                <w:color w:val="FFFFFF" w:themeColor="background1"/>
                <w:sz w:val="18"/>
                <w:szCs w:val="18"/>
              </w:rPr>
              <w:br/>
            </w:r>
            <w:r w:rsidRPr="00561936">
              <w:rPr>
                <w:rFonts w:asciiTheme="minorHAnsi" w:hAnsiTheme="minorHAnsi"/>
                <w:color w:val="FFFFFF" w:themeColor="background1"/>
                <w:sz w:val="18"/>
                <w:szCs w:val="18"/>
              </w:rPr>
              <w:br/>
              <w:t>(Basin Plan S. 8.05)</w:t>
            </w:r>
          </w:p>
        </w:tc>
        <w:tc>
          <w:tcPr>
            <w:tcW w:w="2237" w:type="dxa"/>
            <w:gridSpan w:val="3"/>
            <w:vMerge w:val="restart"/>
            <w:tcBorders>
              <w:top w:val="single" w:sz="4" w:space="0" w:color="auto"/>
              <w:left w:val="single" w:sz="4" w:space="0" w:color="auto"/>
              <w:right w:val="single" w:sz="4" w:space="0" w:color="auto"/>
            </w:tcBorders>
            <w:shd w:val="clear" w:color="auto" w:fill="79B2F7"/>
            <w:vAlign w:val="center"/>
            <w:hideMark/>
          </w:tcPr>
          <w:p w:rsidR="00BA5E36" w:rsidRPr="00561936" w:rsidRDefault="00BA5E36" w:rsidP="00553B2D">
            <w:pPr>
              <w:spacing w:after="40"/>
              <w:jc w:val="left"/>
              <w:rPr>
                <w:rFonts w:asciiTheme="minorHAnsi" w:hAnsiTheme="minorHAnsi"/>
                <w:sz w:val="18"/>
                <w:szCs w:val="18"/>
              </w:rPr>
            </w:pPr>
            <w:r w:rsidRPr="00561936">
              <w:rPr>
                <w:rFonts w:asciiTheme="minorHAnsi" w:hAnsiTheme="minorHAnsi"/>
                <w:sz w:val="18"/>
                <w:szCs w:val="18"/>
              </w:rPr>
              <w:t>Ecosystem diversity</w:t>
            </w:r>
          </w:p>
        </w:tc>
        <w:tc>
          <w:tcPr>
            <w:tcW w:w="2834" w:type="dxa"/>
            <w:tcBorders>
              <w:top w:val="nil"/>
              <w:left w:val="nil"/>
              <w:right w:val="single" w:sz="4" w:space="0" w:color="auto"/>
            </w:tcBorders>
            <w:shd w:val="clear" w:color="auto" w:fill="FABF8F" w:themeFill="accent6" w:themeFillTint="99"/>
          </w:tcPr>
          <w:p w:rsidR="00BA5E36" w:rsidRPr="00561936" w:rsidRDefault="00BA5E36" w:rsidP="00553B2D">
            <w:pPr>
              <w:spacing w:after="40"/>
              <w:jc w:val="left"/>
              <w:rPr>
                <w:rFonts w:asciiTheme="minorHAnsi" w:hAnsiTheme="minorHAnsi"/>
                <w:sz w:val="18"/>
                <w:szCs w:val="18"/>
              </w:rPr>
            </w:pPr>
          </w:p>
        </w:tc>
        <w:tc>
          <w:tcPr>
            <w:tcW w:w="1985" w:type="dxa"/>
            <w:vMerge w:val="restart"/>
            <w:tcBorders>
              <w:top w:val="nil"/>
              <w:left w:val="single" w:sz="4" w:space="0" w:color="auto"/>
              <w:right w:val="single" w:sz="4" w:space="0" w:color="auto"/>
            </w:tcBorders>
            <w:shd w:val="clear" w:color="auto" w:fill="92D050"/>
            <w:vAlign w:val="center"/>
            <w:hideMark/>
          </w:tcPr>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Species diversity</w:t>
            </w:r>
          </w:p>
        </w:tc>
        <w:tc>
          <w:tcPr>
            <w:tcW w:w="2126" w:type="dxa"/>
            <w:vMerge w:val="restart"/>
            <w:tcBorders>
              <w:top w:val="nil"/>
              <w:left w:val="nil"/>
              <w:right w:val="single" w:sz="4" w:space="0" w:color="auto"/>
            </w:tcBorders>
            <w:shd w:val="clear" w:color="auto" w:fill="D6E3BC" w:themeFill="accent3" w:themeFillTint="66"/>
            <w:vAlign w:val="center"/>
          </w:tcPr>
          <w:p w:rsidR="00BA5E36" w:rsidRPr="00561936" w:rsidRDefault="00BA5E36" w:rsidP="00553B2D">
            <w:pPr>
              <w:pStyle w:val="ListBullet"/>
              <w:numPr>
                <w:ilvl w:val="0"/>
                <w:numId w:val="0"/>
              </w:numPr>
              <w:spacing w:after="40"/>
              <w:ind w:left="175"/>
              <w:jc w:val="left"/>
              <w:rPr>
                <w:rFonts w:asciiTheme="minorHAnsi" w:hAnsiTheme="minorHAnsi"/>
                <w:sz w:val="18"/>
                <w:szCs w:val="18"/>
              </w:rPr>
            </w:pPr>
          </w:p>
        </w:tc>
      </w:tr>
      <w:tr w:rsidR="00BA5E36" w:rsidRPr="00561936" w:rsidTr="00553B2D">
        <w:trPr>
          <w:trHeight w:val="167"/>
        </w:trPr>
        <w:tc>
          <w:tcPr>
            <w:tcW w:w="1308" w:type="dxa"/>
            <w:vMerge/>
            <w:tcBorders>
              <w:top w:val="nil"/>
              <w:left w:val="single" w:sz="4" w:space="0" w:color="auto"/>
              <w:bottom w:val="single" w:sz="4" w:space="0" w:color="auto"/>
              <w:right w:val="single" w:sz="4" w:space="0" w:color="auto"/>
            </w:tcBorders>
            <w:shd w:val="clear" w:color="auto" w:fill="0070C0"/>
            <w:vAlign w:val="center"/>
            <w:hideMark/>
          </w:tcPr>
          <w:p w:rsidR="00BA5E36" w:rsidRPr="00561936" w:rsidRDefault="00BA5E36" w:rsidP="00553B2D">
            <w:pPr>
              <w:spacing w:after="40"/>
              <w:jc w:val="left"/>
              <w:rPr>
                <w:rFonts w:asciiTheme="minorHAnsi" w:hAnsiTheme="minorHAnsi"/>
                <w:color w:val="FFFFFF" w:themeColor="background1"/>
                <w:sz w:val="18"/>
                <w:szCs w:val="18"/>
              </w:rPr>
            </w:pPr>
          </w:p>
        </w:tc>
        <w:tc>
          <w:tcPr>
            <w:tcW w:w="2237" w:type="dxa"/>
            <w:gridSpan w:val="3"/>
            <w:vMerge/>
            <w:tcBorders>
              <w:left w:val="single" w:sz="4" w:space="0" w:color="auto"/>
              <w:bottom w:val="single" w:sz="4" w:space="0" w:color="000000"/>
              <w:right w:val="single" w:sz="4" w:space="0" w:color="auto"/>
            </w:tcBorders>
            <w:shd w:val="clear" w:color="auto" w:fill="79B2F7"/>
            <w:vAlign w:val="center"/>
            <w:hideMark/>
          </w:tcPr>
          <w:p w:rsidR="00BA5E36" w:rsidRPr="00561936" w:rsidRDefault="00BA5E36" w:rsidP="00553B2D">
            <w:pPr>
              <w:spacing w:after="40"/>
              <w:jc w:val="left"/>
              <w:rPr>
                <w:rFonts w:asciiTheme="minorHAnsi" w:hAnsiTheme="minorHAnsi"/>
                <w:sz w:val="18"/>
                <w:szCs w:val="18"/>
              </w:rPr>
            </w:pPr>
          </w:p>
        </w:tc>
        <w:tc>
          <w:tcPr>
            <w:tcW w:w="2834" w:type="dxa"/>
            <w:tcBorders>
              <w:left w:val="nil"/>
              <w:bottom w:val="single" w:sz="4" w:space="0" w:color="auto"/>
              <w:right w:val="single" w:sz="4" w:space="0" w:color="auto"/>
            </w:tcBorders>
            <w:shd w:val="clear" w:color="auto" w:fill="FABF8F" w:themeFill="accent6" w:themeFillTint="99"/>
          </w:tcPr>
          <w:p w:rsidR="00BA5E36" w:rsidRPr="00561936" w:rsidRDefault="00BA5E36" w:rsidP="00553B2D">
            <w:pPr>
              <w:spacing w:after="40"/>
              <w:jc w:val="left"/>
              <w:rPr>
                <w:rFonts w:asciiTheme="minorHAnsi" w:hAnsiTheme="minorHAnsi"/>
                <w:sz w:val="18"/>
                <w:szCs w:val="18"/>
              </w:rPr>
            </w:pPr>
          </w:p>
        </w:tc>
        <w:tc>
          <w:tcPr>
            <w:tcW w:w="1985" w:type="dxa"/>
            <w:vMerge/>
            <w:tcBorders>
              <w:left w:val="single" w:sz="4" w:space="0" w:color="auto"/>
              <w:bottom w:val="single" w:sz="4" w:space="0" w:color="auto"/>
              <w:right w:val="single" w:sz="4" w:space="0" w:color="auto"/>
            </w:tcBorders>
            <w:shd w:val="clear" w:color="auto" w:fill="92D050"/>
            <w:vAlign w:val="center"/>
            <w:hideMark/>
          </w:tcPr>
          <w:p w:rsidR="00BA5E36" w:rsidRPr="00561936" w:rsidRDefault="00BA5E36" w:rsidP="00553B2D">
            <w:pPr>
              <w:pStyle w:val="ListBullet"/>
              <w:spacing w:after="40"/>
              <w:ind w:left="175" w:hanging="175"/>
              <w:jc w:val="left"/>
              <w:rPr>
                <w:rFonts w:asciiTheme="minorHAnsi" w:hAnsiTheme="minorHAnsi"/>
                <w:sz w:val="18"/>
                <w:szCs w:val="18"/>
              </w:rPr>
            </w:pPr>
          </w:p>
        </w:tc>
        <w:tc>
          <w:tcPr>
            <w:tcW w:w="2126" w:type="dxa"/>
            <w:vMerge/>
            <w:tcBorders>
              <w:left w:val="nil"/>
              <w:bottom w:val="single" w:sz="4" w:space="0" w:color="auto"/>
              <w:right w:val="single" w:sz="4" w:space="0" w:color="auto"/>
            </w:tcBorders>
            <w:shd w:val="clear" w:color="auto" w:fill="D6E3BC" w:themeFill="accent3" w:themeFillTint="66"/>
            <w:vAlign w:val="center"/>
          </w:tcPr>
          <w:p w:rsidR="00BA5E36" w:rsidRPr="00561936" w:rsidRDefault="00BA5E36" w:rsidP="00553B2D">
            <w:pPr>
              <w:pStyle w:val="ListBullet"/>
              <w:spacing w:after="40"/>
              <w:ind w:left="175" w:hanging="175"/>
              <w:jc w:val="left"/>
              <w:rPr>
                <w:rFonts w:asciiTheme="minorHAnsi" w:hAnsiTheme="minorHAnsi"/>
                <w:sz w:val="18"/>
                <w:szCs w:val="18"/>
              </w:rPr>
            </w:pPr>
          </w:p>
        </w:tc>
      </w:tr>
      <w:tr w:rsidR="00BA5E36" w:rsidRPr="00561936" w:rsidTr="00553B2D">
        <w:trPr>
          <w:trHeight w:val="3384"/>
        </w:trPr>
        <w:tc>
          <w:tcPr>
            <w:tcW w:w="1308" w:type="dxa"/>
            <w:vMerge/>
            <w:tcBorders>
              <w:top w:val="nil"/>
              <w:left w:val="single" w:sz="4" w:space="0" w:color="auto"/>
              <w:bottom w:val="single" w:sz="4" w:space="0" w:color="auto"/>
              <w:right w:val="single" w:sz="4" w:space="0" w:color="auto"/>
            </w:tcBorders>
            <w:shd w:val="clear" w:color="auto" w:fill="0070C0"/>
            <w:vAlign w:val="center"/>
            <w:hideMark/>
          </w:tcPr>
          <w:p w:rsidR="00BA5E36" w:rsidRPr="00561936" w:rsidRDefault="00BA5E36" w:rsidP="00553B2D">
            <w:pPr>
              <w:spacing w:after="40"/>
              <w:jc w:val="left"/>
              <w:rPr>
                <w:rFonts w:asciiTheme="minorHAnsi" w:hAnsiTheme="minorHAnsi"/>
                <w:color w:val="FFFFFF" w:themeColor="background1"/>
                <w:sz w:val="18"/>
                <w:szCs w:val="18"/>
              </w:rPr>
            </w:pPr>
          </w:p>
        </w:tc>
        <w:tc>
          <w:tcPr>
            <w:tcW w:w="535" w:type="dxa"/>
            <w:vMerge w:val="restart"/>
            <w:tcBorders>
              <w:top w:val="nil"/>
              <w:left w:val="single" w:sz="4" w:space="0" w:color="auto"/>
              <w:right w:val="single" w:sz="4" w:space="0" w:color="auto"/>
            </w:tcBorders>
            <w:shd w:val="clear" w:color="auto" w:fill="79B2F7"/>
            <w:textDirection w:val="btLr"/>
            <w:hideMark/>
          </w:tcPr>
          <w:p w:rsidR="00BA5E36" w:rsidRPr="00561936" w:rsidRDefault="00BA5E36" w:rsidP="00553B2D">
            <w:pPr>
              <w:spacing w:after="40"/>
              <w:ind w:left="113" w:right="113"/>
              <w:jc w:val="center"/>
              <w:rPr>
                <w:rFonts w:asciiTheme="minorHAnsi" w:hAnsiTheme="minorHAnsi"/>
                <w:sz w:val="18"/>
                <w:szCs w:val="18"/>
              </w:rPr>
            </w:pPr>
            <w:r w:rsidRPr="00561936">
              <w:rPr>
                <w:rFonts w:asciiTheme="minorHAnsi" w:hAnsiTheme="minorHAnsi"/>
                <w:sz w:val="18"/>
                <w:szCs w:val="18"/>
              </w:rPr>
              <w:t>Species diversity</w:t>
            </w:r>
          </w:p>
          <w:p w:rsidR="00BA5E36" w:rsidRPr="00561936" w:rsidRDefault="00BA5E36" w:rsidP="00553B2D">
            <w:pPr>
              <w:spacing w:after="40"/>
              <w:jc w:val="left"/>
              <w:rPr>
                <w:rFonts w:asciiTheme="minorHAnsi" w:hAnsiTheme="minorHAnsi"/>
                <w:sz w:val="18"/>
                <w:szCs w:val="18"/>
              </w:rPr>
            </w:pPr>
          </w:p>
        </w:tc>
        <w:tc>
          <w:tcPr>
            <w:tcW w:w="1702" w:type="dxa"/>
            <w:gridSpan w:val="2"/>
            <w:tcBorders>
              <w:top w:val="nil"/>
              <w:left w:val="single" w:sz="4" w:space="0" w:color="auto"/>
              <w:bottom w:val="single" w:sz="4" w:space="0" w:color="000000"/>
              <w:right w:val="single" w:sz="4" w:space="0" w:color="auto"/>
            </w:tcBorders>
            <w:shd w:val="clear" w:color="auto" w:fill="91C6E7"/>
            <w:vAlign w:val="center"/>
            <w:hideMark/>
          </w:tcPr>
          <w:p w:rsidR="00BA5E36" w:rsidRPr="00561936" w:rsidRDefault="00BA5E36" w:rsidP="00553B2D">
            <w:pPr>
              <w:spacing w:after="40"/>
              <w:jc w:val="left"/>
              <w:rPr>
                <w:rFonts w:asciiTheme="minorHAnsi" w:hAnsiTheme="minorHAnsi"/>
                <w:sz w:val="18"/>
                <w:szCs w:val="18"/>
              </w:rPr>
            </w:pPr>
            <w:r w:rsidRPr="00561936">
              <w:rPr>
                <w:rFonts w:asciiTheme="minorHAnsi" w:hAnsiTheme="minorHAnsi"/>
                <w:sz w:val="18"/>
                <w:szCs w:val="18"/>
              </w:rPr>
              <w:t>Vegetation</w:t>
            </w:r>
          </w:p>
        </w:tc>
        <w:tc>
          <w:tcPr>
            <w:tcW w:w="2834" w:type="dxa"/>
            <w:tcBorders>
              <w:top w:val="nil"/>
              <w:left w:val="nil"/>
              <w:bottom w:val="single" w:sz="4" w:space="0" w:color="auto"/>
              <w:right w:val="single" w:sz="4" w:space="0" w:color="auto"/>
            </w:tcBorders>
            <w:shd w:val="clear" w:color="auto" w:fill="FABF8F" w:themeFill="accent6" w:themeFillTint="99"/>
          </w:tcPr>
          <w:p w:rsidR="00BA5E36" w:rsidRPr="00913CE0" w:rsidRDefault="00BA5E36" w:rsidP="00553B2D">
            <w:pPr>
              <w:pStyle w:val="ListBullet"/>
              <w:spacing w:after="40"/>
              <w:ind w:left="175" w:hanging="175"/>
              <w:jc w:val="left"/>
              <w:rPr>
                <w:rFonts w:asciiTheme="minorHAnsi" w:hAnsiTheme="minorHAnsi"/>
                <w:sz w:val="18"/>
                <w:szCs w:val="18"/>
              </w:rPr>
            </w:pPr>
            <w:r w:rsidRPr="00913CE0">
              <w:rPr>
                <w:rFonts w:asciiTheme="minorHAnsi" w:hAnsiTheme="minorHAnsi"/>
                <w:sz w:val="18"/>
                <w:szCs w:val="18"/>
              </w:rPr>
              <w:t>Maintenance of the current extent of river red gum, black box, coolibah forest and woodlands; existing large communities of lignum; and</w:t>
            </w:r>
            <w:r>
              <w:rPr>
                <w:rFonts w:asciiTheme="minorHAnsi" w:hAnsiTheme="minorHAnsi"/>
                <w:sz w:val="18"/>
                <w:szCs w:val="18"/>
              </w:rPr>
              <w:t xml:space="preserve"> </w:t>
            </w:r>
            <w:r w:rsidRPr="00913CE0">
              <w:rPr>
                <w:rFonts w:asciiTheme="minorHAnsi" w:hAnsiTheme="minorHAnsi"/>
                <w:sz w:val="18"/>
                <w:szCs w:val="18"/>
              </w:rPr>
              <w:t>non-woody communities near or in wetlands, streams and on low-lying floodplains</w:t>
            </w:r>
          </w:p>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 xml:space="preserve">Maintain the current condition of lowland floodplain forests and woodlands of river red gum, black box and coolibah </w:t>
            </w:r>
          </w:p>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Improved condition of southern river red gum</w:t>
            </w:r>
          </w:p>
        </w:tc>
        <w:tc>
          <w:tcPr>
            <w:tcW w:w="1985" w:type="dxa"/>
            <w:tcBorders>
              <w:top w:val="nil"/>
              <w:left w:val="single" w:sz="4" w:space="0" w:color="auto"/>
              <w:bottom w:val="single" w:sz="4" w:space="0" w:color="auto"/>
              <w:right w:val="single" w:sz="4" w:space="0" w:color="auto"/>
            </w:tcBorders>
            <w:shd w:val="clear" w:color="auto" w:fill="92D050"/>
            <w:vAlign w:val="center"/>
            <w:hideMark/>
          </w:tcPr>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 xml:space="preserve"> Vegetation diversity</w:t>
            </w:r>
          </w:p>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 xml:space="preserve"> Growth and survival</w:t>
            </w:r>
          </w:p>
        </w:tc>
        <w:tc>
          <w:tcPr>
            <w:tcW w:w="2126" w:type="dxa"/>
            <w:tcBorders>
              <w:top w:val="nil"/>
              <w:left w:val="nil"/>
              <w:bottom w:val="single" w:sz="4" w:space="0" w:color="auto"/>
              <w:right w:val="single" w:sz="4" w:space="0" w:color="auto"/>
            </w:tcBorders>
            <w:shd w:val="clear" w:color="auto" w:fill="D6E3BC" w:themeFill="accent3" w:themeFillTint="66"/>
            <w:vAlign w:val="center"/>
          </w:tcPr>
          <w:p w:rsidR="00070356" w:rsidRDefault="00BA5E36" w:rsidP="00553B2D">
            <w:pPr>
              <w:spacing w:after="40"/>
              <w:jc w:val="left"/>
              <w:rPr>
                <w:rFonts w:asciiTheme="minorHAnsi" w:hAnsiTheme="minorHAnsi"/>
                <w:sz w:val="18"/>
                <w:szCs w:val="18"/>
              </w:rPr>
            </w:pPr>
            <w:r w:rsidRPr="00561936">
              <w:rPr>
                <w:rFonts w:asciiTheme="minorHAnsi" w:hAnsiTheme="minorHAnsi"/>
                <w:sz w:val="18"/>
                <w:szCs w:val="18"/>
              </w:rPr>
              <w:t>• Reproduction</w:t>
            </w:r>
            <w:r w:rsidRPr="00561936">
              <w:rPr>
                <w:rFonts w:asciiTheme="minorHAnsi" w:hAnsiTheme="minorHAnsi"/>
                <w:sz w:val="18"/>
                <w:szCs w:val="18"/>
              </w:rPr>
              <w:br/>
              <w:t>• Condition</w:t>
            </w:r>
          </w:p>
          <w:p w:rsidR="00070356" w:rsidRDefault="00BA5E36" w:rsidP="00553B2D">
            <w:pPr>
              <w:spacing w:after="40"/>
              <w:jc w:val="left"/>
              <w:rPr>
                <w:rFonts w:asciiTheme="minorHAnsi" w:hAnsiTheme="minorHAnsi"/>
                <w:sz w:val="18"/>
                <w:szCs w:val="18"/>
              </w:rPr>
            </w:pPr>
            <w:r w:rsidRPr="00561936">
              <w:rPr>
                <w:rFonts w:asciiTheme="minorHAnsi" w:hAnsiTheme="minorHAnsi"/>
                <w:sz w:val="18"/>
                <w:szCs w:val="18"/>
              </w:rPr>
              <w:t>• Germination</w:t>
            </w:r>
            <w:r w:rsidRPr="00561936">
              <w:rPr>
                <w:rFonts w:asciiTheme="minorHAnsi" w:hAnsiTheme="minorHAnsi"/>
                <w:sz w:val="18"/>
                <w:szCs w:val="18"/>
              </w:rPr>
              <w:br/>
              <w:t>• Dispersal</w:t>
            </w:r>
          </w:p>
        </w:tc>
      </w:tr>
      <w:tr w:rsidR="00BA5E36" w:rsidRPr="00561936" w:rsidTr="00553B2D">
        <w:trPr>
          <w:trHeight w:val="201"/>
        </w:trPr>
        <w:tc>
          <w:tcPr>
            <w:tcW w:w="1308" w:type="dxa"/>
            <w:vMerge/>
            <w:tcBorders>
              <w:top w:val="nil"/>
              <w:left w:val="single" w:sz="4" w:space="0" w:color="auto"/>
              <w:bottom w:val="single" w:sz="4" w:space="0" w:color="auto"/>
              <w:right w:val="single" w:sz="4" w:space="0" w:color="auto"/>
            </w:tcBorders>
            <w:shd w:val="clear" w:color="auto" w:fill="0070C0"/>
            <w:vAlign w:val="center"/>
            <w:hideMark/>
          </w:tcPr>
          <w:p w:rsidR="00BA5E36" w:rsidRPr="00561936" w:rsidRDefault="00BA5E36" w:rsidP="00553B2D">
            <w:pPr>
              <w:spacing w:after="40"/>
              <w:jc w:val="left"/>
              <w:rPr>
                <w:rFonts w:asciiTheme="minorHAnsi" w:hAnsiTheme="minorHAnsi"/>
                <w:color w:val="FFFFFF" w:themeColor="background1"/>
                <w:sz w:val="18"/>
                <w:szCs w:val="18"/>
              </w:rPr>
            </w:pPr>
          </w:p>
        </w:tc>
        <w:tc>
          <w:tcPr>
            <w:tcW w:w="535" w:type="dxa"/>
            <w:vMerge/>
            <w:tcBorders>
              <w:left w:val="single" w:sz="4" w:space="0" w:color="auto"/>
              <w:right w:val="single" w:sz="4" w:space="0" w:color="auto"/>
            </w:tcBorders>
            <w:shd w:val="clear" w:color="auto" w:fill="79B2F7"/>
            <w:vAlign w:val="center"/>
            <w:hideMark/>
          </w:tcPr>
          <w:p w:rsidR="00BA5E36" w:rsidRPr="00561936" w:rsidRDefault="00BA5E36" w:rsidP="00553B2D">
            <w:pPr>
              <w:spacing w:after="40"/>
              <w:jc w:val="left"/>
              <w:rPr>
                <w:rFonts w:asciiTheme="minorHAnsi" w:hAnsiTheme="minorHAnsi"/>
                <w:sz w:val="18"/>
                <w:szCs w:val="18"/>
              </w:rPr>
            </w:pPr>
          </w:p>
        </w:tc>
        <w:tc>
          <w:tcPr>
            <w:tcW w:w="1702" w:type="dxa"/>
            <w:gridSpan w:val="2"/>
            <w:tcBorders>
              <w:top w:val="nil"/>
              <w:left w:val="nil"/>
              <w:bottom w:val="single" w:sz="4" w:space="0" w:color="auto"/>
              <w:right w:val="single" w:sz="4" w:space="0" w:color="auto"/>
            </w:tcBorders>
            <w:shd w:val="clear" w:color="auto" w:fill="91C6E7"/>
            <w:vAlign w:val="center"/>
            <w:hideMark/>
          </w:tcPr>
          <w:p w:rsidR="00BA5E36" w:rsidRPr="00561936" w:rsidRDefault="00BA5E36" w:rsidP="00553B2D">
            <w:pPr>
              <w:spacing w:after="40"/>
              <w:jc w:val="left"/>
              <w:rPr>
                <w:rFonts w:asciiTheme="minorHAnsi" w:hAnsiTheme="minorHAnsi"/>
                <w:sz w:val="18"/>
                <w:szCs w:val="18"/>
              </w:rPr>
            </w:pPr>
            <w:proofErr w:type="spellStart"/>
            <w:r w:rsidRPr="00561936">
              <w:rPr>
                <w:rFonts w:asciiTheme="minorHAnsi" w:hAnsiTheme="minorHAnsi"/>
                <w:sz w:val="18"/>
                <w:szCs w:val="18"/>
              </w:rPr>
              <w:t>Macroinvertebrates</w:t>
            </w:r>
            <w:proofErr w:type="spellEnd"/>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BA5E36" w:rsidRPr="00561936" w:rsidRDefault="00BA5E36" w:rsidP="00553B2D">
            <w:pPr>
              <w:spacing w:after="40"/>
              <w:jc w:val="left"/>
              <w:rPr>
                <w:rFonts w:asciiTheme="minorHAnsi" w:hAnsi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Macroinvertebrate diversity</w:t>
            </w:r>
          </w:p>
        </w:tc>
        <w:tc>
          <w:tcPr>
            <w:tcW w:w="212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A5E36" w:rsidRPr="00561936" w:rsidRDefault="00BA5E36" w:rsidP="00553B2D">
            <w:pPr>
              <w:spacing w:after="40"/>
              <w:jc w:val="left"/>
              <w:rPr>
                <w:rFonts w:asciiTheme="minorHAnsi" w:hAnsiTheme="minorHAnsi"/>
                <w:sz w:val="18"/>
                <w:szCs w:val="18"/>
              </w:rPr>
            </w:pPr>
          </w:p>
        </w:tc>
      </w:tr>
      <w:tr w:rsidR="00BA5E36" w:rsidRPr="00561936" w:rsidTr="00553B2D">
        <w:trPr>
          <w:trHeight w:val="2392"/>
        </w:trPr>
        <w:tc>
          <w:tcPr>
            <w:tcW w:w="1308" w:type="dxa"/>
            <w:vMerge/>
            <w:tcBorders>
              <w:top w:val="nil"/>
              <w:left w:val="single" w:sz="4" w:space="0" w:color="auto"/>
              <w:bottom w:val="single" w:sz="4" w:space="0" w:color="auto"/>
              <w:right w:val="single" w:sz="4" w:space="0" w:color="auto"/>
            </w:tcBorders>
            <w:shd w:val="clear" w:color="auto" w:fill="0070C0"/>
            <w:vAlign w:val="center"/>
            <w:hideMark/>
          </w:tcPr>
          <w:p w:rsidR="00BA5E36" w:rsidRPr="00561936" w:rsidRDefault="00BA5E36" w:rsidP="00553B2D">
            <w:pPr>
              <w:spacing w:after="40"/>
              <w:jc w:val="left"/>
              <w:rPr>
                <w:rFonts w:asciiTheme="minorHAnsi" w:hAnsiTheme="minorHAnsi"/>
                <w:color w:val="FFFFFF" w:themeColor="background1"/>
                <w:sz w:val="18"/>
                <w:szCs w:val="18"/>
              </w:rPr>
            </w:pPr>
          </w:p>
        </w:tc>
        <w:tc>
          <w:tcPr>
            <w:tcW w:w="535" w:type="dxa"/>
            <w:vMerge/>
            <w:tcBorders>
              <w:left w:val="single" w:sz="4" w:space="0" w:color="auto"/>
              <w:right w:val="single" w:sz="4" w:space="0" w:color="auto"/>
            </w:tcBorders>
            <w:shd w:val="clear" w:color="auto" w:fill="79B2F7"/>
            <w:vAlign w:val="center"/>
            <w:hideMark/>
          </w:tcPr>
          <w:p w:rsidR="00BA5E36" w:rsidRPr="00561936" w:rsidRDefault="00BA5E36" w:rsidP="00553B2D">
            <w:pPr>
              <w:spacing w:after="40"/>
              <w:jc w:val="left"/>
              <w:rPr>
                <w:rFonts w:asciiTheme="minorHAnsi" w:hAnsiTheme="minorHAnsi"/>
                <w:sz w:val="18"/>
                <w:szCs w:val="18"/>
              </w:rPr>
            </w:pPr>
          </w:p>
        </w:tc>
        <w:tc>
          <w:tcPr>
            <w:tcW w:w="1702" w:type="dxa"/>
            <w:gridSpan w:val="2"/>
            <w:tcBorders>
              <w:top w:val="nil"/>
              <w:left w:val="single" w:sz="4" w:space="0" w:color="auto"/>
              <w:bottom w:val="single" w:sz="4" w:space="0" w:color="000000"/>
              <w:right w:val="single" w:sz="4" w:space="0" w:color="auto"/>
            </w:tcBorders>
            <w:shd w:val="clear" w:color="auto" w:fill="91C6E7"/>
            <w:vAlign w:val="center"/>
            <w:hideMark/>
          </w:tcPr>
          <w:p w:rsidR="00BA5E36" w:rsidRPr="00561936" w:rsidRDefault="00BA5E36" w:rsidP="00553B2D">
            <w:pPr>
              <w:spacing w:after="40"/>
              <w:jc w:val="left"/>
              <w:rPr>
                <w:rFonts w:asciiTheme="minorHAnsi" w:hAnsiTheme="minorHAnsi"/>
                <w:sz w:val="18"/>
                <w:szCs w:val="18"/>
              </w:rPr>
            </w:pPr>
            <w:r w:rsidRPr="00561936">
              <w:rPr>
                <w:rFonts w:asciiTheme="minorHAnsi" w:hAnsiTheme="minorHAnsi"/>
                <w:sz w:val="18"/>
                <w:szCs w:val="18"/>
              </w:rPr>
              <w:t>Fish</w:t>
            </w: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Improved distribution of key short and long-lived fish species across the Basin</w:t>
            </w:r>
          </w:p>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 xml:space="preserve">Improved breeding success for short-lived species, long-lived species and mulloway </w:t>
            </w:r>
          </w:p>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 xml:space="preserve">Improved populations of short-lived species, long-lived species, Murray cod and golden perch </w:t>
            </w: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Fish diversity</w:t>
            </w:r>
          </w:p>
          <w:p w:rsidR="00BA5E36" w:rsidRPr="00553B2D" w:rsidRDefault="00BA5E36" w:rsidP="00553B2D">
            <w:pPr>
              <w:pStyle w:val="ListBullet"/>
              <w:spacing w:after="40"/>
              <w:ind w:left="175" w:hanging="175"/>
              <w:jc w:val="left"/>
              <w:rPr>
                <w:rFonts w:asciiTheme="minorHAnsi" w:hAnsiTheme="minorHAnsi"/>
                <w:sz w:val="18"/>
                <w:szCs w:val="18"/>
              </w:rPr>
            </w:pPr>
            <w:r w:rsidRPr="00553B2D">
              <w:rPr>
                <w:rFonts w:asciiTheme="minorHAnsi" w:hAnsiTheme="minorHAnsi"/>
                <w:sz w:val="18"/>
                <w:szCs w:val="18"/>
              </w:rPr>
              <w:t>Larval and juvenile recruitment</w:t>
            </w:r>
          </w:p>
        </w:tc>
        <w:tc>
          <w:tcPr>
            <w:tcW w:w="212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A5E36" w:rsidRPr="00561936" w:rsidRDefault="00BA5E36" w:rsidP="00553B2D">
            <w:pPr>
              <w:spacing w:after="40"/>
              <w:jc w:val="left"/>
              <w:rPr>
                <w:rFonts w:asciiTheme="minorHAnsi" w:hAnsiTheme="minorHAnsi"/>
                <w:sz w:val="18"/>
                <w:szCs w:val="18"/>
              </w:rPr>
            </w:pPr>
            <w:r w:rsidRPr="00561936">
              <w:rPr>
                <w:rFonts w:asciiTheme="minorHAnsi" w:hAnsiTheme="minorHAnsi"/>
                <w:sz w:val="18"/>
                <w:szCs w:val="18"/>
              </w:rPr>
              <w:t>• Condition</w:t>
            </w:r>
          </w:p>
          <w:p w:rsidR="00070356" w:rsidRDefault="00BA5E36" w:rsidP="00553B2D">
            <w:pPr>
              <w:spacing w:after="40"/>
              <w:jc w:val="left"/>
              <w:rPr>
                <w:rFonts w:asciiTheme="minorHAnsi" w:hAnsiTheme="minorHAnsi"/>
                <w:sz w:val="18"/>
                <w:szCs w:val="18"/>
              </w:rPr>
            </w:pPr>
            <w:r w:rsidRPr="00561936">
              <w:rPr>
                <w:rFonts w:asciiTheme="minorHAnsi" w:hAnsiTheme="minorHAnsi"/>
                <w:sz w:val="18"/>
                <w:szCs w:val="18"/>
              </w:rPr>
              <w:t>• Larval abundance</w:t>
            </w:r>
            <w:r w:rsidRPr="00561936">
              <w:rPr>
                <w:rFonts w:asciiTheme="minorHAnsi" w:hAnsiTheme="minorHAnsi"/>
                <w:sz w:val="18"/>
                <w:szCs w:val="18"/>
              </w:rPr>
              <w:br/>
              <w:t>• Reproduction</w:t>
            </w:r>
          </w:p>
        </w:tc>
      </w:tr>
      <w:tr w:rsidR="00BA5E36" w:rsidRPr="00561936" w:rsidTr="00553B2D">
        <w:trPr>
          <w:trHeight w:val="278"/>
        </w:trPr>
        <w:tc>
          <w:tcPr>
            <w:tcW w:w="1308" w:type="dxa"/>
            <w:vMerge/>
            <w:tcBorders>
              <w:top w:val="nil"/>
              <w:left w:val="single" w:sz="4" w:space="0" w:color="auto"/>
              <w:bottom w:val="single" w:sz="4" w:space="0" w:color="auto"/>
              <w:right w:val="single" w:sz="4" w:space="0" w:color="auto"/>
            </w:tcBorders>
            <w:shd w:val="clear" w:color="auto" w:fill="0070C0"/>
            <w:vAlign w:val="center"/>
            <w:hideMark/>
          </w:tcPr>
          <w:p w:rsidR="00BA5E36" w:rsidRPr="00561936" w:rsidRDefault="00BA5E36" w:rsidP="00553B2D">
            <w:pPr>
              <w:spacing w:after="40"/>
              <w:jc w:val="left"/>
              <w:rPr>
                <w:rFonts w:asciiTheme="minorHAnsi" w:hAnsiTheme="minorHAnsi"/>
                <w:color w:val="FFFFFF" w:themeColor="background1"/>
                <w:sz w:val="18"/>
                <w:szCs w:val="18"/>
              </w:rPr>
            </w:pPr>
          </w:p>
        </w:tc>
        <w:tc>
          <w:tcPr>
            <w:tcW w:w="535" w:type="dxa"/>
            <w:vMerge/>
            <w:tcBorders>
              <w:left w:val="single" w:sz="4" w:space="0" w:color="auto"/>
              <w:right w:val="single" w:sz="4" w:space="0" w:color="auto"/>
            </w:tcBorders>
            <w:shd w:val="clear" w:color="auto" w:fill="79B2F7"/>
            <w:vAlign w:val="center"/>
            <w:hideMark/>
          </w:tcPr>
          <w:p w:rsidR="00BA5E36" w:rsidRPr="00561936" w:rsidRDefault="00BA5E36" w:rsidP="00553B2D">
            <w:pPr>
              <w:spacing w:after="40"/>
              <w:jc w:val="left"/>
              <w:rPr>
                <w:rFonts w:asciiTheme="minorHAnsi" w:hAnsiTheme="minorHAnsi"/>
                <w:sz w:val="18"/>
                <w:szCs w:val="18"/>
              </w:rPr>
            </w:pPr>
          </w:p>
        </w:tc>
        <w:tc>
          <w:tcPr>
            <w:tcW w:w="1702" w:type="dxa"/>
            <w:gridSpan w:val="2"/>
            <w:tcBorders>
              <w:top w:val="nil"/>
              <w:left w:val="single" w:sz="4" w:space="0" w:color="auto"/>
              <w:bottom w:val="single" w:sz="4" w:space="0" w:color="000000"/>
              <w:right w:val="single" w:sz="4" w:space="0" w:color="auto"/>
            </w:tcBorders>
            <w:shd w:val="clear" w:color="auto" w:fill="91C6E7"/>
            <w:vAlign w:val="center"/>
            <w:hideMark/>
          </w:tcPr>
          <w:p w:rsidR="00BA5E36" w:rsidRPr="00561936" w:rsidRDefault="00BA5E36" w:rsidP="00553B2D">
            <w:pPr>
              <w:spacing w:after="40"/>
              <w:jc w:val="left"/>
              <w:rPr>
                <w:rFonts w:asciiTheme="minorHAnsi" w:hAnsiTheme="minorHAnsi"/>
                <w:sz w:val="18"/>
                <w:szCs w:val="18"/>
              </w:rPr>
            </w:pPr>
            <w:r w:rsidRPr="00561936">
              <w:rPr>
                <w:rFonts w:asciiTheme="minorHAnsi" w:hAnsiTheme="minorHAnsi"/>
                <w:sz w:val="18"/>
                <w:szCs w:val="18"/>
              </w:rPr>
              <w:t>Waterbirds</w:t>
            </w: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Maintained current species diversity of all current Basin waterbirds and current migratory shorebirds at the Coorong</w:t>
            </w:r>
          </w:p>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Increased abundance with a  20–25</w:t>
            </w:r>
            <w:r w:rsidR="005539CE">
              <w:rPr>
                <w:rFonts w:asciiTheme="minorHAnsi" w:hAnsiTheme="minorHAnsi"/>
                <w:sz w:val="18"/>
                <w:szCs w:val="18"/>
              </w:rPr>
              <w:t xml:space="preserve"> per cent</w:t>
            </w:r>
            <w:r w:rsidRPr="00561936">
              <w:rPr>
                <w:rFonts w:asciiTheme="minorHAnsi" w:hAnsiTheme="minorHAnsi"/>
                <w:sz w:val="18"/>
                <w:szCs w:val="18"/>
              </w:rPr>
              <w:t xml:space="preserve"> increase in waterbirds by 2024</w:t>
            </w:r>
          </w:p>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Improved breeding events for colonial nesting waterbird species and an increase in nests and broods for other waterbirds</w:t>
            </w:r>
          </w:p>
        </w:tc>
        <w:tc>
          <w:tcPr>
            <w:tcW w:w="1985" w:type="dxa"/>
            <w:tcBorders>
              <w:top w:val="single" w:sz="4" w:space="0" w:color="auto"/>
              <w:left w:val="single" w:sz="4" w:space="0" w:color="auto"/>
              <w:right w:val="single" w:sz="4" w:space="0" w:color="auto"/>
            </w:tcBorders>
            <w:shd w:val="clear" w:color="auto" w:fill="92D050"/>
            <w:vAlign w:val="center"/>
            <w:hideMark/>
          </w:tcPr>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Waterbird diversity</w:t>
            </w:r>
          </w:p>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Waterbird population condition (Abundance and Population structure</w:t>
            </w:r>
            <w:r>
              <w:rPr>
                <w:rFonts w:asciiTheme="minorHAnsi" w:hAnsiTheme="minorHAnsi"/>
                <w:sz w:val="18"/>
                <w:szCs w:val="18"/>
              </w:rPr>
              <w:t>)</w:t>
            </w:r>
            <w:r w:rsidRPr="00561936">
              <w:rPr>
                <w:rFonts w:asciiTheme="minorHAnsi" w:hAnsiTheme="minorHAnsi"/>
                <w:sz w:val="18"/>
                <w:szCs w:val="18"/>
              </w:rPr>
              <w:t> </w:t>
            </w:r>
          </w:p>
        </w:tc>
        <w:tc>
          <w:tcPr>
            <w:tcW w:w="2126" w:type="dxa"/>
            <w:tcBorders>
              <w:top w:val="single" w:sz="4" w:space="0" w:color="auto"/>
              <w:left w:val="nil"/>
              <w:right w:val="single" w:sz="4" w:space="0" w:color="auto"/>
            </w:tcBorders>
            <w:shd w:val="clear" w:color="auto" w:fill="D6E3BC" w:themeFill="accent3" w:themeFillTint="66"/>
            <w:vAlign w:val="center"/>
          </w:tcPr>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Survival and condition</w:t>
            </w:r>
          </w:p>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Chicks</w:t>
            </w:r>
          </w:p>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Fledglings</w:t>
            </w:r>
          </w:p>
        </w:tc>
      </w:tr>
      <w:tr w:rsidR="00BA5E36" w:rsidRPr="00561936" w:rsidTr="00553B2D">
        <w:trPr>
          <w:trHeight w:val="565"/>
        </w:trPr>
        <w:tc>
          <w:tcPr>
            <w:tcW w:w="1308" w:type="dxa"/>
            <w:vMerge/>
            <w:tcBorders>
              <w:top w:val="nil"/>
              <w:left w:val="single" w:sz="4" w:space="0" w:color="auto"/>
              <w:bottom w:val="single" w:sz="4" w:space="0" w:color="auto"/>
              <w:right w:val="single" w:sz="4" w:space="0" w:color="auto"/>
            </w:tcBorders>
            <w:shd w:val="clear" w:color="auto" w:fill="0070C0"/>
            <w:vAlign w:val="center"/>
            <w:hideMark/>
          </w:tcPr>
          <w:p w:rsidR="00BA5E36" w:rsidRPr="00561936" w:rsidRDefault="00BA5E36" w:rsidP="00553B2D">
            <w:pPr>
              <w:spacing w:after="40"/>
              <w:jc w:val="left"/>
              <w:rPr>
                <w:rFonts w:asciiTheme="minorHAnsi" w:hAnsiTheme="minorHAnsi"/>
                <w:color w:val="FFFFFF" w:themeColor="background1"/>
                <w:sz w:val="18"/>
                <w:szCs w:val="18"/>
              </w:rPr>
            </w:pPr>
          </w:p>
        </w:tc>
        <w:tc>
          <w:tcPr>
            <w:tcW w:w="535" w:type="dxa"/>
            <w:vMerge/>
            <w:tcBorders>
              <w:left w:val="single" w:sz="4" w:space="0" w:color="auto"/>
              <w:bottom w:val="single" w:sz="4" w:space="0" w:color="auto"/>
              <w:right w:val="single" w:sz="4" w:space="0" w:color="auto"/>
            </w:tcBorders>
            <w:shd w:val="clear" w:color="auto" w:fill="79B2F7"/>
            <w:vAlign w:val="center"/>
            <w:hideMark/>
          </w:tcPr>
          <w:p w:rsidR="00BA5E36" w:rsidRPr="00561936" w:rsidRDefault="00BA5E36" w:rsidP="00553B2D">
            <w:pPr>
              <w:spacing w:after="40"/>
              <w:jc w:val="left"/>
              <w:rPr>
                <w:rFonts w:asciiTheme="minorHAnsi" w:hAnsiTheme="minorHAnsi"/>
                <w:sz w:val="18"/>
                <w:szCs w:val="18"/>
              </w:rPr>
            </w:pPr>
          </w:p>
        </w:tc>
        <w:tc>
          <w:tcPr>
            <w:tcW w:w="1702" w:type="dxa"/>
            <w:gridSpan w:val="2"/>
            <w:tcBorders>
              <w:top w:val="nil"/>
              <w:left w:val="single" w:sz="4" w:space="0" w:color="auto"/>
              <w:bottom w:val="single" w:sz="4" w:space="0" w:color="auto"/>
              <w:right w:val="single" w:sz="4" w:space="0" w:color="auto"/>
            </w:tcBorders>
            <w:shd w:val="clear" w:color="auto" w:fill="91C6E7"/>
            <w:vAlign w:val="center"/>
            <w:hideMark/>
          </w:tcPr>
          <w:p w:rsidR="00BA5E36" w:rsidRPr="00561936" w:rsidRDefault="00BA5E36" w:rsidP="00553B2D">
            <w:pPr>
              <w:spacing w:after="40"/>
              <w:jc w:val="left"/>
              <w:rPr>
                <w:rFonts w:asciiTheme="minorHAnsi" w:hAnsiTheme="minorHAnsi"/>
                <w:sz w:val="18"/>
                <w:szCs w:val="18"/>
              </w:rPr>
            </w:pPr>
            <w:r w:rsidRPr="00561936">
              <w:rPr>
                <w:rFonts w:asciiTheme="minorHAnsi" w:hAnsiTheme="minorHAnsi"/>
                <w:sz w:val="18"/>
                <w:szCs w:val="18"/>
              </w:rPr>
              <w:t>Other vertebrate diversity</w:t>
            </w: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BA5E36" w:rsidRPr="00561936" w:rsidRDefault="00BA5E36" w:rsidP="00553B2D">
            <w:pPr>
              <w:spacing w:after="40"/>
              <w:jc w:val="left"/>
              <w:rPr>
                <w:rFonts w:asciiTheme="minorHAnsi" w:hAnsi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A5E36" w:rsidRPr="00561936" w:rsidRDefault="00553B2D" w:rsidP="00553B2D">
            <w:pPr>
              <w:pStyle w:val="ListBullet"/>
              <w:spacing w:after="40"/>
              <w:ind w:left="175" w:hanging="175"/>
              <w:jc w:val="left"/>
              <w:rPr>
                <w:rFonts w:asciiTheme="minorHAnsi" w:hAnsiTheme="minorHAnsi"/>
                <w:sz w:val="18"/>
                <w:szCs w:val="18"/>
              </w:rPr>
            </w:pPr>
            <w:r>
              <w:rPr>
                <w:rFonts w:asciiTheme="minorHAnsi" w:hAnsiTheme="minorHAnsi"/>
                <w:sz w:val="18"/>
                <w:szCs w:val="18"/>
              </w:rPr>
              <w:t> </w:t>
            </w:r>
            <w:r w:rsidR="00BA5E36" w:rsidRPr="00561936">
              <w:rPr>
                <w:rFonts w:asciiTheme="minorHAnsi" w:hAnsiTheme="minorHAnsi"/>
                <w:sz w:val="18"/>
                <w:szCs w:val="18"/>
              </w:rPr>
              <w:t>Adult abundance</w:t>
            </w:r>
          </w:p>
        </w:tc>
        <w:tc>
          <w:tcPr>
            <w:tcW w:w="212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Young </w:t>
            </w:r>
          </w:p>
        </w:tc>
      </w:tr>
      <w:tr w:rsidR="006F5972" w:rsidRPr="00561936" w:rsidTr="006F5972">
        <w:trPr>
          <w:trHeight w:val="600"/>
        </w:trPr>
        <w:tc>
          <w:tcPr>
            <w:tcW w:w="1308" w:type="dxa"/>
            <w:vMerge w:val="restart"/>
            <w:tcBorders>
              <w:top w:val="nil"/>
              <w:left w:val="single" w:sz="4" w:space="0" w:color="auto"/>
              <w:right w:val="single" w:sz="4" w:space="0" w:color="auto"/>
            </w:tcBorders>
            <w:shd w:val="clear" w:color="auto" w:fill="0070C0"/>
            <w:vAlign w:val="center"/>
            <w:hideMark/>
          </w:tcPr>
          <w:p w:rsidR="006F5972" w:rsidRPr="00561936" w:rsidRDefault="006F5972" w:rsidP="00553B2D">
            <w:pPr>
              <w:spacing w:after="40"/>
              <w:jc w:val="left"/>
              <w:rPr>
                <w:rFonts w:asciiTheme="minorHAnsi" w:hAnsiTheme="minorHAnsi"/>
                <w:color w:val="FFFFFF" w:themeColor="background1"/>
                <w:sz w:val="18"/>
                <w:szCs w:val="18"/>
              </w:rPr>
            </w:pPr>
            <w:r w:rsidRPr="00561936">
              <w:rPr>
                <w:rFonts w:asciiTheme="minorHAnsi" w:hAnsiTheme="minorHAnsi"/>
                <w:color w:val="FFFFFF" w:themeColor="background1"/>
                <w:sz w:val="18"/>
                <w:szCs w:val="18"/>
              </w:rPr>
              <w:t>Ecosystem Function</w:t>
            </w:r>
            <w:r w:rsidRPr="00561936">
              <w:rPr>
                <w:rFonts w:asciiTheme="minorHAnsi" w:hAnsiTheme="minorHAnsi"/>
                <w:color w:val="FFFFFF" w:themeColor="background1"/>
                <w:sz w:val="18"/>
                <w:szCs w:val="18"/>
              </w:rPr>
              <w:br/>
            </w:r>
            <w:r w:rsidRPr="00561936">
              <w:rPr>
                <w:rFonts w:asciiTheme="minorHAnsi" w:hAnsiTheme="minorHAnsi"/>
                <w:color w:val="FFFFFF" w:themeColor="background1"/>
                <w:sz w:val="18"/>
                <w:szCs w:val="18"/>
              </w:rPr>
              <w:br/>
              <w:t>(Basin Plan S. 8.06)</w:t>
            </w:r>
          </w:p>
        </w:tc>
        <w:tc>
          <w:tcPr>
            <w:tcW w:w="2237" w:type="dxa"/>
            <w:gridSpan w:val="3"/>
            <w:vMerge w:val="restart"/>
            <w:tcBorders>
              <w:top w:val="single" w:sz="4" w:space="0" w:color="auto"/>
              <w:left w:val="single" w:sz="4" w:space="0" w:color="auto"/>
              <w:bottom w:val="single" w:sz="4" w:space="0" w:color="auto"/>
              <w:right w:val="single" w:sz="4" w:space="0" w:color="auto"/>
            </w:tcBorders>
            <w:shd w:val="clear" w:color="auto" w:fill="79B2F7"/>
            <w:vAlign w:val="center"/>
            <w:hideMark/>
          </w:tcPr>
          <w:p w:rsidR="006F5972" w:rsidRPr="00561936" w:rsidRDefault="006F5972" w:rsidP="00553B2D">
            <w:pPr>
              <w:spacing w:after="40"/>
              <w:jc w:val="left"/>
              <w:rPr>
                <w:rFonts w:asciiTheme="minorHAnsi" w:hAnsiTheme="minorHAnsi"/>
                <w:sz w:val="18"/>
                <w:szCs w:val="18"/>
              </w:rPr>
            </w:pPr>
            <w:r w:rsidRPr="00561936">
              <w:rPr>
                <w:rFonts w:asciiTheme="minorHAnsi" w:hAnsiTheme="minorHAnsi"/>
                <w:sz w:val="18"/>
                <w:szCs w:val="18"/>
              </w:rPr>
              <w:t>Connectivity</w:t>
            </w:r>
          </w:p>
          <w:p w:rsidR="006F5972" w:rsidRPr="00561936" w:rsidRDefault="006F5972" w:rsidP="00553B2D">
            <w:pPr>
              <w:spacing w:after="40"/>
              <w:jc w:val="left"/>
              <w:rPr>
                <w:rFonts w:asciiTheme="minorHAnsi" w:hAnsiTheme="minorHAnsi"/>
                <w:sz w:val="18"/>
                <w:szCs w:val="18"/>
              </w:rPr>
            </w:pPr>
            <w:r w:rsidRPr="00561936">
              <w:rPr>
                <w:rFonts w:asciiTheme="minorHAnsi" w:hAnsiTheme="minorHAnsi"/>
                <w:sz w:val="18"/>
                <w:szCs w:val="18"/>
              </w:rPr>
              <w:t> </w:t>
            </w: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6F5972" w:rsidRPr="00561936" w:rsidRDefault="006F5972"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Maintained base flows - at least 60</w:t>
            </w:r>
            <w:r>
              <w:rPr>
                <w:rFonts w:asciiTheme="minorHAnsi" w:hAnsiTheme="minorHAnsi"/>
                <w:sz w:val="18"/>
                <w:szCs w:val="18"/>
              </w:rPr>
              <w:t xml:space="preserve"> per cent</w:t>
            </w:r>
            <w:r w:rsidRPr="00561936">
              <w:rPr>
                <w:rFonts w:asciiTheme="minorHAnsi" w:hAnsiTheme="minorHAnsi"/>
                <w:sz w:val="18"/>
                <w:szCs w:val="18"/>
              </w:rPr>
              <w:t xml:space="preserve"> of natural levels</w:t>
            </w:r>
          </w:p>
          <w:p w:rsidR="006F5972" w:rsidRPr="00561936" w:rsidRDefault="006F5972"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Improved overall flow</w:t>
            </w:r>
          </w:p>
          <w:p w:rsidR="006F5972" w:rsidRPr="00561936" w:rsidRDefault="006F5972"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Maintained connectivity in areas where it is relatively unaffected</w:t>
            </w:r>
          </w:p>
          <w:p w:rsidR="006F5972" w:rsidRPr="00561936" w:rsidRDefault="006F5972"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Improved connectivity with bank-full and/or low floodplain flows</w:t>
            </w:r>
          </w:p>
          <w:p w:rsidR="00775B3B" w:rsidRPr="00561936" w:rsidRDefault="006F5972" w:rsidP="005C7253">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Maintain the Lower Lakes above sea level</w:t>
            </w: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F5972" w:rsidRPr="00561936" w:rsidRDefault="006F5972" w:rsidP="00553B2D">
            <w:pPr>
              <w:pStyle w:val="ListBullet"/>
              <w:numPr>
                <w:ilvl w:val="0"/>
                <w:numId w:val="0"/>
              </w:numPr>
              <w:spacing w:after="40"/>
              <w:ind w:left="175"/>
              <w:jc w:val="left"/>
              <w:rPr>
                <w:rFonts w:asciiTheme="minorHAnsi" w:hAnsiTheme="minorHAnsi"/>
                <w:sz w:val="18"/>
                <w:szCs w:val="18"/>
              </w:rPr>
            </w:pPr>
          </w:p>
        </w:tc>
        <w:tc>
          <w:tcPr>
            <w:tcW w:w="212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6F5972" w:rsidRDefault="006F5972"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Hydrological connectivity including end of system flows</w:t>
            </w:r>
          </w:p>
        </w:tc>
      </w:tr>
      <w:tr w:rsidR="006F5972" w:rsidRPr="00561936" w:rsidTr="006F5972">
        <w:trPr>
          <w:trHeight w:val="300"/>
        </w:trPr>
        <w:tc>
          <w:tcPr>
            <w:tcW w:w="1308" w:type="dxa"/>
            <w:vMerge/>
            <w:tcBorders>
              <w:left w:val="single" w:sz="4" w:space="0" w:color="auto"/>
              <w:right w:val="single" w:sz="4" w:space="0" w:color="auto"/>
            </w:tcBorders>
            <w:shd w:val="clear" w:color="auto" w:fill="0070C0"/>
            <w:vAlign w:val="center"/>
            <w:hideMark/>
          </w:tcPr>
          <w:p w:rsidR="006F5972" w:rsidRPr="00561936" w:rsidRDefault="006F5972" w:rsidP="00553B2D">
            <w:pPr>
              <w:spacing w:after="40"/>
              <w:jc w:val="left"/>
              <w:rPr>
                <w:rFonts w:asciiTheme="minorHAnsi" w:hAnsiTheme="minorHAnsi"/>
                <w:color w:val="FFFFFF" w:themeColor="background1"/>
                <w:sz w:val="18"/>
                <w:szCs w:val="18"/>
              </w:rPr>
            </w:pPr>
          </w:p>
        </w:tc>
        <w:tc>
          <w:tcPr>
            <w:tcW w:w="2237" w:type="dxa"/>
            <w:gridSpan w:val="3"/>
            <w:vMerge/>
            <w:tcBorders>
              <w:left w:val="single" w:sz="4" w:space="0" w:color="auto"/>
              <w:bottom w:val="single" w:sz="4" w:space="0" w:color="auto"/>
              <w:right w:val="single" w:sz="4" w:space="0" w:color="auto"/>
            </w:tcBorders>
            <w:shd w:val="clear" w:color="auto" w:fill="79B2F7"/>
            <w:vAlign w:val="center"/>
            <w:hideMark/>
          </w:tcPr>
          <w:p w:rsidR="006F5972" w:rsidRPr="00561936" w:rsidRDefault="006F5972" w:rsidP="00553B2D">
            <w:pPr>
              <w:spacing w:after="40"/>
              <w:jc w:val="left"/>
              <w:rPr>
                <w:rFonts w:asciiTheme="minorHAnsi" w:hAnsiTheme="minorHAnsi"/>
                <w:sz w:val="18"/>
                <w:szCs w:val="18"/>
              </w:rPr>
            </w:pPr>
          </w:p>
        </w:tc>
        <w:tc>
          <w:tcPr>
            <w:tcW w:w="2834" w:type="dxa"/>
            <w:tcBorders>
              <w:left w:val="nil"/>
              <w:bottom w:val="single" w:sz="4" w:space="0" w:color="auto"/>
              <w:right w:val="single" w:sz="4" w:space="0" w:color="auto"/>
            </w:tcBorders>
            <w:shd w:val="clear" w:color="auto" w:fill="FABF8F" w:themeFill="accent6" w:themeFillTint="99"/>
          </w:tcPr>
          <w:p w:rsidR="00775B3B" w:rsidRPr="00561936" w:rsidRDefault="006F5972" w:rsidP="005C7253">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Improved movement with more native fish using fish passages</w:t>
            </w:r>
          </w:p>
        </w:tc>
        <w:tc>
          <w:tcPr>
            <w:tcW w:w="1985" w:type="dxa"/>
            <w:tcBorders>
              <w:top w:val="nil"/>
              <w:left w:val="single" w:sz="4" w:space="0" w:color="auto"/>
              <w:bottom w:val="single" w:sz="4" w:space="0" w:color="auto"/>
              <w:right w:val="single" w:sz="4" w:space="0" w:color="auto"/>
            </w:tcBorders>
            <w:shd w:val="clear" w:color="auto" w:fill="92D050"/>
            <w:vAlign w:val="center"/>
            <w:hideMark/>
          </w:tcPr>
          <w:p w:rsidR="006F5972" w:rsidRPr="00561936" w:rsidRDefault="006F5972" w:rsidP="00553B2D">
            <w:pPr>
              <w:pStyle w:val="ListBullet"/>
              <w:numPr>
                <w:ilvl w:val="0"/>
                <w:numId w:val="0"/>
              </w:numPr>
              <w:spacing w:after="40"/>
              <w:jc w:val="left"/>
              <w:rPr>
                <w:rFonts w:asciiTheme="minorHAnsi" w:hAnsiTheme="minorHAnsi"/>
                <w:sz w:val="18"/>
                <w:szCs w:val="18"/>
              </w:rPr>
            </w:pPr>
          </w:p>
        </w:tc>
        <w:tc>
          <w:tcPr>
            <w:tcW w:w="2126" w:type="dxa"/>
            <w:tcBorders>
              <w:top w:val="nil"/>
              <w:left w:val="nil"/>
              <w:bottom w:val="single" w:sz="4" w:space="0" w:color="auto"/>
              <w:right w:val="single" w:sz="4" w:space="0" w:color="auto"/>
            </w:tcBorders>
            <w:shd w:val="clear" w:color="auto" w:fill="D6E3BC" w:themeFill="accent3" w:themeFillTint="66"/>
            <w:vAlign w:val="center"/>
          </w:tcPr>
          <w:p w:rsidR="006F5972" w:rsidRPr="00561936" w:rsidRDefault="006F5972"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 xml:space="preserve">Biotic dispersal and </w:t>
            </w:r>
            <w:r>
              <w:rPr>
                <w:rFonts w:asciiTheme="minorHAnsi" w:hAnsiTheme="minorHAnsi"/>
                <w:sz w:val="18"/>
                <w:szCs w:val="18"/>
              </w:rPr>
              <w:t>m</w:t>
            </w:r>
            <w:r w:rsidRPr="00561936">
              <w:rPr>
                <w:rFonts w:asciiTheme="minorHAnsi" w:hAnsiTheme="minorHAnsi"/>
                <w:sz w:val="18"/>
                <w:szCs w:val="18"/>
              </w:rPr>
              <w:t>ovement</w:t>
            </w:r>
          </w:p>
        </w:tc>
      </w:tr>
      <w:tr w:rsidR="006F5972" w:rsidRPr="00561936" w:rsidTr="006F5972">
        <w:trPr>
          <w:trHeight w:val="300"/>
        </w:trPr>
        <w:tc>
          <w:tcPr>
            <w:tcW w:w="1308" w:type="dxa"/>
            <w:vMerge/>
            <w:tcBorders>
              <w:left w:val="single" w:sz="4" w:space="0" w:color="auto"/>
              <w:right w:val="single" w:sz="4" w:space="0" w:color="auto"/>
            </w:tcBorders>
            <w:shd w:val="clear" w:color="auto" w:fill="0070C0"/>
            <w:vAlign w:val="center"/>
            <w:hideMark/>
          </w:tcPr>
          <w:p w:rsidR="006F5972" w:rsidRPr="00561936" w:rsidRDefault="006F5972" w:rsidP="00553B2D">
            <w:pPr>
              <w:spacing w:after="40"/>
              <w:jc w:val="left"/>
              <w:rPr>
                <w:rFonts w:asciiTheme="minorHAnsi" w:hAnsiTheme="minorHAnsi"/>
                <w:color w:val="FFFFFF" w:themeColor="background1"/>
                <w:sz w:val="18"/>
                <w:szCs w:val="18"/>
              </w:rPr>
            </w:pPr>
          </w:p>
        </w:tc>
        <w:tc>
          <w:tcPr>
            <w:tcW w:w="2237" w:type="dxa"/>
            <w:gridSpan w:val="3"/>
            <w:vMerge/>
            <w:tcBorders>
              <w:left w:val="single" w:sz="4" w:space="0" w:color="auto"/>
              <w:bottom w:val="single" w:sz="4" w:space="0" w:color="auto"/>
              <w:right w:val="single" w:sz="4" w:space="0" w:color="auto"/>
            </w:tcBorders>
            <w:shd w:val="clear" w:color="auto" w:fill="79B2F7"/>
            <w:vAlign w:val="center"/>
            <w:hideMark/>
          </w:tcPr>
          <w:p w:rsidR="006F5972" w:rsidRPr="00561936" w:rsidRDefault="006F5972" w:rsidP="00553B2D">
            <w:pPr>
              <w:spacing w:after="40"/>
              <w:jc w:val="left"/>
              <w:rPr>
                <w:rFonts w:asciiTheme="minorHAnsi" w:hAnsiTheme="minorHAnsi"/>
                <w:sz w:val="18"/>
                <w:szCs w:val="18"/>
              </w:rPr>
            </w:pP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6F5972" w:rsidRPr="00561936" w:rsidRDefault="006F5972" w:rsidP="00553B2D">
            <w:pPr>
              <w:spacing w:after="40"/>
              <w:jc w:val="left"/>
              <w:rPr>
                <w:rFonts w:asciiTheme="minorHAnsi" w:hAnsiTheme="minorHAnsi"/>
                <w:sz w:val="18"/>
                <w:szCs w:val="18"/>
              </w:rPr>
            </w:pPr>
          </w:p>
        </w:tc>
        <w:tc>
          <w:tcPr>
            <w:tcW w:w="1985" w:type="dxa"/>
            <w:tcBorders>
              <w:top w:val="nil"/>
              <w:left w:val="single" w:sz="4" w:space="0" w:color="auto"/>
              <w:bottom w:val="single" w:sz="4" w:space="0" w:color="auto"/>
              <w:right w:val="single" w:sz="4" w:space="0" w:color="auto"/>
            </w:tcBorders>
            <w:shd w:val="clear" w:color="auto" w:fill="92D050"/>
            <w:vAlign w:val="center"/>
            <w:hideMark/>
          </w:tcPr>
          <w:p w:rsidR="006F5972" w:rsidRPr="00561936" w:rsidRDefault="006F5972" w:rsidP="00553B2D">
            <w:pPr>
              <w:pStyle w:val="ListBullet"/>
              <w:numPr>
                <w:ilvl w:val="0"/>
                <w:numId w:val="0"/>
              </w:numPr>
              <w:spacing w:after="40"/>
              <w:ind w:left="369" w:hanging="369"/>
              <w:jc w:val="left"/>
              <w:rPr>
                <w:rFonts w:asciiTheme="minorHAnsi" w:hAnsiTheme="minorHAnsi"/>
                <w:sz w:val="18"/>
                <w:szCs w:val="18"/>
              </w:rPr>
            </w:pPr>
          </w:p>
        </w:tc>
        <w:tc>
          <w:tcPr>
            <w:tcW w:w="2126" w:type="dxa"/>
            <w:tcBorders>
              <w:top w:val="nil"/>
              <w:left w:val="nil"/>
              <w:bottom w:val="single" w:sz="4" w:space="0" w:color="auto"/>
              <w:right w:val="single" w:sz="4" w:space="0" w:color="auto"/>
            </w:tcBorders>
            <w:shd w:val="clear" w:color="auto" w:fill="D6E3BC" w:themeFill="accent3" w:themeFillTint="66"/>
            <w:vAlign w:val="center"/>
          </w:tcPr>
          <w:p w:rsidR="006F5972" w:rsidRPr="00561936" w:rsidRDefault="006F5972"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Sediment transport</w:t>
            </w:r>
          </w:p>
        </w:tc>
      </w:tr>
      <w:tr w:rsidR="006F5972" w:rsidRPr="00561936" w:rsidTr="006F5972">
        <w:trPr>
          <w:trHeight w:val="300"/>
        </w:trPr>
        <w:tc>
          <w:tcPr>
            <w:tcW w:w="1308" w:type="dxa"/>
            <w:vMerge/>
            <w:tcBorders>
              <w:left w:val="single" w:sz="4" w:space="0" w:color="auto"/>
              <w:right w:val="single" w:sz="4" w:space="0" w:color="auto"/>
            </w:tcBorders>
            <w:shd w:val="clear" w:color="auto" w:fill="0070C0"/>
            <w:vAlign w:val="center"/>
            <w:hideMark/>
          </w:tcPr>
          <w:p w:rsidR="006F5972" w:rsidRPr="00561936" w:rsidRDefault="006F5972" w:rsidP="00553B2D">
            <w:pPr>
              <w:spacing w:after="40"/>
              <w:jc w:val="left"/>
              <w:rPr>
                <w:rFonts w:asciiTheme="minorHAnsi" w:hAnsiTheme="minorHAnsi"/>
                <w:color w:val="FFFFFF" w:themeColor="background1"/>
                <w:sz w:val="18"/>
                <w:szCs w:val="18"/>
              </w:rPr>
            </w:pPr>
          </w:p>
        </w:tc>
        <w:tc>
          <w:tcPr>
            <w:tcW w:w="2237" w:type="dxa"/>
            <w:gridSpan w:val="3"/>
            <w:vMerge w:val="restart"/>
            <w:tcBorders>
              <w:top w:val="single" w:sz="4" w:space="0" w:color="auto"/>
              <w:left w:val="single" w:sz="4" w:space="0" w:color="auto"/>
              <w:right w:val="single" w:sz="4" w:space="0" w:color="auto"/>
            </w:tcBorders>
            <w:shd w:val="clear" w:color="auto" w:fill="79B2F7"/>
            <w:vAlign w:val="center"/>
            <w:hideMark/>
          </w:tcPr>
          <w:p w:rsidR="006F5972" w:rsidRPr="00561936" w:rsidRDefault="006F5972" w:rsidP="00553B2D">
            <w:pPr>
              <w:spacing w:after="40"/>
              <w:jc w:val="left"/>
              <w:rPr>
                <w:rFonts w:asciiTheme="minorHAnsi" w:hAnsiTheme="minorHAnsi"/>
                <w:sz w:val="18"/>
                <w:szCs w:val="18"/>
              </w:rPr>
            </w:pPr>
            <w:r w:rsidRPr="00561936">
              <w:rPr>
                <w:rFonts w:asciiTheme="minorHAnsi" w:hAnsiTheme="minorHAnsi"/>
                <w:sz w:val="18"/>
                <w:szCs w:val="18"/>
              </w:rPr>
              <w:t>Process</w:t>
            </w:r>
          </w:p>
          <w:p w:rsidR="006F5972" w:rsidRPr="00561936" w:rsidRDefault="006F5972" w:rsidP="00553B2D">
            <w:pPr>
              <w:spacing w:after="40"/>
              <w:jc w:val="left"/>
              <w:rPr>
                <w:rFonts w:asciiTheme="minorHAnsi" w:hAnsiTheme="minorHAnsi"/>
                <w:sz w:val="18"/>
                <w:szCs w:val="18"/>
              </w:rPr>
            </w:pPr>
            <w:r w:rsidRPr="00561936">
              <w:rPr>
                <w:rFonts w:asciiTheme="minorHAnsi" w:hAnsiTheme="minorHAnsi"/>
                <w:sz w:val="18"/>
                <w:szCs w:val="18"/>
              </w:rPr>
              <w:t> </w:t>
            </w:r>
          </w:p>
        </w:tc>
        <w:tc>
          <w:tcPr>
            <w:tcW w:w="2834" w:type="dxa"/>
            <w:tcBorders>
              <w:top w:val="single" w:sz="4" w:space="0" w:color="auto"/>
              <w:left w:val="nil"/>
              <w:right w:val="single" w:sz="4" w:space="0" w:color="auto"/>
            </w:tcBorders>
            <w:shd w:val="clear" w:color="auto" w:fill="FABF8F" w:themeFill="accent6" w:themeFillTint="99"/>
          </w:tcPr>
          <w:p w:rsidR="006F5972" w:rsidRPr="00561936" w:rsidRDefault="006F5972" w:rsidP="00553B2D">
            <w:pPr>
              <w:spacing w:after="40"/>
              <w:jc w:val="left"/>
              <w:rPr>
                <w:rFonts w:asciiTheme="minorHAnsi" w:hAnsiTheme="minorHAnsi"/>
                <w:sz w:val="18"/>
                <w:szCs w:val="18"/>
              </w:rPr>
            </w:pPr>
          </w:p>
        </w:tc>
        <w:tc>
          <w:tcPr>
            <w:tcW w:w="1985" w:type="dxa"/>
            <w:vMerge w:val="restart"/>
            <w:tcBorders>
              <w:top w:val="single" w:sz="4" w:space="0" w:color="auto"/>
              <w:left w:val="single" w:sz="4" w:space="0" w:color="auto"/>
              <w:right w:val="single" w:sz="4" w:space="0" w:color="auto"/>
            </w:tcBorders>
            <w:shd w:val="clear" w:color="auto" w:fill="92D050"/>
            <w:vAlign w:val="center"/>
            <w:hideMark/>
          </w:tcPr>
          <w:p w:rsidR="006F5972" w:rsidRPr="00561936" w:rsidRDefault="006F5972" w:rsidP="00553B2D">
            <w:pPr>
              <w:pStyle w:val="ListBullet"/>
              <w:numPr>
                <w:ilvl w:val="0"/>
                <w:numId w:val="0"/>
              </w:numPr>
              <w:spacing w:after="40"/>
              <w:ind w:left="369" w:hanging="369"/>
              <w:jc w:val="left"/>
              <w:rPr>
                <w:rFonts w:asciiTheme="minorHAnsi" w:hAnsiTheme="minorHAnsi"/>
                <w:sz w:val="18"/>
                <w:szCs w:val="18"/>
              </w:rPr>
            </w:pPr>
          </w:p>
        </w:tc>
        <w:tc>
          <w:tcPr>
            <w:tcW w:w="2126" w:type="dxa"/>
            <w:vMerge w:val="restart"/>
            <w:tcBorders>
              <w:top w:val="single" w:sz="4" w:space="0" w:color="auto"/>
              <w:left w:val="nil"/>
              <w:right w:val="single" w:sz="4" w:space="0" w:color="auto"/>
            </w:tcBorders>
            <w:shd w:val="clear" w:color="auto" w:fill="D6E3BC" w:themeFill="accent3" w:themeFillTint="66"/>
            <w:vAlign w:val="center"/>
          </w:tcPr>
          <w:p w:rsidR="006F5972" w:rsidRPr="00561936" w:rsidRDefault="006F5972"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Primary productivity (of aquatic ecosystems)</w:t>
            </w:r>
          </w:p>
          <w:p w:rsidR="006F5972" w:rsidRPr="00561936" w:rsidRDefault="006F5972"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Decomposition</w:t>
            </w:r>
          </w:p>
          <w:p w:rsidR="006F5972" w:rsidRPr="00561936" w:rsidRDefault="006F5972"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Nutrient and carbon cycling</w:t>
            </w:r>
          </w:p>
        </w:tc>
      </w:tr>
      <w:tr w:rsidR="006F5972" w:rsidRPr="00561936" w:rsidTr="006F5972">
        <w:trPr>
          <w:trHeight w:val="300"/>
        </w:trPr>
        <w:tc>
          <w:tcPr>
            <w:tcW w:w="1308" w:type="dxa"/>
            <w:vMerge/>
            <w:tcBorders>
              <w:left w:val="single" w:sz="4" w:space="0" w:color="auto"/>
              <w:right w:val="single" w:sz="4" w:space="0" w:color="auto"/>
            </w:tcBorders>
            <w:shd w:val="clear" w:color="auto" w:fill="0070C0"/>
            <w:vAlign w:val="center"/>
            <w:hideMark/>
          </w:tcPr>
          <w:p w:rsidR="006F5972" w:rsidRPr="00561936" w:rsidRDefault="006F5972" w:rsidP="00553B2D">
            <w:pPr>
              <w:spacing w:after="40"/>
              <w:jc w:val="left"/>
              <w:rPr>
                <w:rFonts w:asciiTheme="minorHAnsi" w:hAnsiTheme="minorHAnsi"/>
                <w:color w:val="FFFFFF" w:themeColor="background1"/>
                <w:sz w:val="18"/>
                <w:szCs w:val="18"/>
              </w:rPr>
            </w:pPr>
          </w:p>
        </w:tc>
        <w:tc>
          <w:tcPr>
            <w:tcW w:w="2237" w:type="dxa"/>
            <w:gridSpan w:val="3"/>
            <w:vMerge/>
            <w:tcBorders>
              <w:left w:val="single" w:sz="4" w:space="0" w:color="auto"/>
              <w:right w:val="single" w:sz="4" w:space="0" w:color="auto"/>
            </w:tcBorders>
            <w:shd w:val="clear" w:color="auto" w:fill="79B2F7"/>
            <w:vAlign w:val="center"/>
            <w:hideMark/>
          </w:tcPr>
          <w:p w:rsidR="006F5972" w:rsidRPr="00561936" w:rsidRDefault="006F5972" w:rsidP="00553B2D">
            <w:pPr>
              <w:spacing w:after="40"/>
              <w:jc w:val="left"/>
              <w:rPr>
                <w:rFonts w:asciiTheme="minorHAnsi" w:hAnsiTheme="minorHAnsi"/>
                <w:sz w:val="18"/>
                <w:szCs w:val="18"/>
              </w:rPr>
            </w:pPr>
          </w:p>
        </w:tc>
        <w:tc>
          <w:tcPr>
            <w:tcW w:w="2834" w:type="dxa"/>
            <w:tcBorders>
              <w:left w:val="nil"/>
              <w:right w:val="single" w:sz="4" w:space="0" w:color="auto"/>
            </w:tcBorders>
            <w:shd w:val="clear" w:color="auto" w:fill="FABF8F" w:themeFill="accent6" w:themeFillTint="99"/>
          </w:tcPr>
          <w:p w:rsidR="006F5972" w:rsidRPr="00561936" w:rsidRDefault="006F5972" w:rsidP="00553B2D">
            <w:pPr>
              <w:spacing w:after="40"/>
              <w:jc w:val="left"/>
              <w:rPr>
                <w:rFonts w:asciiTheme="minorHAnsi" w:hAnsiTheme="minorHAnsi"/>
                <w:sz w:val="18"/>
                <w:szCs w:val="18"/>
              </w:rPr>
            </w:pPr>
          </w:p>
        </w:tc>
        <w:tc>
          <w:tcPr>
            <w:tcW w:w="1985" w:type="dxa"/>
            <w:vMerge/>
            <w:tcBorders>
              <w:left w:val="single" w:sz="4" w:space="0" w:color="auto"/>
              <w:right w:val="single" w:sz="4" w:space="0" w:color="auto"/>
            </w:tcBorders>
            <w:shd w:val="clear" w:color="auto" w:fill="92D050"/>
            <w:vAlign w:val="center"/>
            <w:hideMark/>
          </w:tcPr>
          <w:p w:rsidR="006F5972" w:rsidRPr="00561936" w:rsidRDefault="006F5972" w:rsidP="00553B2D">
            <w:pPr>
              <w:pStyle w:val="ListBullet"/>
              <w:spacing w:after="40"/>
              <w:ind w:left="175" w:hanging="175"/>
              <w:jc w:val="left"/>
              <w:rPr>
                <w:rFonts w:asciiTheme="minorHAnsi" w:hAnsiTheme="minorHAnsi"/>
                <w:sz w:val="18"/>
                <w:szCs w:val="18"/>
              </w:rPr>
            </w:pPr>
          </w:p>
        </w:tc>
        <w:tc>
          <w:tcPr>
            <w:tcW w:w="2126" w:type="dxa"/>
            <w:vMerge/>
            <w:tcBorders>
              <w:left w:val="nil"/>
              <w:right w:val="single" w:sz="4" w:space="0" w:color="auto"/>
            </w:tcBorders>
            <w:shd w:val="clear" w:color="auto" w:fill="D6E3BC" w:themeFill="accent3" w:themeFillTint="66"/>
            <w:vAlign w:val="center"/>
          </w:tcPr>
          <w:p w:rsidR="006F5972" w:rsidRPr="00561936" w:rsidRDefault="006F5972" w:rsidP="00553B2D">
            <w:pPr>
              <w:pStyle w:val="ListBullet"/>
              <w:spacing w:after="40"/>
              <w:ind w:left="175" w:hanging="175"/>
              <w:jc w:val="left"/>
              <w:rPr>
                <w:rFonts w:asciiTheme="minorHAnsi" w:hAnsiTheme="minorHAnsi"/>
                <w:sz w:val="18"/>
                <w:szCs w:val="18"/>
              </w:rPr>
            </w:pPr>
          </w:p>
        </w:tc>
      </w:tr>
      <w:tr w:rsidR="006F5972" w:rsidRPr="00561936" w:rsidTr="006F5972">
        <w:trPr>
          <w:trHeight w:val="300"/>
        </w:trPr>
        <w:tc>
          <w:tcPr>
            <w:tcW w:w="1308" w:type="dxa"/>
            <w:vMerge/>
            <w:tcBorders>
              <w:left w:val="single" w:sz="4" w:space="0" w:color="auto"/>
              <w:right w:val="single" w:sz="4" w:space="0" w:color="auto"/>
            </w:tcBorders>
            <w:shd w:val="clear" w:color="auto" w:fill="0070C0"/>
            <w:vAlign w:val="center"/>
            <w:hideMark/>
          </w:tcPr>
          <w:p w:rsidR="006F5972" w:rsidRPr="00561936" w:rsidRDefault="006F5972" w:rsidP="00553B2D">
            <w:pPr>
              <w:spacing w:after="40"/>
              <w:jc w:val="left"/>
              <w:rPr>
                <w:rFonts w:asciiTheme="minorHAnsi" w:hAnsiTheme="minorHAnsi"/>
                <w:color w:val="FFFFFF" w:themeColor="background1"/>
                <w:sz w:val="18"/>
                <w:szCs w:val="18"/>
              </w:rPr>
            </w:pPr>
          </w:p>
        </w:tc>
        <w:tc>
          <w:tcPr>
            <w:tcW w:w="2237" w:type="dxa"/>
            <w:gridSpan w:val="3"/>
            <w:vMerge/>
            <w:tcBorders>
              <w:left w:val="single" w:sz="4" w:space="0" w:color="auto"/>
              <w:bottom w:val="single" w:sz="4" w:space="0" w:color="auto"/>
              <w:right w:val="single" w:sz="4" w:space="0" w:color="auto"/>
            </w:tcBorders>
            <w:shd w:val="clear" w:color="auto" w:fill="79B2F7"/>
            <w:vAlign w:val="center"/>
            <w:hideMark/>
          </w:tcPr>
          <w:p w:rsidR="006F5972" w:rsidRPr="00561936" w:rsidRDefault="006F5972" w:rsidP="00553B2D">
            <w:pPr>
              <w:spacing w:after="40"/>
              <w:jc w:val="left"/>
              <w:rPr>
                <w:rFonts w:asciiTheme="minorHAnsi" w:hAnsiTheme="minorHAnsi"/>
                <w:sz w:val="18"/>
                <w:szCs w:val="18"/>
              </w:rPr>
            </w:pPr>
          </w:p>
        </w:tc>
        <w:tc>
          <w:tcPr>
            <w:tcW w:w="2834" w:type="dxa"/>
            <w:tcBorders>
              <w:left w:val="nil"/>
              <w:bottom w:val="single" w:sz="4" w:space="0" w:color="auto"/>
              <w:right w:val="single" w:sz="4" w:space="0" w:color="auto"/>
            </w:tcBorders>
            <w:shd w:val="clear" w:color="auto" w:fill="FABF8F" w:themeFill="accent6" w:themeFillTint="99"/>
          </w:tcPr>
          <w:p w:rsidR="006F5972" w:rsidRPr="00561936" w:rsidRDefault="006F5972" w:rsidP="00553B2D">
            <w:pPr>
              <w:spacing w:after="40"/>
              <w:jc w:val="left"/>
              <w:rPr>
                <w:rFonts w:asciiTheme="minorHAnsi" w:hAnsiTheme="minorHAnsi"/>
                <w:sz w:val="18"/>
                <w:szCs w:val="18"/>
              </w:rPr>
            </w:pPr>
          </w:p>
        </w:tc>
        <w:tc>
          <w:tcPr>
            <w:tcW w:w="1985" w:type="dxa"/>
            <w:vMerge/>
            <w:tcBorders>
              <w:left w:val="single" w:sz="4" w:space="0" w:color="auto"/>
              <w:bottom w:val="single" w:sz="4" w:space="0" w:color="auto"/>
              <w:right w:val="single" w:sz="4" w:space="0" w:color="auto"/>
            </w:tcBorders>
            <w:shd w:val="clear" w:color="auto" w:fill="92D050"/>
            <w:vAlign w:val="center"/>
            <w:hideMark/>
          </w:tcPr>
          <w:p w:rsidR="006F5972" w:rsidRPr="00561936" w:rsidRDefault="006F5972" w:rsidP="00553B2D">
            <w:pPr>
              <w:pStyle w:val="ListBullet"/>
              <w:spacing w:after="40"/>
              <w:ind w:left="175" w:hanging="175"/>
              <w:jc w:val="left"/>
              <w:rPr>
                <w:rFonts w:asciiTheme="minorHAnsi" w:hAnsiTheme="minorHAnsi"/>
                <w:sz w:val="18"/>
                <w:szCs w:val="18"/>
              </w:rPr>
            </w:pPr>
          </w:p>
        </w:tc>
        <w:tc>
          <w:tcPr>
            <w:tcW w:w="2126" w:type="dxa"/>
            <w:vMerge/>
            <w:tcBorders>
              <w:left w:val="nil"/>
              <w:bottom w:val="single" w:sz="4" w:space="0" w:color="auto"/>
              <w:right w:val="single" w:sz="4" w:space="0" w:color="auto"/>
            </w:tcBorders>
            <w:shd w:val="clear" w:color="auto" w:fill="D6E3BC" w:themeFill="accent3" w:themeFillTint="66"/>
            <w:vAlign w:val="center"/>
          </w:tcPr>
          <w:p w:rsidR="006F5972" w:rsidRPr="00561936" w:rsidRDefault="006F5972" w:rsidP="00553B2D">
            <w:pPr>
              <w:pStyle w:val="ListBullet"/>
              <w:spacing w:after="40"/>
              <w:ind w:left="175" w:hanging="175"/>
              <w:jc w:val="left"/>
              <w:rPr>
                <w:rFonts w:asciiTheme="minorHAnsi" w:hAnsiTheme="minorHAnsi"/>
                <w:sz w:val="18"/>
                <w:szCs w:val="18"/>
              </w:rPr>
            </w:pPr>
          </w:p>
        </w:tc>
      </w:tr>
      <w:tr w:rsidR="006F5972" w:rsidRPr="00561936" w:rsidTr="006F5972">
        <w:trPr>
          <w:trHeight w:val="360"/>
        </w:trPr>
        <w:tc>
          <w:tcPr>
            <w:tcW w:w="1308" w:type="dxa"/>
            <w:vMerge/>
            <w:tcBorders>
              <w:left w:val="single" w:sz="4" w:space="0" w:color="auto"/>
              <w:right w:val="single" w:sz="4" w:space="0" w:color="auto"/>
            </w:tcBorders>
            <w:shd w:val="clear" w:color="auto" w:fill="0070C0"/>
            <w:vAlign w:val="center"/>
            <w:hideMark/>
          </w:tcPr>
          <w:p w:rsidR="006F5972" w:rsidRPr="00561936" w:rsidRDefault="006F5972" w:rsidP="00553B2D">
            <w:pPr>
              <w:spacing w:after="40"/>
              <w:jc w:val="left"/>
              <w:rPr>
                <w:rFonts w:asciiTheme="minorHAnsi" w:hAnsiTheme="minorHAnsi"/>
                <w:color w:val="FFFFFF" w:themeColor="background1"/>
                <w:sz w:val="18"/>
                <w:szCs w:val="18"/>
              </w:rPr>
            </w:pPr>
          </w:p>
        </w:tc>
        <w:tc>
          <w:tcPr>
            <w:tcW w:w="1118" w:type="dxa"/>
            <w:gridSpan w:val="2"/>
            <w:vMerge w:val="restart"/>
            <w:tcBorders>
              <w:top w:val="single" w:sz="4" w:space="0" w:color="auto"/>
              <w:left w:val="single" w:sz="4" w:space="0" w:color="auto"/>
              <w:right w:val="single" w:sz="4" w:space="0" w:color="auto"/>
            </w:tcBorders>
            <w:shd w:val="clear" w:color="auto" w:fill="79B2F7"/>
            <w:vAlign w:val="center"/>
            <w:hideMark/>
          </w:tcPr>
          <w:p w:rsidR="006F5972" w:rsidRPr="00561936" w:rsidRDefault="006F5972" w:rsidP="00553B2D">
            <w:pPr>
              <w:spacing w:after="40"/>
              <w:jc w:val="left"/>
              <w:rPr>
                <w:rFonts w:asciiTheme="minorHAnsi" w:hAnsiTheme="minorHAnsi"/>
                <w:sz w:val="18"/>
                <w:szCs w:val="18"/>
              </w:rPr>
            </w:pPr>
            <w:r>
              <w:rPr>
                <w:rFonts w:asciiTheme="minorHAnsi" w:hAnsiTheme="minorHAnsi"/>
                <w:sz w:val="18"/>
                <w:szCs w:val="18"/>
              </w:rPr>
              <w:t>Water quality</w:t>
            </w:r>
          </w:p>
        </w:tc>
        <w:tc>
          <w:tcPr>
            <w:tcW w:w="1119" w:type="dxa"/>
            <w:tcBorders>
              <w:top w:val="single" w:sz="4" w:space="0" w:color="auto"/>
              <w:left w:val="single" w:sz="4" w:space="0" w:color="auto"/>
              <w:bottom w:val="single" w:sz="4" w:space="0" w:color="auto"/>
              <w:right w:val="single" w:sz="4" w:space="0" w:color="auto"/>
            </w:tcBorders>
            <w:shd w:val="clear" w:color="auto" w:fill="79B2F7"/>
            <w:vAlign w:val="center"/>
          </w:tcPr>
          <w:p w:rsidR="006F5972" w:rsidRPr="00561936" w:rsidRDefault="006F5972" w:rsidP="00553B2D">
            <w:pPr>
              <w:spacing w:after="40"/>
              <w:jc w:val="left"/>
              <w:rPr>
                <w:rFonts w:asciiTheme="minorHAnsi" w:hAnsiTheme="minorHAnsi"/>
                <w:sz w:val="18"/>
                <w:szCs w:val="18"/>
              </w:rPr>
            </w:pPr>
            <w:r>
              <w:rPr>
                <w:rFonts w:asciiTheme="minorHAnsi" w:hAnsiTheme="minorHAnsi"/>
                <w:sz w:val="18"/>
                <w:szCs w:val="18"/>
              </w:rPr>
              <w:t>Chemical</w:t>
            </w: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6F5972" w:rsidRPr="00561936" w:rsidRDefault="006F5972" w:rsidP="00553B2D">
            <w:pPr>
              <w:spacing w:after="40"/>
              <w:jc w:val="left"/>
              <w:rPr>
                <w:rFonts w:asciiTheme="minorHAnsi" w:hAnsi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F5972" w:rsidRPr="00561936" w:rsidRDefault="006F5972" w:rsidP="006F5972">
            <w:pPr>
              <w:pStyle w:val="ListBullet"/>
              <w:numPr>
                <w:ilvl w:val="0"/>
                <w:numId w:val="0"/>
              </w:numPr>
              <w:spacing w:after="40"/>
              <w:ind w:left="175"/>
              <w:jc w:val="left"/>
              <w:rPr>
                <w:rFonts w:asciiTheme="minorHAnsi" w:hAnsiTheme="minorHAnsi"/>
                <w:sz w:val="18"/>
                <w:szCs w:val="18"/>
              </w:rPr>
            </w:pPr>
          </w:p>
        </w:tc>
        <w:tc>
          <w:tcPr>
            <w:tcW w:w="212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6F5972" w:rsidRPr="00561936" w:rsidRDefault="006F5972" w:rsidP="006F5972">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Salinity</w:t>
            </w:r>
          </w:p>
          <w:p w:rsidR="006F5972" w:rsidRPr="00561936" w:rsidRDefault="006F5972" w:rsidP="006F5972">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Dissolved oxygen</w:t>
            </w:r>
          </w:p>
          <w:p w:rsidR="006F5972" w:rsidRPr="00561936" w:rsidRDefault="006F5972" w:rsidP="006F5972">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pH</w:t>
            </w:r>
          </w:p>
          <w:p w:rsidR="006F5972" w:rsidRPr="00561936" w:rsidRDefault="006F5972" w:rsidP="006F5972">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Dissolved organic carbon</w:t>
            </w:r>
          </w:p>
        </w:tc>
      </w:tr>
      <w:tr w:rsidR="006F5972" w:rsidRPr="00561936" w:rsidTr="006F5972">
        <w:trPr>
          <w:trHeight w:val="360"/>
        </w:trPr>
        <w:tc>
          <w:tcPr>
            <w:tcW w:w="1308" w:type="dxa"/>
            <w:vMerge/>
            <w:tcBorders>
              <w:left w:val="single" w:sz="4" w:space="0" w:color="auto"/>
              <w:bottom w:val="single" w:sz="4" w:space="0" w:color="auto"/>
              <w:right w:val="single" w:sz="4" w:space="0" w:color="auto"/>
            </w:tcBorders>
            <w:shd w:val="clear" w:color="auto" w:fill="0070C0"/>
            <w:vAlign w:val="center"/>
            <w:hideMark/>
          </w:tcPr>
          <w:p w:rsidR="006F5972" w:rsidRPr="00561936" w:rsidRDefault="006F5972" w:rsidP="00553B2D">
            <w:pPr>
              <w:spacing w:after="40"/>
              <w:jc w:val="left"/>
              <w:rPr>
                <w:rFonts w:asciiTheme="minorHAnsi" w:hAnsiTheme="minorHAnsi"/>
                <w:color w:val="FFFFFF" w:themeColor="background1"/>
                <w:sz w:val="18"/>
                <w:szCs w:val="18"/>
              </w:rPr>
            </w:pPr>
          </w:p>
        </w:tc>
        <w:tc>
          <w:tcPr>
            <w:tcW w:w="1118" w:type="dxa"/>
            <w:gridSpan w:val="2"/>
            <w:vMerge/>
            <w:tcBorders>
              <w:left w:val="single" w:sz="4" w:space="0" w:color="auto"/>
              <w:bottom w:val="single" w:sz="4" w:space="0" w:color="auto"/>
              <w:right w:val="single" w:sz="4" w:space="0" w:color="auto"/>
            </w:tcBorders>
            <w:shd w:val="clear" w:color="auto" w:fill="79B2F7"/>
            <w:vAlign w:val="center"/>
            <w:hideMark/>
          </w:tcPr>
          <w:p w:rsidR="006F5972" w:rsidRPr="00561936" w:rsidRDefault="006F5972" w:rsidP="00553B2D">
            <w:pPr>
              <w:spacing w:after="40"/>
              <w:jc w:val="left"/>
              <w:rPr>
                <w:rFonts w:asciiTheme="minorHAnsi" w:hAnsiTheme="minorHAnsi"/>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79B2F7"/>
            <w:vAlign w:val="center"/>
          </w:tcPr>
          <w:p w:rsidR="006F5972" w:rsidRPr="00561936" w:rsidRDefault="006F5972" w:rsidP="00553B2D">
            <w:pPr>
              <w:spacing w:after="40"/>
              <w:jc w:val="left"/>
              <w:rPr>
                <w:rFonts w:asciiTheme="minorHAnsi" w:hAnsiTheme="minorHAnsi"/>
                <w:sz w:val="18"/>
                <w:szCs w:val="18"/>
              </w:rPr>
            </w:pPr>
            <w:r>
              <w:rPr>
                <w:rFonts w:asciiTheme="minorHAnsi" w:hAnsiTheme="minorHAnsi"/>
                <w:sz w:val="18"/>
                <w:szCs w:val="18"/>
              </w:rPr>
              <w:t>Biological</w:t>
            </w: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6F5972" w:rsidRPr="00561936" w:rsidRDefault="006F5972" w:rsidP="00553B2D">
            <w:pPr>
              <w:spacing w:after="40"/>
              <w:jc w:val="left"/>
              <w:rPr>
                <w:rFonts w:asciiTheme="minorHAnsi" w:hAnsi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F5972" w:rsidRPr="00561936" w:rsidRDefault="006F5972" w:rsidP="006F5972">
            <w:pPr>
              <w:pStyle w:val="ListBullet"/>
              <w:numPr>
                <w:ilvl w:val="0"/>
                <w:numId w:val="0"/>
              </w:numPr>
              <w:spacing w:after="40"/>
              <w:ind w:left="175"/>
              <w:jc w:val="left"/>
              <w:rPr>
                <w:rFonts w:asciiTheme="minorHAnsi" w:hAnsiTheme="minorHAnsi"/>
                <w:sz w:val="18"/>
                <w:szCs w:val="18"/>
              </w:rPr>
            </w:pPr>
          </w:p>
        </w:tc>
        <w:tc>
          <w:tcPr>
            <w:tcW w:w="212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6F5972" w:rsidRPr="00561936" w:rsidRDefault="006F5972"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Algal blooms</w:t>
            </w:r>
          </w:p>
        </w:tc>
      </w:tr>
      <w:tr w:rsidR="00BA5E36" w:rsidRPr="00561936" w:rsidTr="006F5972">
        <w:trPr>
          <w:trHeight w:val="360"/>
        </w:trPr>
        <w:tc>
          <w:tcPr>
            <w:tcW w:w="1308"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BA5E36" w:rsidRPr="00561936" w:rsidRDefault="00BA5E36" w:rsidP="00553B2D">
            <w:pPr>
              <w:spacing w:after="40"/>
              <w:jc w:val="left"/>
              <w:rPr>
                <w:rFonts w:asciiTheme="minorHAnsi" w:hAnsiTheme="minorHAnsi"/>
                <w:color w:val="FFFFFF" w:themeColor="background1"/>
                <w:sz w:val="18"/>
                <w:szCs w:val="18"/>
              </w:rPr>
            </w:pPr>
            <w:r w:rsidRPr="00561936">
              <w:rPr>
                <w:rFonts w:asciiTheme="minorHAnsi" w:hAnsiTheme="minorHAnsi"/>
                <w:color w:val="FFFFFF" w:themeColor="background1"/>
                <w:sz w:val="18"/>
                <w:szCs w:val="18"/>
              </w:rPr>
              <w:t>Resilience</w:t>
            </w:r>
            <w:r w:rsidRPr="00561936">
              <w:rPr>
                <w:rFonts w:asciiTheme="minorHAnsi" w:hAnsiTheme="minorHAnsi"/>
                <w:color w:val="FFFFFF" w:themeColor="background1"/>
                <w:sz w:val="18"/>
                <w:szCs w:val="18"/>
              </w:rPr>
              <w:br/>
            </w:r>
            <w:r w:rsidRPr="00561936">
              <w:rPr>
                <w:rFonts w:asciiTheme="minorHAnsi" w:hAnsiTheme="minorHAnsi"/>
                <w:color w:val="FFFFFF" w:themeColor="background1"/>
                <w:sz w:val="18"/>
                <w:szCs w:val="18"/>
              </w:rPr>
              <w:br/>
              <w:t>(Basin Plan S. 8.07)</w:t>
            </w:r>
          </w:p>
        </w:tc>
        <w:tc>
          <w:tcPr>
            <w:tcW w:w="2237" w:type="dxa"/>
            <w:gridSpan w:val="3"/>
            <w:vMerge w:val="restart"/>
            <w:tcBorders>
              <w:top w:val="single" w:sz="4" w:space="0" w:color="auto"/>
              <w:left w:val="single" w:sz="4" w:space="0" w:color="auto"/>
              <w:right w:val="single" w:sz="4" w:space="0" w:color="auto"/>
            </w:tcBorders>
            <w:shd w:val="clear" w:color="auto" w:fill="79B2F7"/>
            <w:vAlign w:val="center"/>
            <w:hideMark/>
          </w:tcPr>
          <w:p w:rsidR="00BA5E36" w:rsidRPr="00561936" w:rsidRDefault="00BA5E36" w:rsidP="00553B2D">
            <w:pPr>
              <w:spacing w:after="40"/>
              <w:jc w:val="left"/>
              <w:rPr>
                <w:rFonts w:asciiTheme="minorHAnsi" w:hAnsiTheme="minorHAnsi"/>
                <w:sz w:val="18"/>
                <w:szCs w:val="18"/>
              </w:rPr>
            </w:pPr>
            <w:r w:rsidRPr="00561936">
              <w:rPr>
                <w:rFonts w:asciiTheme="minorHAnsi" w:hAnsiTheme="minorHAnsi"/>
                <w:sz w:val="18"/>
                <w:szCs w:val="18"/>
              </w:rPr>
              <w:t>Ecosystem resilience</w:t>
            </w:r>
          </w:p>
          <w:p w:rsidR="00BA5E36" w:rsidRPr="00561936" w:rsidRDefault="00BA5E36" w:rsidP="00553B2D">
            <w:pPr>
              <w:spacing w:after="40"/>
              <w:jc w:val="left"/>
              <w:rPr>
                <w:rFonts w:asciiTheme="minorHAnsi" w:hAnsiTheme="minorHAnsi"/>
                <w:sz w:val="18"/>
                <w:szCs w:val="18"/>
              </w:rPr>
            </w:pPr>
            <w:r w:rsidRPr="00561936">
              <w:rPr>
                <w:rFonts w:asciiTheme="minorHAnsi" w:hAnsiTheme="minorHAnsi"/>
                <w:sz w:val="18"/>
                <w:szCs w:val="18"/>
              </w:rPr>
              <w:t> </w:t>
            </w:r>
          </w:p>
        </w:tc>
        <w:tc>
          <w:tcPr>
            <w:tcW w:w="2834" w:type="dxa"/>
            <w:tcBorders>
              <w:top w:val="single" w:sz="4" w:space="0" w:color="auto"/>
              <w:left w:val="nil"/>
              <w:right w:val="single" w:sz="4" w:space="0" w:color="auto"/>
            </w:tcBorders>
            <w:shd w:val="clear" w:color="auto" w:fill="FABF8F" w:themeFill="accent6" w:themeFillTint="99"/>
          </w:tcPr>
          <w:p w:rsidR="00BA5E36" w:rsidRPr="00561936" w:rsidRDefault="00BA5E36" w:rsidP="00553B2D">
            <w:pPr>
              <w:spacing w:after="40"/>
              <w:jc w:val="left"/>
              <w:rPr>
                <w:rFonts w:asciiTheme="minorHAnsi" w:hAnsiTheme="minorHAnsi"/>
                <w:sz w:val="18"/>
                <w:szCs w:val="18"/>
              </w:rPr>
            </w:pPr>
          </w:p>
        </w:tc>
        <w:tc>
          <w:tcPr>
            <w:tcW w:w="1985" w:type="dxa"/>
            <w:vMerge w:val="restart"/>
            <w:tcBorders>
              <w:top w:val="single" w:sz="4" w:space="0" w:color="auto"/>
              <w:left w:val="single" w:sz="4" w:space="0" w:color="auto"/>
              <w:right w:val="single" w:sz="4" w:space="0" w:color="auto"/>
            </w:tcBorders>
            <w:shd w:val="clear" w:color="auto" w:fill="92D050"/>
            <w:vAlign w:val="center"/>
            <w:hideMark/>
          </w:tcPr>
          <w:p w:rsidR="00BA5E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Population condition</w:t>
            </w:r>
          </w:p>
          <w:p w:rsidR="00BA5E36" w:rsidRDefault="00BA5E36" w:rsidP="00553B2D">
            <w:pPr>
              <w:pStyle w:val="ListBullet2"/>
              <w:spacing w:after="40"/>
              <w:ind w:left="175" w:hanging="175"/>
              <w:jc w:val="left"/>
              <w:rPr>
                <w:rFonts w:asciiTheme="minorHAnsi" w:hAnsiTheme="minorHAnsi"/>
                <w:sz w:val="18"/>
                <w:szCs w:val="18"/>
              </w:rPr>
            </w:pPr>
            <w:r w:rsidRPr="0018287E">
              <w:rPr>
                <w:rFonts w:asciiTheme="minorHAnsi" w:hAnsiTheme="minorHAnsi"/>
                <w:sz w:val="18"/>
                <w:szCs w:val="18"/>
              </w:rPr>
              <w:t>individual refuges</w:t>
            </w:r>
          </w:p>
          <w:p w:rsidR="00BA5E36" w:rsidRDefault="00BA5E36" w:rsidP="00553B2D">
            <w:pPr>
              <w:pStyle w:val="ListBullet2"/>
              <w:spacing w:after="40"/>
              <w:ind w:left="175" w:hanging="175"/>
              <w:jc w:val="left"/>
              <w:rPr>
                <w:rFonts w:asciiTheme="minorHAnsi" w:hAnsiTheme="minorHAnsi"/>
                <w:sz w:val="18"/>
                <w:szCs w:val="18"/>
              </w:rPr>
            </w:pPr>
            <w:r w:rsidRPr="0018287E">
              <w:rPr>
                <w:rFonts w:asciiTheme="minorHAnsi" w:hAnsiTheme="minorHAnsi"/>
                <w:sz w:val="18"/>
                <w:szCs w:val="18"/>
              </w:rPr>
              <w:t>landscape refuges</w:t>
            </w:r>
          </w:p>
          <w:p w:rsidR="00BA5E36" w:rsidRPr="004B3C83" w:rsidRDefault="00BA5E36" w:rsidP="00553B2D">
            <w:pPr>
              <w:pStyle w:val="ListBullet2"/>
              <w:spacing w:after="40"/>
              <w:ind w:left="175" w:hanging="175"/>
              <w:jc w:val="left"/>
              <w:rPr>
                <w:rFonts w:asciiTheme="minorHAnsi" w:hAnsiTheme="minorHAnsi"/>
                <w:sz w:val="18"/>
                <w:szCs w:val="18"/>
              </w:rPr>
            </w:pPr>
            <w:r>
              <w:rPr>
                <w:rFonts w:asciiTheme="minorHAnsi" w:hAnsiTheme="minorHAnsi"/>
                <w:sz w:val="18"/>
                <w:szCs w:val="18"/>
              </w:rPr>
              <w:t>e</w:t>
            </w:r>
            <w:r w:rsidRPr="00561936">
              <w:rPr>
                <w:rFonts w:asciiTheme="minorHAnsi" w:hAnsiTheme="minorHAnsi"/>
                <w:sz w:val="18"/>
                <w:szCs w:val="18"/>
              </w:rPr>
              <w:t>cosystem recovery</w:t>
            </w:r>
          </w:p>
        </w:tc>
        <w:tc>
          <w:tcPr>
            <w:tcW w:w="2126" w:type="dxa"/>
            <w:vMerge w:val="restart"/>
            <w:tcBorders>
              <w:top w:val="single" w:sz="4" w:space="0" w:color="auto"/>
              <w:left w:val="nil"/>
              <w:right w:val="single" w:sz="4" w:space="0" w:color="auto"/>
            </w:tcBorders>
            <w:shd w:val="clear" w:color="auto" w:fill="D6E3BC" w:themeFill="accent3" w:themeFillTint="66"/>
            <w:vAlign w:val="center"/>
          </w:tcPr>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 xml:space="preserve">Individual survival </w:t>
            </w:r>
            <w:r w:rsidR="00553B2D">
              <w:rPr>
                <w:rFonts w:asciiTheme="minorHAnsi" w:hAnsiTheme="minorHAnsi"/>
                <w:sz w:val="18"/>
                <w:szCs w:val="18"/>
              </w:rPr>
              <w:t>a</w:t>
            </w:r>
            <w:r w:rsidRPr="00561936">
              <w:rPr>
                <w:rFonts w:asciiTheme="minorHAnsi" w:hAnsiTheme="minorHAnsi"/>
                <w:sz w:val="18"/>
                <w:szCs w:val="18"/>
              </w:rPr>
              <w:t>nd condition (Individual refuges) </w:t>
            </w:r>
          </w:p>
          <w:p w:rsidR="00BA5E36" w:rsidRPr="00561936" w:rsidRDefault="00BA5E36" w:rsidP="00553B2D">
            <w:pPr>
              <w:pStyle w:val="ListBullet"/>
              <w:spacing w:after="40"/>
              <w:ind w:left="175" w:hanging="175"/>
              <w:jc w:val="left"/>
              <w:rPr>
                <w:rFonts w:asciiTheme="minorHAnsi" w:hAnsiTheme="minorHAnsi"/>
                <w:sz w:val="18"/>
                <w:szCs w:val="18"/>
              </w:rPr>
            </w:pPr>
            <w:r w:rsidRPr="00561936">
              <w:rPr>
                <w:rFonts w:asciiTheme="minorHAnsi" w:hAnsiTheme="minorHAnsi"/>
                <w:sz w:val="18"/>
                <w:szCs w:val="18"/>
              </w:rPr>
              <w:t>Individual condition</w:t>
            </w:r>
            <w:bookmarkStart w:id="36" w:name="_GoBack"/>
            <w:bookmarkEnd w:id="36"/>
            <w:r w:rsidRPr="00561936">
              <w:rPr>
                <w:rFonts w:asciiTheme="minorHAnsi" w:hAnsiTheme="minorHAnsi"/>
                <w:sz w:val="18"/>
                <w:szCs w:val="18"/>
              </w:rPr>
              <w:t xml:space="preserve"> (Ecosystem resistance) </w:t>
            </w:r>
          </w:p>
        </w:tc>
      </w:tr>
      <w:tr w:rsidR="00BA5E36" w:rsidRPr="00561936" w:rsidTr="006F5972">
        <w:trPr>
          <w:trHeight w:val="300"/>
        </w:trPr>
        <w:tc>
          <w:tcPr>
            <w:tcW w:w="1308"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BA5E36" w:rsidRPr="00561936" w:rsidRDefault="00BA5E36" w:rsidP="00553B2D">
            <w:pPr>
              <w:spacing w:after="40"/>
              <w:jc w:val="left"/>
              <w:rPr>
                <w:rFonts w:asciiTheme="minorHAnsi" w:hAnsiTheme="minorHAnsi"/>
                <w:color w:val="FFFFFF" w:themeColor="background1"/>
                <w:sz w:val="18"/>
                <w:szCs w:val="18"/>
              </w:rPr>
            </w:pPr>
          </w:p>
        </w:tc>
        <w:tc>
          <w:tcPr>
            <w:tcW w:w="2237" w:type="dxa"/>
            <w:gridSpan w:val="3"/>
            <w:vMerge/>
            <w:tcBorders>
              <w:left w:val="single" w:sz="4" w:space="0" w:color="auto"/>
              <w:right w:val="single" w:sz="4" w:space="0" w:color="auto"/>
            </w:tcBorders>
            <w:shd w:val="clear" w:color="auto" w:fill="79B2F7"/>
            <w:vAlign w:val="center"/>
            <w:hideMark/>
          </w:tcPr>
          <w:p w:rsidR="00BA5E36" w:rsidRPr="00561936" w:rsidRDefault="00BA5E36" w:rsidP="00553B2D">
            <w:pPr>
              <w:spacing w:after="40"/>
              <w:jc w:val="left"/>
              <w:rPr>
                <w:rFonts w:asciiTheme="minorHAnsi" w:hAnsiTheme="minorHAnsi"/>
                <w:sz w:val="18"/>
                <w:szCs w:val="18"/>
              </w:rPr>
            </w:pPr>
          </w:p>
        </w:tc>
        <w:tc>
          <w:tcPr>
            <w:tcW w:w="2834" w:type="dxa"/>
            <w:tcBorders>
              <w:left w:val="nil"/>
              <w:right w:val="single" w:sz="4" w:space="0" w:color="auto"/>
            </w:tcBorders>
            <w:shd w:val="clear" w:color="auto" w:fill="FABF8F" w:themeFill="accent6" w:themeFillTint="99"/>
          </w:tcPr>
          <w:p w:rsidR="00BA5E36" w:rsidRPr="00561936" w:rsidRDefault="00BA5E36" w:rsidP="00553B2D">
            <w:pPr>
              <w:spacing w:after="40"/>
              <w:jc w:val="left"/>
              <w:rPr>
                <w:rFonts w:asciiTheme="minorHAnsi" w:hAnsiTheme="minorHAnsi"/>
                <w:sz w:val="18"/>
                <w:szCs w:val="18"/>
              </w:rPr>
            </w:pPr>
          </w:p>
        </w:tc>
        <w:tc>
          <w:tcPr>
            <w:tcW w:w="1985" w:type="dxa"/>
            <w:vMerge/>
            <w:tcBorders>
              <w:left w:val="single" w:sz="4" w:space="0" w:color="auto"/>
              <w:right w:val="single" w:sz="4" w:space="0" w:color="auto"/>
            </w:tcBorders>
            <w:shd w:val="clear" w:color="auto" w:fill="92D050"/>
            <w:vAlign w:val="center"/>
            <w:hideMark/>
          </w:tcPr>
          <w:p w:rsidR="00BA5E36" w:rsidRPr="00561936" w:rsidRDefault="00BA5E36" w:rsidP="00553B2D">
            <w:pPr>
              <w:pStyle w:val="ListBullet"/>
              <w:spacing w:after="40"/>
              <w:ind w:left="175" w:hanging="175"/>
              <w:jc w:val="left"/>
              <w:rPr>
                <w:rFonts w:asciiTheme="minorHAnsi" w:hAnsiTheme="minorHAnsi"/>
                <w:sz w:val="18"/>
                <w:szCs w:val="18"/>
              </w:rPr>
            </w:pPr>
          </w:p>
        </w:tc>
        <w:tc>
          <w:tcPr>
            <w:tcW w:w="2126" w:type="dxa"/>
            <w:vMerge/>
            <w:tcBorders>
              <w:left w:val="nil"/>
              <w:right w:val="single" w:sz="4" w:space="0" w:color="auto"/>
            </w:tcBorders>
            <w:shd w:val="clear" w:color="auto" w:fill="D6E3BC" w:themeFill="accent3" w:themeFillTint="66"/>
            <w:vAlign w:val="center"/>
          </w:tcPr>
          <w:p w:rsidR="00BA5E36" w:rsidRPr="00561936" w:rsidRDefault="00BA5E36" w:rsidP="00553B2D">
            <w:pPr>
              <w:pStyle w:val="ListBullet"/>
              <w:spacing w:after="40"/>
              <w:ind w:left="175" w:hanging="175"/>
              <w:jc w:val="left"/>
              <w:rPr>
                <w:rFonts w:asciiTheme="minorHAnsi" w:hAnsiTheme="minorHAnsi"/>
                <w:sz w:val="18"/>
                <w:szCs w:val="18"/>
              </w:rPr>
            </w:pPr>
          </w:p>
        </w:tc>
      </w:tr>
      <w:tr w:rsidR="00BA5E36" w:rsidRPr="00561936" w:rsidTr="006F5972">
        <w:trPr>
          <w:trHeight w:val="300"/>
        </w:trPr>
        <w:tc>
          <w:tcPr>
            <w:tcW w:w="1308"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BA5E36" w:rsidRPr="00561936" w:rsidRDefault="00BA5E36" w:rsidP="00553B2D">
            <w:pPr>
              <w:spacing w:after="40"/>
              <w:jc w:val="left"/>
              <w:rPr>
                <w:rFonts w:asciiTheme="minorHAnsi" w:hAnsiTheme="minorHAnsi"/>
                <w:color w:val="FFFFFF" w:themeColor="background1"/>
                <w:sz w:val="18"/>
                <w:szCs w:val="18"/>
              </w:rPr>
            </w:pPr>
          </w:p>
        </w:tc>
        <w:tc>
          <w:tcPr>
            <w:tcW w:w="2237" w:type="dxa"/>
            <w:gridSpan w:val="3"/>
            <w:vMerge/>
            <w:tcBorders>
              <w:left w:val="single" w:sz="4" w:space="0" w:color="auto"/>
              <w:right w:val="single" w:sz="4" w:space="0" w:color="auto"/>
            </w:tcBorders>
            <w:shd w:val="clear" w:color="auto" w:fill="79B2F7"/>
            <w:vAlign w:val="center"/>
            <w:hideMark/>
          </w:tcPr>
          <w:p w:rsidR="00BA5E36" w:rsidRPr="00561936" w:rsidRDefault="00BA5E36" w:rsidP="00553B2D">
            <w:pPr>
              <w:spacing w:after="40"/>
              <w:jc w:val="left"/>
              <w:rPr>
                <w:rFonts w:asciiTheme="minorHAnsi" w:hAnsiTheme="minorHAnsi"/>
                <w:sz w:val="18"/>
                <w:szCs w:val="18"/>
              </w:rPr>
            </w:pPr>
          </w:p>
        </w:tc>
        <w:tc>
          <w:tcPr>
            <w:tcW w:w="2834" w:type="dxa"/>
            <w:tcBorders>
              <w:left w:val="nil"/>
              <w:right w:val="single" w:sz="4" w:space="0" w:color="auto"/>
            </w:tcBorders>
            <w:shd w:val="clear" w:color="auto" w:fill="FABF8F" w:themeFill="accent6" w:themeFillTint="99"/>
          </w:tcPr>
          <w:p w:rsidR="00BA5E36" w:rsidRPr="00561936" w:rsidRDefault="00BA5E36" w:rsidP="00553B2D">
            <w:pPr>
              <w:spacing w:after="40"/>
              <w:jc w:val="left"/>
              <w:rPr>
                <w:rFonts w:asciiTheme="minorHAnsi" w:hAnsiTheme="minorHAnsi"/>
                <w:sz w:val="18"/>
                <w:szCs w:val="18"/>
              </w:rPr>
            </w:pPr>
          </w:p>
        </w:tc>
        <w:tc>
          <w:tcPr>
            <w:tcW w:w="1985" w:type="dxa"/>
            <w:vMerge/>
            <w:tcBorders>
              <w:left w:val="single" w:sz="4" w:space="0" w:color="auto"/>
              <w:right w:val="single" w:sz="4" w:space="0" w:color="auto"/>
            </w:tcBorders>
            <w:shd w:val="clear" w:color="auto" w:fill="92D050"/>
            <w:vAlign w:val="center"/>
            <w:hideMark/>
          </w:tcPr>
          <w:p w:rsidR="00BA5E36" w:rsidRPr="00561936" w:rsidRDefault="00BA5E36" w:rsidP="00553B2D">
            <w:pPr>
              <w:pStyle w:val="ListBullet"/>
              <w:spacing w:after="40"/>
              <w:ind w:left="175" w:hanging="175"/>
              <w:jc w:val="left"/>
              <w:rPr>
                <w:rFonts w:asciiTheme="minorHAnsi" w:hAnsiTheme="minorHAnsi"/>
                <w:sz w:val="18"/>
                <w:szCs w:val="18"/>
              </w:rPr>
            </w:pPr>
          </w:p>
        </w:tc>
        <w:tc>
          <w:tcPr>
            <w:tcW w:w="2126" w:type="dxa"/>
            <w:vMerge/>
            <w:tcBorders>
              <w:left w:val="nil"/>
              <w:right w:val="single" w:sz="4" w:space="0" w:color="auto"/>
            </w:tcBorders>
            <w:shd w:val="clear" w:color="auto" w:fill="D6E3BC" w:themeFill="accent3" w:themeFillTint="66"/>
            <w:vAlign w:val="center"/>
          </w:tcPr>
          <w:p w:rsidR="00BA5E36" w:rsidRPr="00561936" w:rsidRDefault="00BA5E36" w:rsidP="00553B2D">
            <w:pPr>
              <w:pStyle w:val="ListBullet"/>
              <w:spacing w:after="40"/>
              <w:ind w:left="175" w:hanging="175"/>
              <w:jc w:val="left"/>
              <w:rPr>
                <w:rFonts w:asciiTheme="minorHAnsi" w:hAnsiTheme="minorHAnsi"/>
                <w:sz w:val="18"/>
                <w:szCs w:val="18"/>
              </w:rPr>
            </w:pPr>
          </w:p>
        </w:tc>
      </w:tr>
      <w:tr w:rsidR="00BA5E36" w:rsidRPr="00561936" w:rsidTr="006F5972">
        <w:trPr>
          <w:trHeight w:val="300"/>
        </w:trPr>
        <w:tc>
          <w:tcPr>
            <w:tcW w:w="1308"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BA5E36" w:rsidRPr="00561936" w:rsidRDefault="00BA5E36" w:rsidP="00553B2D">
            <w:pPr>
              <w:spacing w:after="40"/>
              <w:jc w:val="left"/>
              <w:rPr>
                <w:rFonts w:asciiTheme="minorHAnsi" w:hAnsiTheme="minorHAnsi"/>
                <w:color w:val="FFFFFF" w:themeColor="background1"/>
                <w:sz w:val="18"/>
                <w:szCs w:val="18"/>
              </w:rPr>
            </w:pPr>
          </w:p>
        </w:tc>
        <w:tc>
          <w:tcPr>
            <w:tcW w:w="2237" w:type="dxa"/>
            <w:gridSpan w:val="3"/>
            <w:vMerge/>
            <w:tcBorders>
              <w:left w:val="single" w:sz="4" w:space="0" w:color="auto"/>
              <w:bottom w:val="single" w:sz="4" w:space="0" w:color="auto"/>
              <w:right w:val="single" w:sz="4" w:space="0" w:color="auto"/>
            </w:tcBorders>
            <w:shd w:val="clear" w:color="auto" w:fill="79B2F7"/>
            <w:vAlign w:val="center"/>
            <w:hideMark/>
          </w:tcPr>
          <w:p w:rsidR="00BA5E36" w:rsidRPr="00561936" w:rsidRDefault="00BA5E36" w:rsidP="00553B2D">
            <w:pPr>
              <w:spacing w:after="40"/>
              <w:jc w:val="left"/>
              <w:rPr>
                <w:rFonts w:asciiTheme="minorHAnsi" w:hAnsiTheme="minorHAnsi"/>
                <w:sz w:val="18"/>
                <w:szCs w:val="18"/>
              </w:rPr>
            </w:pPr>
          </w:p>
        </w:tc>
        <w:tc>
          <w:tcPr>
            <w:tcW w:w="2834" w:type="dxa"/>
            <w:tcBorders>
              <w:left w:val="nil"/>
              <w:bottom w:val="single" w:sz="4" w:space="0" w:color="auto"/>
              <w:right w:val="single" w:sz="4" w:space="0" w:color="auto"/>
            </w:tcBorders>
            <w:shd w:val="clear" w:color="auto" w:fill="FABF8F" w:themeFill="accent6" w:themeFillTint="99"/>
          </w:tcPr>
          <w:p w:rsidR="00BA5E36" w:rsidRPr="00561936" w:rsidRDefault="00BA5E36" w:rsidP="00553B2D">
            <w:pPr>
              <w:spacing w:after="40"/>
              <w:jc w:val="left"/>
              <w:rPr>
                <w:rFonts w:asciiTheme="minorHAnsi" w:hAnsiTheme="minorHAnsi"/>
                <w:sz w:val="18"/>
                <w:szCs w:val="18"/>
              </w:rPr>
            </w:pPr>
          </w:p>
        </w:tc>
        <w:tc>
          <w:tcPr>
            <w:tcW w:w="1985" w:type="dxa"/>
            <w:vMerge/>
            <w:tcBorders>
              <w:left w:val="single" w:sz="4" w:space="0" w:color="auto"/>
              <w:bottom w:val="single" w:sz="4" w:space="0" w:color="auto"/>
              <w:right w:val="single" w:sz="4" w:space="0" w:color="auto"/>
            </w:tcBorders>
            <w:shd w:val="clear" w:color="auto" w:fill="92D050"/>
            <w:vAlign w:val="center"/>
            <w:hideMark/>
          </w:tcPr>
          <w:p w:rsidR="00BA5E36" w:rsidRPr="00561936" w:rsidRDefault="00BA5E36" w:rsidP="00553B2D">
            <w:pPr>
              <w:pStyle w:val="ListBullet"/>
              <w:spacing w:after="40"/>
              <w:ind w:left="175" w:hanging="175"/>
              <w:jc w:val="left"/>
              <w:rPr>
                <w:rFonts w:asciiTheme="minorHAnsi" w:hAnsiTheme="minorHAnsi"/>
                <w:sz w:val="18"/>
                <w:szCs w:val="18"/>
              </w:rPr>
            </w:pPr>
          </w:p>
        </w:tc>
        <w:tc>
          <w:tcPr>
            <w:tcW w:w="2126" w:type="dxa"/>
            <w:vMerge/>
            <w:tcBorders>
              <w:left w:val="nil"/>
              <w:bottom w:val="single" w:sz="4" w:space="0" w:color="auto"/>
              <w:right w:val="single" w:sz="4" w:space="0" w:color="auto"/>
            </w:tcBorders>
            <w:shd w:val="clear" w:color="auto" w:fill="D6E3BC" w:themeFill="accent3" w:themeFillTint="66"/>
            <w:vAlign w:val="center"/>
          </w:tcPr>
          <w:p w:rsidR="00BA5E36" w:rsidRPr="00561936" w:rsidRDefault="00BA5E36" w:rsidP="00553B2D">
            <w:pPr>
              <w:pStyle w:val="ListBullet"/>
              <w:spacing w:after="40"/>
              <w:ind w:left="175" w:hanging="175"/>
              <w:jc w:val="left"/>
              <w:rPr>
                <w:rFonts w:asciiTheme="minorHAnsi" w:hAnsiTheme="minorHAnsi"/>
                <w:sz w:val="18"/>
                <w:szCs w:val="18"/>
              </w:rPr>
            </w:pPr>
          </w:p>
        </w:tc>
      </w:tr>
    </w:tbl>
    <w:p w:rsidR="00C93532" w:rsidRDefault="00C93532" w:rsidP="00CB49A3">
      <w:pPr>
        <w:pStyle w:val="NormalWeb"/>
        <w:spacing w:after="0"/>
        <w:rPr>
          <w:rFonts w:ascii="Century Gothic" w:hAnsi="Century Gothic"/>
          <w:sz w:val="20"/>
          <w:szCs w:val="20"/>
        </w:rPr>
      </w:pPr>
    </w:p>
    <w:p w:rsidR="00432D99" w:rsidRPr="003C7B4D" w:rsidRDefault="00641278" w:rsidP="003C7B4D">
      <w:pPr>
        <w:pStyle w:val="Heading2"/>
        <w:numPr>
          <w:ilvl w:val="0"/>
          <w:numId w:val="0"/>
        </w:numPr>
        <w:spacing w:after="240"/>
        <w:jc w:val="left"/>
        <w:rPr>
          <w:rFonts w:ascii="Century Gothic" w:hAnsi="Century Gothic" w:cs="Calibri"/>
          <w:noProof/>
          <w:color w:val="5F497A" w:themeColor="accent4" w:themeShade="BF"/>
          <w:sz w:val="24"/>
          <w:szCs w:val="24"/>
          <w:lang w:val="en-GB" w:eastAsia="en-US"/>
        </w:rPr>
      </w:pPr>
      <w:bookmarkStart w:id="37" w:name="_Toc422389615"/>
      <w:r>
        <w:rPr>
          <w:rFonts w:ascii="Century Gothic" w:hAnsi="Century Gothic" w:cs="Calibri"/>
          <w:noProof/>
          <w:color w:val="5F497A" w:themeColor="accent4" w:themeShade="BF"/>
          <w:sz w:val="24"/>
          <w:szCs w:val="24"/>
          <w:lang w:val="en-GB" w:eastAsia="en-US"/>
        </w:rPr>
        <w:t>Catchment long–</w:t>
      </w:r>
      <w:r w:rsidR="00384203" w:rsidRPr="003C7B4D">
        <w:rPr>
          <w:rFonts w:ascii="Century Gothic" w:hAnsi="Century Gothic" w:cs="Calibri"/>
          <w:noProof/>
          <w:color w:val="5F497A" w:themeColor="accent4" w:themeShade="BF"/>
          <w:sz w:val="24"/>
          <w:szCs w:val="24"/>
          <w:lang w:val="en-GB" w:eastAsia="en-US"/>
        </w:rPr>
        <w:t>term environmental demands</w:t>
      </w:r>
      <w:bookmarkEnd w:id="37"/>
    </w:p>
    <w:p w:rsidR="00495648" w:rsidRPr="00495648" w:rsidRDefault="00495648" w:rsidP="00F5362B">
      <w:pPr>
        <w:pStyle w:val="NormalWeb"/>
        <w:spacing w:after="240"/>
        <w:rPr>
          <w:rFonts w:ascii="Century Gothic" w:hAnsi="Century Gothic"/>
          <w:sz w:val="20"/>
          <w:szCs w:val="20"/>
        </w:rPr>
      </w:pPr>
      <w:r>
        <w:rPr>
          <w:rFonts w:ascii="Century Gothic" w:hAnsi="Century Gothic"/>
          <w:sz w:val="20"/>
          <w:szCs w:val="20"/>
        </w:rPr>
        <w:t>Under the environmental watering plan, s</w:t>
      </w:r>
      <w:r w:rsidRPr="00495648">
        <w:rPr>
          <w:rFonts w:ascii="Century Gothic" w:hAnsi="Century Gothic"/>
          <w:sz w:val="20"/>
          <w:szCs w:val="20"/>
        </w:rPr>
        <w:t xml:space="preserve">tate governments are </w:t>
      </w:r>
      <w:r>
        <w:rPr>
          <w:rFonts w:ascii="Century Gothic" w:hAnsi="Century Gothic"/>
          <w:sz w:val="20"/>
          <w:szCs w:val="20"/>
        </w:rPr>
        <w:t xml:space="preserve">required to </w:t>
      </w:r>
      <w:r w:rsidRPr="00495648">
        <w:rPr>
          <w:rFonts w:ascii="Century Gothic" w:hAnsi="Century Gothic"/>
          <w:sz w:val="20"/>
          <w:szCs w:val="20"/>
        </w:rPr>
        <w:t>develop long-term watering plans for each catchment in the Basin. These plans will identify:</w:t>
      </w:r>
    </w:p>
    <w:p w:rsidR="00940242" w:rsidRDefault="00495648" w:rsidP="00F5362B">
      <w:pPr>
        <w:numPr>
          <w:ilvl w:val="0"/>
          <w:numId w:val="9"/>
        </w:numPr>
        <w:spacing w:after="240"/>
        <w:rPr>
          <w:rFonts w:ascii="Century Gothic" w:hAnsi="Century Gothic"/>
        </w:rPr>
      </w:pPr>
      <w:r w:rsidRPr="00495648">
        <w:rPr>
          <w:rFonts w:ascii="Century Gothic" w:hAnsi="Century Gothic"/>
        </w:rPr>
        <w:t xml:space="preserve">the priority environmental assets and ecosystem functions in the catchment </w:t>
      </w:r>
    </w:p>
    <w:p w:rsidR="00940242" w:rsidRDefault="00495648" w:rsidP="00F5362B">
      <w:pPr>
        <w:numPr>
          <w:ilvl w:val="0"/>
          <w:numId w:val="9"/>
        </w:numPr>
        <w:spacing w:after="240"/>
        <w:rPr>
          <w:rFonts w:ascii="Century Gothic" w:hAnsi="Century Gothic"/>
        </w:rPr>
      </w:pPr>
      <w:r w:rsidRPr="00495648">
        <w:rPr>
          <w:rFonts w:ascii="Century Gothic" w:hAnsi="Century Gothic"/>
        </w:rPr>
        <w:t xml:space="preserve">the objectives and targets for these assets and functions </w:t>
      </w:r>
    </w:p>
    <w:p w:rsidR="00940242" w:rsidRDefault="00495648" w:rsidP="00F5362B">
      <w:pPr>
        <w:numPr>
          <w:ilvl w:val="0"/>
          <w:numId w:val="9"/>
        </w:numPr>
        <w:spacing w:after="240"/>
        <w:rPr>
          <w:rFonts w:ascii="Century Gothic" w:hAnsi="Century Gothic"/>
        </w:rPr>
      </w:pPr>
      <w:r w:rsidRPr="00495648">
        <w:rPr>
          <w:rFonts w:ascii="Century Gothic" w:hAnsi="Century Gothic"/>
        </w:rPr>
        <w:t xml:space="preserve">their watering requirements </w:t>
      </w:r>
    </w:p>
    <w:p w:rsidR="00495648" w:rsidRDefault="00495648" w:rsidP="00F5362B">
      <w:pPr>
        <w:pStyle w:val="NormalWeb"/>
        <w:spacing w:after="240"/>
        <w:rPr>
          <w:rFonts w:ascii="Century Gothic" w:hAnsi="Century Gothic"/>
          <w:sz w:val="20"/>
          <w:szCs w:val="20"/>
        </w:rPr>
      </w:pPr>
      <w:r w:rsidRPr="00495648">
        <w:rPr>
          <w:rFonts w:ascii="Century Gothic" w:hAnsi="Century Gothic"/>
          <w:sz w:val="20"/>
          <w:szCs w:val="20"/>
        </w:rPr>
        <w:t>In developing these plans, state governments will be consulting with environmental water holders and local communities.</w:t>
      </w:r>
      <w:r>
        <w:rPr>
          <w:rFonts w:ascii="Century Gothic" w:hAnsi="Century Gothic"/>
          <w:sz w:val="20"/>
          <w:szCs w:val="20"/>
        </w:rPr>
        <w:t xml:space="preserve"> </w:t>
      </w:r>
    </w:p>
    <w:p w:rsidR="00384203" w:rsidRPr="00384203" w:rsidRDefault="00495648" w:rsidP="00F5362B">
      <w:pPr>
        <w:pStyle w:val="NormalWeb"/>
        <w:spacing w:after="240"/>
        <w:rPr>
          <w:rFonts w:ascii="Century Gothic" w:hAnsi="Century Gothic"/>
          <w:sz w:val="20"/>
          <w:szCs w:val="20"/>
        </w:rPr>
      </w:pPr>
      <w:r w:rsidRPr="00495648">
        <w:rPr>
          <w:rFonts w:ascii="Century Gothic" w:hAnsi="Century Gothic"/>
          <w:sz w:val="20"/>
          <w:szCs w:val="20"/>
        </w:rPr>
        <w:t xml:space="preserve">Once developed, these plans will provide the key information on the long-term environmental water demands </w:t>
      </w:r>
      <w:r>
        <w:rPr>
          <w:rFonts w:ascii="Century Gothic" w:hAnsi="Century Gothic"/>
          <w:sz w:val="20"/>
          <w:szCs w:val="20"/>
        </w:rPr>
        <w:t>at</w:t>
      </w:r>
      <w:r w:rsidRPr="00495648">
        <w:rPr>
          <w:rFonts w:ascii="Century Gothic" w:hAnsi="Century Gothic"/>
          <w:sz w:val="20"/>
          <w:szCs w:val="20"/>
        </w:rPr>
        <w:t xml:space="preserve"> the catchment</w:t>
      </w:r>
      <w:r>
        <w:rPr>
          <w:rFonts w:ascii="Century Gothic" w:hAnsi="Century Gothic"/>
          <w:sz w:val="20"/>
          <w:szCs w:val="20"/>
        </w:rPr>
        <w:t>-scale</w:t>
      </w:r>
      <w:r w:rsidRPr="00495648">
        <w:rPr>
          <w:rFonts w:ascii="Century Gothic" w:hAnsi="Century Gothic"/>
          <w:sz w:val="20"/>
          <w:szCs w:val="20"/>
        </w:rPr>
        <w:t>.</w:t>
      </w:r>
      <w:r>
        <w:rPr>
          <w:rFonts w:ascii="Century Gothic" w:hAnsi="Century Gothic"/>
          <w:sz w:val="20"/>
          <w:szCs w:val="20"/>
        </w:rPr>
        <w:t xml:space="preserve"> </w:t>
      </w:r>
      <w:r w:rsidRPr="00495648">
        <w:rPr>
          <w:rFonts w:ascii="Century Gothic" w:hAnsi="Century Gothic"/>
          <w:sz w:val="20"/>
          <w:szCs w:val="20"/>
        </w:rPr>
        <w:t>Prior to the development of long-term watering plans, the Office will continue to draw on existing documentation on environmental water demands developed by state governments, local natural resource management agencies and the Murray-Darling Basin Authority.</w:t>
      </w:r>
    </w:p>
    <w:p w:rsidR="00273B89" w:rsidRPr="003C7B4D" w:rsidRDefault="00495648" w:rsidP="003C7B4D">
      <w:pPr>
        <w:pStyle w:val="Heading2"/>
        <w:numPr>
          <w:ilvl w:val="0"/>
          <w:numId w:val="0"/>
        </w:numPr>
        <w:spacing w:after="240"/>
        <w:jc w:val="left"/>
        <w:rPr>
          <w:rFonts w:ascii="Century Gothic" w:hAnsi="Century Gothic" w:cs="Calibri"/>
          <w:noProof/>
          <w:color w:val="5F497A" w:themeColor="accent4" w:themeShade="BF"/>
          <w:sz w:val="24"/>
          <w:szCs w:val="24"/>
          <w:lang w:val="en-GB" w:eastAsia="en-US"/>
        </w:rPr>
      </w:pPr>
      <w:bookmarkStart w:id="38" w:name="_Toc422389616"/>
      <w:bookmarkStart w:id="39" w:name="_Toc414367239"/>
      <w:r w:rsidRPr="003C7B4D">
        <w:rPr>
          <w:rFonts w:ascii="Century Gothic" w:hAnsi="Century Gothic" w:cs="Calibri"/>
          <w:noProof/>
          <w:color w:val="5F497A" w:themeColor="accent4" w:themeShade="BF"/>
          <w:sz w:val="24"/>
          <w:szCs w:val="24"/>
          <w:lang w:val="en-GB" w:eastAsia="en-US"/>
        </w:rPr>
        <w:t>Annual environmental water demands</w:t>
      </w:r>
      <w:bookmarkEnd w:id="38"/>
    </w:p>
    <w:p w:rsidR="005A6FF7" w:rsidRDefault="00697322" w:rsidP="00273B89">
      <w:pPr>
        <w:pStyle w:val="Para0"/>
        <w:spacing w:line="240" w:lineRule="auto"/>
        <w:jc w:val="left"/>
        <w:rPr>
          <w:rFonts w:ascii="Century Gothic" w:hAnsi="Century Gothic"/>
          <w:color w:val="auto"/>
        </w:rPr>
      </w:pPr>
      <w:r>
        <w:rPr>
          <w:rFonts w:ascii="Century Gothic" w:hAnsi="Century Gothic"/>
          <w:color w:val="auto"/>
        </w:rPr>
        <w:t>Prior to the start of the each new water year,</w:t>
      </w:r>
      <w:r w:rsidR="00273B89" w:rsidRPr="00BE31EB">
        <w:rPr>
          <w:rFonts w:ascii="Century Gothic" w:hAnsi="Century Gothic"/>
          <w:color w:val="auto"/>
        </w:rPr>
        <w:t xml:space="preserve"> the MDBA must </w:t>
      </w:r>
      <w:r w:rsidR="005A6FF7">
        <w:rPr>
          <w:rFonts w:ascii="Century Gothic" w:hAnsi="Century Gothic"/>
          <w:color w:val="auto"/>
        </w:rPr>
        <w:t>publish</w:t>
      </w:r>
      <w:r w:rsidR="005A6FF7" w:rsidRPr="00BE31EB">
        <w:rPr>
          <w:rFonts w:ascii="Century Gothic" w:hAnsi="Century Gothic"/>
          <w:color w:val="auto"/>
        </w:rPr>
        <w:t xml:space="preserve"> </w:t>
      </w:r>
      <w:r w:rsidR="00273B89" w:rsidRPr="00BE31EB">
        <w:rPr>
          <w:rFonts w:ascii="Century Gothic" w:hAnsi="Century Gothic"/>
          <w:color w:val="auto"/>
        </w:rPr>
        <w:t xml:space="preserve">Basin </w:t>
      </w:r>
      <w:r w:rsidR="00273B89">
        <w:rPr>
          <w:rFonts w:ascii="Century Gothic" w:hAnsi="Century Gothic"/>
          <w:color w:val="auto"/>
        </w:rPr>
        <w:t>a</w:t>
      </w:r>
      <w:r w:rsidR="00273B89" w:rsidRPr="00BE31EB">
        <w:rPr>
          <w:rFonts w:ascii="Century Gothic" w:hAnsi="Century Gothic"/>
          <w:color w:val="auto"/>
        </w:rPr>
        <w:t xml:space="preserve">nnual </w:t>
      </w:r>
      <w:r w:rsidR="00273B89">
        <w:rPr>
          <w:rFonts w:ascii="Century Gothic" w:hAnsi="Century Gothic"/>
          <w:color w:val="auto"/>
        </w:rPr>
        <w:t>e</w:t>
      </w:r>
      <w:r w:rsidR="00273B89" w:rsidRPr="00BE31EB">
        <w:rPr>
          <w:rFonts w:ascii="Century Gothic" w:hAnsi="Century Gothic"/>
          <w:color w:val="auto"/>
        </w:rPr>
        <w:t xml:space="preserve">nvironmental </w:t>
      </w:r>
      <w:r w:rsidR="00273B89">
        <w:rPr>
          <w:rFonts w:ascii="Century Gothic" w:hAnsi="Century Gothic"/>
          <w:color w:val="auto"/>
        </w:rPr>
        <w:t>w</w:t>
      </w:r>
      <w:r w:rsidR="00273B89" w:rsidRPr="00BE31EB">
        <w:rPr>
          <w:rFonts w:ascii="Century Gothic" w:hAnsi="Century Gothic"/>
          <w:color w:val="auto"/>
        </w:rPr>
        <w:t xml:space="preserve">atering </w:t>
      </w:r>
      <w:r w:rsidR="00273B89">
        <w:rPr>
          <w:rFonts w:ascii="Century Gothic" w:hAnsi="Century Gothic"/>
          <w:color w:val="auto"/>
        </w:rPr>
        <w:t>p</w:t>
      </w:r>
      <w:r w:rsidR="00273B89" w:rsidRPr="00BE31EB">
        <w:rPr>
          <w:rFonts w:ascii="Century Gothic" w:hAnsi="Century Gothic"/>
          <w:color w:val="auto"/>
        </w:rPr>
        <w:t xml:space="preserve">riorities. </w:t>
      </w:r>
      <w:r w:rsidR="005A6FF7">
        <w:rPr>
          <w:rFonts w:ascii="Century Gothic" w:hAnsi="Century Gothic"/>
          <w:color w:val="auto"/>
        </w:rPr>
        <w:t>All environmental watering must be undertaken having regard to the priorities.</w:t>
      </w:r>
    </w:p>
    <w:p w:rsidR="00273B89" w:rsidRDefault="00273B89" w:rsidP="00273B89">
      <w:pPr>
        <w:pStyle w:val="Para0"/>
        <w:spacing w:line="240" w:lineRule="auto"/>
        <w:jc w:val="left"/>
        <w:rPr>
          <w:rFonts w:ascii="Century Gothic" w:hAnsi="Century Gothic"/>
          <w:color w:val="auto"/>
        </w:rPr>
      </w:pPr>
      <w:r>
        <w:rPr>
          <w:rFonts w:ascii="Century Gothic" w:hAnsi="Century Gothic"/>
          <w:color w:val="auto"/>
        </w:rPr>
        <w:t>These are developed having regard to the annual environmental watering priorities developed by Basin States for each catchment.</w:t>
      </w:r>
    </w:p>
    <w:p w:rsidR="00273B89" w:rsidRPr="00BE31EB" w:rsidRDefault="00273B89" w:rsidP="00273B89">
      <w:pPr>
        <w:pStyle w:val="Para0"/>
        <w:spacing w:line="240" w:lineRule="auto"/>
        <w:jc w:val="left"/>
        <w:rPr>
          <w:rFonts w:ascii="Century Gothic" w:hAnsi="Century Gothic"/>
          <w:color w:val="auto"/>
        </w:rPr>
      </w:pPr>
      <w:r w:rsidRPr="00BE31EB">
        <w:rPr>
          <w:rFonts w:ascii="Century Gothic" w:hAnsi="Century Gothic"/>
          <w:color w:val="auto"/>
        </w:rPr>
        <w:t xml:space="preserve">The Office has </w:t>
      </w:r>
      <w:r>
        <w:rPr>
          <w:rFonts w:ascii="Century Gothic" w:hAnsi="Century Gothic"/>
          <w:color w:val="auto"/>
        </w:rPr>
        <w:t xml:space="preserve">also </w:t>
      </w:r>
      <w:r w:rsidRPr="00BE31EB">
        <w:rPr>
          <w:rFonts w:ascii="Century Gothic" w:hAnsi="Century Gothic"/>
          <w:color w:val="auto"/>
        </w:rPr>
        <w:t>been consulted in the development of the priorities for 201</w:t>
      </w:r>
      <w:r>
        <w:rPr>
          <w:rFonts w:ascii="Century Gothic" w:hAnsi="Century Gothic"/>
          <w:color w:val="auto"/>
        </w:rPr>
        <w:t>5</w:t>
      </w:r>
      <w:r w:rsidRPr="00BE31EB">
        <w:rPr>
          <w:rFonts w:ascii="Century Gothic" w:hAnsi="Century Gothic"/>
          <w:color w:val="auto"/>
        </w:rPr>
        <w:t>–1</w:t>
      </w:r>
      <w:r>
        <w:rPr>
          <w:rFonts w:ascii="Century Gothic" w:hAnsi="Century Gothic"/>
          <w:color w:val="auto"/>
        </w:rPr>
        <w:t>6</w:t>
      </w:r>
      <w:r w:rsidRPr="00BE31EB">
        <w:rPr>
          <w:rFonts w:ascii="Century Gothic" w:hAnsi="Century Gothic"/>
          <w:color w:val="auto"/>
        </w:rPr>
        <w:t xml:space="preserve">. Through an iterative process, the Office’s development of </w:t>
      </w:r>
      <w:r>
        <w:rPr>
          <w:rFonts w:ascii="Century Gothic" w:hAnsi="Century Gothic"/>
          <w:color w:val="auto"/>
        </w:rPr>
        <w:t xml:space="preserve">portfolio management plans for </w:t>
      </w:r>
      <w:r w:rsidRPr="00BE31EB">
        <w:rPr>
          <w:rFonts w:ascii="Century Gothic" w:hAnsi="Century Gothic"/>
          <w:color w:val="auto"/>
        </w:rPr>
        <w:t>Commonwealth environmental water</w:t>
      </w:r>
      <w:r>
        <w:rPr>
          <w:rFonts w:ascii="Century Gothic" w:hAnsi="Century Gothic"/>
          <w:color w:val="auto"/>
        </w:rPr>
        <w:t xml:space="preserve"> in</w:t>
      </w:r>
      <w:r w:rsidRPr="00BE31EB">
        <w:rPr>
          <w:rFonts w:ascii="Century Gothic" w:hAnsi="Century Gothic"/>
          <w:color w:val="auto"/>
        </w:rPr>
        <w:t xml:space="preserve"> 201</w:t>
      </w:r>
      <w:r>
        <w:rPr>
          <w:rFonts w:ascii="Century Gothic" w:hAnsi="Century Gothic"/>
          <w:color w:val="auto"/>
        </w:rPr>
        <w:t>5</w:t>
      </w:r>
      <w:r w:rsidRPr="00BE31EB">
        <w:rPr>
          <w:rFonts w:ascii="Century Gothic" w:hAnsi="Century Gothic"/>
          <w:color w:val="auto"/>
        </w:rPr>
        <w:t>–1</w:t>
      </w:r>
      <w:r>
        <w:rPr>
          <w:rFonts w:ascii="Century Gothic" w:hAnsi="Century Gothic"/>
          <w:color w:val="auto"/>
        </w:rPr>
        <w:t>6</w:t>
      </w:r>
      <w:r w:rsidRPr="00BE31EB">
        <w:rPr>
          <w:rFonts w:ascii="Century Gothic" w:hAnsi="Century Gothic"/>
          <w:color w:val="auto"/>
        </w:rPr>
        <w:t xml:space="preserve"> has informed the development of</w:t>
      </w:r>
      <w:r>
        <w:rPr>
          <w:rFonts w:ascii="Century Gothic" w:hAnsi="Century Gothic"/>
          <w:color w:val="auto"/>
        </w:rPr>
        <w:t>, and been informed by,</w:t>
      </w:r>
      <w:r w:rsidRPr="00BE31EB">
        <w:rPr>
          <w:rFonts w:ascii="Century Gothic" w:hAnsi="Century Gothic"/>
          <w:color w:val="auto"/>
        </w:rPr>
        <w:t xml:space="preserve"> the Basin annual </w:t>
      </w:r>
      <w:r>
        <w:rPr>
          <w:rFonts w:ascii="Century Gothic" w:hAnsi="Century Gothic"/>
          <w:color w:val="auto"/>
        </w:rPr>
        <w:t xml:space="preserve">environmental </w:t>
      </w:r>
      <w:r w:rsidRPr="00BE31EB">
        <w:rPr>
          <w:rFonts w:ascii="Century Gothic" w:hAnsi="Century Gothic"/>
          <w:color w:val="auto"/>
        </w:rPr>
        <w:t>watering priorities.</w:t>
      </w:r>
    </w:p>
    <w:p w:rsidR="00273B89" w:rsidRPr="00721ECC" w:rsidRDefault="00273B89" w:rsidP="00273B89">
      <w:pPr>
        <w:pStyle w:val="Para0"/>
        <w:spacing w:line="240" w:lineRule="auto"/>
        <w:jc w:val="left"/>
        <w:rPr>
          <w:rFonts w:ascii="Century Gothic" w:hAnsi="Century Gothic"/>
          <w:color w:val="auto"/>
        </w:rPr>
      </w:pPr>
      <w:r w:rsidRPr="00721ECC">
        <w:rPr>
          <w:rFonts w:ascii="Century Gothic" w:hAnsi="Century Gothic"/>
          <w:color w:val="auto"/>
        </w:rPr>
        <w:t xml:space="preserve">The Basin annual environmental watering priorities for 2015–16 are identified </w:t>
      </w:r>
      <w:r w:rsidRPr="00721ECC">
        <w:rPr>
          <w:rFonts w:ascii="Century Gothic" w:hAnsi="Century Gothic"/>
        </w:rPr>
        <w:t>below</w:t>
      </w:r>
      <w:r w:rsidR="00CB49A3">
        <w:rPr>
          <w:rFonts w:ascii="Century Gothic" w:hAnsi="Century Gothic"/>
        </w:rPr>
        <w:t xml:space="preserve"> (with more detailed information available at</w:t>
      </w:r>
      <w:r w:rsidRPr="00721ECC">
        <w:rPr>
          <w:rFonts w:ascii="Century Gothic" w:hAnsi="Century Gothic"/>
          <w:color w:val="auto"/>
        </w:rPr>
        <w:t>:</w:t>
      </w:r>
      <w:r w:rsidR="00CB49A3">
        <w:rPr>
          <w:rFonts w:ascii="Century Gothic" w:hAnsi="Century Gothic"/>
          <w:color w:val="auto"/>
        </w:rPr>
        <w:t xml:space="preserve"> </w:t>
      </w:r>
      <w:hyperlink r:id="rId24" w:history="1">
        <w:r w:rsidR="00CB49A3" w:rsidRPr="002B6397">
          <w:rPr>
            <w:rStyle w:val="Hyperlink"/>
            <w:rFonts w:ascii="Century Gothic" w:hAnsi="Century Gothic"/>
          </w:rPr>
          <w:t>http://www.mdba.gov.au/media-pubs/publications/basin-annual-environmental-watering-priorities-2015-16</w:t>
        </w:r>
      </w:hyperlink>
      <w:r w:rsidR="005C7253">
        <w:rPr>
          <w:rFonts w:ascii="Century Gothic" w:hAnsi="Century Gothic"/>
          <w:color w:val="auto"/>
        </w:rPr>
        <w:t>)</w:t>
      </w:r>
      <w:r w:rsidR="00CB49A3">
        <w:rPr>
          <w:rFonts w:ascii="Century Gothic" w:hAnsi="Century Gothic"/>
          <w:color w:val="auto"/>
        </w:rPr>
        <w:t>.</w:t>
      </w:r>
    </w:p>
    <w:p w:rsidR="00775B3B" w:rsidRPr="00775B3B" w:rsidRDefault="00775B3B" w:rsidP="00775B3B">
      <w:pPr>
        <w:pStyle w:val="NormalWeb"/>
        <w:spacing w:after="240"/>
        <w:rPr>
          <w:rFonts w:ascii="Century Gothic" w:hAnsi="Century Gothic"/>
          <w:b/>
          <w:sz w:val="20"/>
          <w:szCs w:val="20"/>
        </w:rPr>
      </w:pPr>
      <w:r w:rsidRPr="00775B3B">
        <w:rPr>
          <w:rFonts w:ascii="Century Gothic" w:hAnsi="Century Gothic"/>
          <w:b/>
          <w:sz w:val="20"/>
          <w:szCs w:val="20"/>
        </w:rPr>
        <w:t xml:space="preserve">Basin-wide flow variability and longitudinal connectivity: </w:t>
      </w:r>
      <w:r w:rsidRPr="00775B3B">
        <w:rPr>
          <w:rFonts w:ascii="Century Gothic" w:hAnsi="Century Gothic"/>
          <w:sz w:val="20"/>
          <w:szCs w:val="20"/>
        </w:rPr>
        <w:t>Provide flow variability and longitudinal connectivity within rivers to support refuge habitats</w:t>
      </w:r>
      <w:r w:rsidRPr="00775B3B">
        <w:rPr>
          <w:rFonts w:ascii="Century Gothic" w:hAnsi="Century Gothic"/>
          <w:b/>
          <w:sz w:val="20"/>
          <w:szCs w:val="20"/>
        </w:rPr>
        <w:t>.</w:t>
      </w:r>
    </w:p>
    <w:p w:rsidR="00775B3B" w:rsidRDefault="00775B3B" w:rsidP="00CB49A3">
      <w:pPr>
        <w:pStyle w:val="NormalWeb"/>
        <w:spacing w:after="240"/>
        <w:ind w:left="284"/>
        <w:rPr>
          <w:rFonts w:ascii="Century Gothic" w:hAnsi="Century Gothic"/>
          <w:b/>
          <w:sz w:val="20"/>
          <w:szCs w:val="20"/>
        </w:rPr>
      </w:pPr>
      <w:r w:rsidRPr="00775B3B">
        <w:rPr>
          <w:rFonts w:ascii="Century Gothic" w:hAnsi="Century Gothic"/>
          <w:b/>
          <w:sz w:val="20"/>
          <w:szCs w:val="20"/>
        </w:rPr>
        <w:t xml:space="preserve">River Murray weir pool variation: </w:t>
      </w:r>
      <w:r w:rsidRPr="00775B3B">
        <w:rPr>
          <w:rFonts w:ascii="Century Gothic" w:hAnsi="Century Gothic"/>
          <w:sz w:val="20"/>
          <w:szCs w:val="20"/>
        </w:rPr>
        <w:t>Ensure a variable flow pattern and lateral connectivity through coordinated weir pool management in the River Murray from Euston to Blanchetown.</w:t>
      </w:r>
    </w:p>
    <w:p w:rsidR="00775B3B" w:rsidRPr="00775B3B" w:rsidRDefault="00775B3B" w:rsidP="00CB49A3">
      <w:pPr>
        <w:pStyle w:val="NormalWeb"/>
        <w:spacing w:after="240"/>
        <w:ind w:left="284"/>
        <w:rPr>
          <w:rFonts w:ascii="Century Gothic" w:hAnsi="Century Gothic"/>
          <w:b/>
          <w:sz w:val="20"/>
          <w:szCs w:val="20"/>
        </w:rPr>
      </w:pPr>
      <w:r w:rsidRPr="00775B3B">
        <w:rPr>
          <w:rFonts w:ascii="Century Gothic" w:hAnsi="Century Gothic"/>
          <w:b/>
          <w:sz w:val="20"/>
          <w:szCs w:val="20"/>
        </w:rPr>
        <w:lastRenderedPageBreak/>
        <w:t xml:space="preserve">Coorong, Lower Lakes and Murray Mouth: </w:t>
      </w:r>
      <w:r w:rsidRPr="00CB49A3">
        <w:rPr>
          <w:rFonts w:ascii="Century Gothic" w:hAnsi="Century Gothic"/>
          <w:sz w:val="20"/>
          <w:szCs w:val="20"/>
        </w:rPr>
        <w:t>Improve water quality, fringing vegetation and native fish movement by varying the water levels in Lakes Alexandrina and Albert to maintain flows into the Coorong and Murray Mouth.</w:t>
      </w:r>
    </w:p>
    <w:p w:rsidR="00775B3B" w:rsidRPr="00775B3B" w:rsidRDefault="00775B3B" w:rsidP="00775B3B">
      <w:pPr>
        <w:pStyle w:val="NormalWeb"/>
        <w:spacing w:after="240"/>
        <w:rPr>
          <w:rFonts w:ascii="Century Gothic" w:hAnsi="Century Gothic"/>
          <w:b/>
          <w:sz w:val="20"/>
          <w:szCs w:val="20"/>
        </w:rPr>
      </w:pPr>
      <w:r w:rsidRPr="00775B3B">
        <w:rPr>
          <w:rFonts w:ascii="Century Gothic" w:hAnsi="Century Gothic"/>
          <w:b/>
          <w:sz w:val="20"/>
          <w:szCs w:val="20"/>
        </w:rPr>
        <w:t xml:space="preserve">Basin-wide in-stream and riparian vegetation: </w:t>
      </w:r>
      <w:r w:rsidRPr="00775B3B">
        <w:rPr>
          <w:rFonts w:ascii="Century Gothic" w:hAnsi="Century Gothic"/>
          <w:sz w:val="20"/>
          <w:szCs w:val="20"/>
        </w:rPr>
        <w:t>Maintain and where possible improve the condition of in-stream riparian vegetation, through in-channel freshes.</w:t>
      </w:r>
    </w:p>
    <w:p w:rsidR="00775B3B" w:rsidRDefault="00775B3B" w:rsidP="00CB49A3">
      <w:pPr>
        <w:pStyle w:val="NormalWeb"/>
        <w:spacing w:after="240"/>
        <w:ind w:left="284"/>
        <w:rPr>
          <w:rFonts w:ascii="Century Gothic" w:hAnsi="Century Gothic"/>
          <w:b/>
          <w:sz w:val="20"/>
          <w:szCs w:val="20"/>
        </w:rPr>
      </w:pPr>
      <w:r w:rsidRPr="00775B3B">
        <w:rPr>
          <w:rFonts w:ascii="Century Gothic" w:hAnsi="Century Gothic"/>
          <w:b/>
          <w:sz w:val="20"/>
          <w:szCs w:val="20"/>
        </w:rPr>
        <w:t xml:space="preserve">Mid-Murrumbidgee Wetlands: </w:t>
      </w:r>
      <w:r w:rsidRPr="00CB49A3">
        <w:rPr>
          <w:rFonts w:ascii="Century Gothic" w:hAnsi="Century Gothic"/>
          <w:sz w:val="20"/>
          <w:szCs w:val="20"/>
        </w:rPr>
        <w:t>Improve the condition of wetland vegetation communities in the mid-Murrumbidgee wetlands.</w:t>
      </w:r>
    </w:p>
    <w:p w:rsidR="00775B3B" w:rsidRDefault="00775B3B" w:rsidP="00CB49A3">
      <w:pPr>
        <w:pStyle w:val="NormalWeb"/>
        <w:spacing w:after="240"/>
        <w:ind w:left="284"/>
        <w:rPr>
          <w:rFonts w:ascii="Century Gothic" w:hAnsi="Century Gothic"/>
          <w:b/>
          <w:sz w:val="20"/>
          <w:szCs w:val="20"/>
        </w:rPr>
      </w:pPr>
      <w:r w:rsidRPr="00775B3B">
        <w:rPr>
          <w:rFonts w:ascii="Century Gothic" w:hAnsi="Century Gothic"/>
          <w:b/>
          <w:sz w:val="20"/>
          <w:szCs w:val="20"/>
        </w:rPr>
        <w:t xml:space="preserve">Macquarie Marshes: </w:t>
      </w:r>
      <w:r w:rsidRPr="00CB49A3">
        <w:rPr>
          <w:rFonts w:ascii="Century Gothic" w:hAnsi="Century Gothic"/>
          <w:sz w:val="20"/>
          <w:szCs w:val="20"/>
        </w:rPr>
        <w:t>Maintain semi-permanent wetland vegetation in core refuge areas in the Macquarie Marshes</w:t>
      </w:r>
      <w:r w:rsidRPr="00CB49A3">
        <w:rPr>
          <w:rFonts w:ascii="Century Gothic" w:hAnsi="Century Gothic"/>
          <w:b/>
          <w:sz w:val="20"/>
          <w:szCs w:val="20"/>
        </w:rPr>
        <w:t>.</w:t>
      </w:r>
    </w:p>
    <w:p w:rsidR="00775B3B" w:rsidRPr="00775B3B" w:rsidRDefault="00775B3B" w:rsidP="00CB49A3">
      <w:pPr>
        <w:pStyle w:val="NormalWeb"/>
        <w:spacing w:after="240"/>
        <w:ind w:left="284"/>
        <w:rPr>
          <w:rFonts w:ascii="Century Gothic" w:hAnsi="Century Gothic"/>
          <w:b/>
          <w:sz w:val="20"/>
          <w:szCs w:val="20"/>
        </w:rPr>
      </w:pPr>
      <w:r w:rsidRPr="00775B3B">
        <w:rPr>
          <w:rFonts w:ascii="Century Gothic" w:hAnsi="Century Gothic"/>
          <w:b/>
          <w:sz w:val="20"/>
          <w:szCs w:val="20"/>
        </w:rPr>
        <w:t xml:space="preserve">Moira grass: </w:t>
      </w:r>
      <w:r w:rsidRPr="00CB49A3">
        <w:rPr>
          <w:rFonts w:ascii="Century Gothic" w:hAnsi="Century Gothic"/>
          <w:sz w:val="20"/>
          <w:szCs w:val="20"/>
        </w:rPr>
        <w:t>Maintain the condition and range of Moira grass in Barmah–Millewa Forest by supplementing a natural event and extending the duration of inundation.</w:t>
      </w:r>
    </w:p>
    <w:p w:rsidR="00775B3B" w:rsidRPr="00775B3B" w:rsidRDefault="00775B3B" w:rsidP="00775B3B">
      <w:pPr>
        <w:pStyle w:val="NormalWeb"/>
        <w:spacing w:after="240"/>
        <w:rPr>
          <w:rFonts w:ascii="Century Gothic" w:hAnsi="Century Gothic"/>
          <w:b/>
          <w:sz w:val="20"/>
          <w:szCs w:val="20"/>
        </w:rPr>
      </w:pPr>
      <w:r w:rsidRPr="00775B3B">
        <w:rPr>
          <w:rFonts w:ascii="Century Gothic" w:hAnsi="Century Gothic"/>
          <w:b/>
          <w:sz w:val="20"/>
          <w:szCs w:val="20"/>
        </w:rPr>
        <w:t xml:space="preserve">Basin-wide waterbird habitat and future population recovery: </w:t>
      </w:r>
      <w:r w:rsidRPr="00721ECC">
        <w:rPr>
          <w:rFonts w:ascii="Century Gothic" w:hAnsi="Century Gothic"/>
          <w:sz w:val="20"/>
          <w:szCs w:val="20"/>
        </w:rPr>
        <w:t>Improve the complexity and health of priority waterbird habitat to maintain species richness and aid future population recovery.</w:t>
      </w:r>
    </w:p>
    <w:p w:rsidR="00775B3B" w:rsidRPr="00775B3B" w:rsidRDefault="00721ECC" w:rsidP="00775B3B">
      <w:pPr>
        <w:pStyle w:val="NormalWeb"/>
        <w:spacing w:after="240"/>
        <w:rPr>
          <w:rFonts w:ascii="Century Gothic" w:hAnsi="Century Gothic"/>
          <w:b/>
          <w:sz w:val="20"/>
          <w:szCs w:val="20"/>
        </w:rPr>
      </w:pPr>
      <w:r>
        <w:rPr>
          <w:rFonts w:ascii="Century Gothic" w:hAnsi="Century Gothic"/>
          <w:b/>
          <w:sz w:val="20"/>
          <w:szCs w:val="20"/>
        </w:rPr>
        <w:t>B</w:t>
      </w:r>
      <w:r w:rsidR="00775B3B" w:rsidRPr="00775B3B">
        <w:rPr>
          <w:rFonts w:ascii="Century Gothic" w:hAnsi="Century Gothic"/>
          <w:b/>
          <w:sz w:val="20"/>
          <w:szCs w:val="20"/>
        </w:rPr>
        <w:t xml:space="preserve">asin-wide native fish habitat and movement: </w:t>
      </w:r>
      <w:r w:rsidR="00775B3B" w:rsidRPr="00721ECC">
        <w:rPr>
          <w:rFonts w:ascii="Century Gothic" w:hAnsi="Century Gothic"/>
          <w:sz w:val="20"/>
          <w:szCs w:val="20"/>
        </w:rPr>
        <w:t>Maintain native fish populations by protecting and improving the condition of fish habitat and providing opportunities for movement.</w:t>
      </w:r>
    </w:p>
    <w:p w:rsidR="00775B3B" w:rsidRPr="00775B3B" w:rsidRDefault="00775B3B" w:rsidP="00CB49A3">
      <w:pPr>
        <w:pStyle w:val="NormalWeb"/>
        <w:spacing w:after="240"/>
        <w:ind w:left="284"/>
        <w:rPr>
          <w:rFonts w:ascii="Century Gothic" w:hAnsi="Century Gothic"/>
          <w:b/>
          <w:sz w:val="20"/>
          <w:szCs w:val="20"/>
        </w:rPr>
      </w:pPr>
      <w:r w:rsidRPr="00775B3B">
        <w:rPr>
          <w:rFonts w:ascii="Century Gothic" w:hAnsi="Century Gothic"/>
          <w:b/>
          <w:sz w:val="20"/>
          <w:szCs w:val="20"/>
        </w:rPr>
        <w:t xml:space="preserve">Northern Basin fish refuges: </w:t>
      </w:r>
      <w:r w:rsidRPr="00CB49A3">
        <w:rPr>
          <w:rFonts w:ascii="Century Gothic" w:hAnsi="Century Gothic"/>
          <w:sz w:val="20"/>
          <w:szCs w:val="20"/>
        </w:rPr>
        <w:t>Protect native fish populations and in-stream habitats, particularly drought refuges, in the northern Basin.</w:t>
      </w:r>
    </w:p>
    <w:p w:rsidR="00721ECC" w:rsidRDefault="00775B3B" w:rsidP="00CB49A3">
      <w:pPr>
        <w:pStyle w:val="NormalWeb"/>
        <w:spacing w:after="240"/>
        <w:ind w:left="284"/>
        <w:rPr>
          <w:rFonts w:ascii="Century Gothic" w:hAnsi="Century Gothic"/>
          <w:b/>
          <w:sz w:val="20"/>
          <w:szCs w:val="20"/>
        </w:rPr>
      </w:pPr>
      <w:r w:rsidRPr="00775B3B">
        <w:rPr>
          <w:rFonts w:ascii="Century Gothic" w:hAnsi="Century Gothic"/>
          <w:b/>
          <w:sz w:val="20"/>
          <w:szCs w:val="20"/>
        </w:rPr>
        <w:t xml:space="preserve">Silver perch: </w:t>
      </w:r>
      <w:r w:rsidRPr="00CB49A3">
        <w:rPr>
          <w:rFonts w:ascii="Century Gothic" w:hAnsi="Century Gothic"/>
          <w:sz w:val="20"/>
          <w:szCs w:val="20"/>
        </w:rPr>
        <w:t>Contribute to the long-term recovery of silver perch by maintaining key populations, supporting recruitment and facilitating movement and dispersal.</w:t>
      </w:r>
    </w:p>
    <w:p w:rsidR="00273B89" w:rsidRDefault="00273B89" w:rsidP="00273B89">
      <w:pPr>
        <w:pStyle w:val="Para0"/>
        <w:spacing w:line="240" w:lineRule="auto"/>
        <w:jc w:val="left"/>
        <w:rPr>
          <w:rFonts w:ascii="Century Gothic" w:hAnsi="Century Gothic"/>
          <w:color w:val="auto"/>
        </w:rPr>
      </w:pPr>
      <w:r w:rsidRPr="00721ECC">
        <w:rPr>
          <w:rFonts w:ascii="Century Gothic" w:hAnsi="Century Gothic"/>
          <w:color w:val="auto"/>
        </w:rPr>
        <w:t>Commonwealth environmental water</w:t>
      </w:r>
      <w:r w:rsidR="009D0B87" w:rsidRPr="00721ECC">
        <w:rPr>
          <w:rFonts w:ascii="Century Gothic" w:hAnsi="Century Gothic"/>
          <w:color w:val="auto"/>
        </w:rPr>
        <w:t>ing actions</w:t>
      </w:r>
      <w:r w:rsidRPr="00721ECC">
        <w:rPr>
          <w:rFonts w:ascii="Century Gothic" w:hAnsi="Century Gothic"/>
          <w:color w:val="auto"/>
        </w:rPr>
        <w:t xml:space="preserve"> will seek to contribute to the Basin annual environmental watering priorities, subject to conditions as they unfold throughout the year.</w:t>
      </w:r>
      <w:r w:rsidRPr="00BE31EB">
        <w:rPr>
          <w:rFonts w:ascii="Century Gothic" w:hAnsi="Century Gothic"/>
          <w:color w:val="auto"/>
        </w:rPr>
        <w:t xml:space="preserve"> </w:t>
      </w:r>
    </w:p>
    <w:p w:rsidR="00940242" w:rsidRPr="006C2670" w:rsidRDefault="005A6FF7" w:rsidP="006C2670">
      <w:pPr>
        <w:pStyle w:val="Heading1"/>
        <w:numPr>
          <w:ilvl w:val="1"/>
          <w:numId w:val="19"/>
        </w:numPr>
        <w:spacing w:before="240" w:after="240"/>
        <w:ind w:left="0" w:firstLine="0"/>
        <w:jc w:val="left"/>
        <w:rPr>
          <w:rFonts w:cs="Times New Roman"/>
          <w:caps w:val="0"/>
          <w:color w:val="5F497A" w:themeColor="accent4" w:themeShade="BF"/>
          <w:sz w:val="40"/>
          <w:szCs w:val="40"/>
          <w:lang w:val="en-GB" w:eastAsia="en-US"/>
        </w:rPr>
      </w:pPr>
      <w:bookmarkStart w:id="40" w:name="_Toc422389617"/>
      <w:bookmarkStart w:id="41" w:name="_Toc396916458"/>
      <w:bookmarkStart w:id="42" w:name="_Toc414367241"/>
      <w:bookmarkStart w:id="43" w:name="_Toc418060472"/>
      <w:bookmarkEnd w:id="39"/>
      <w:r w:rsidRPr="006C2670">
        <w:rPr>
          <w:rFonts w:cs="Times New Roman"/>
          <w:caps w:val="0"/>
          <w:color w:val="5F497A" w:themeColor="accent4" w:themeShade="BF"/>
          <w:sz w:val="40"/>
          <w:szCs w:val="40"/>
          <w:lang w:val="en-GB" w:eastAsia="en-US"/>
        </w:rPr>
        <w:t xml:space="preserve">Environmental water </w:t>
      </w:r>
      <w:r w:rsidR="00F5362B" w:rsidRPr="006C2670">
        <w:rPr>
          <w:rFonts w:cs="Times New Roman"/>
          <w:caps w:val="0"/>
          <w:color w:val="5F497A" w:themeColor="accent4" w:themeShade="BF"/>
          <w:sz w:val="40"/>
          <w:szCs w:val="40"/>
          <w:lang w:val="en-GB" w:eastAsia="en-US"/>
        </w:rPr>
        <w:t>supply</w:t>
      </w:r>
      <w:bookmarkEnd w:id="40"/>
    </w:p>
    <w:p w:rsidR="00940242" w:rsidRPr="003C7B4D" w:rsidRDefault="00F028C6" w:rsidP="003C7B4D">
      <w:pPr>
        <w:pStyle w:val="Heading2"/>
        <w:numPr>
          <w:ilvl w:val="0"/>
          <w:numId w:val="0"/>
        </w:numPr>
        <w:spacing w:after="240"/>
        <w:jc w:val="left"/>
        <w:rPr>
          <w:rFonts w:ascii="Century Gothic" w:hAnsi="Century Gothic" w:cs="Calibri"/>
          <w:noProof/>
          <w:color w:val="5F497A" w:themeColor="accent4" w:themeShade="BF"/>
          <w:sz w:val="24"/>
          <w:szCs w:val="24"/>
          <w:lang w:val="en-GB" w:eastAsia="en-US"/>
        </w:rPr>
      </w:pPr>
      <w:bookmarkStart w:id="44" w:name="_Toc422389618"/>
      <w:r w:rsidRPr="003C7B4D">
        <w:rPr>
          <w:rFonts w:ascii="Century Gothic" w:hAnsi="Century Gothic" w:cs="Calibri"/>
          <w:noProof/>
          <w:color w:val="5F497A" w:themeColor="accent4" w:themeShade="BF"/>
          <w:sz w:val="24"/>
          <w:szCs w:val="24"/>
          <w:lang w:val="en-GB" w:eastAsia="en-US"/>
        </w:rPr>
        <w:t>Comm</w:t>
      </w:r>
      <w:r w:rsidR="005A6FF7" w:rsidRPr="003C7B4D">
        <w:rPr>
          <w:rFonts w:ascii="Century Gothic" w:hAnsi="Century Gothic" w:cs="Calibri"/>
          <w:noProof/>
          <w:color w:val="5F497A" w:themeColor="accent4" w:themeShade="BF"/>
          <w:sz w:val="24"/>
          <w:szCs w:val="24"/>
          <w:lang w:val="en-GB" w:eastAsia="en-US"/>
        </w:rPr>
        <w:t>onwealth environmental water holdings</w:t>
      </w:r>
      <w:bookmarkEnd w:id="44"/>
    </w:p>
    <w:p w:rsidR="005A6FF7" w:rsidRPr="005A6FF7" w:rsidRDefault="005A6FF7" w:rsidP="005A6FF7">
      <w:pPr>
        <w:pStyle w:val="NormalWeb"/>
        <w:spacing w:after="240"/>
        <w:rPr>
          <w:rFonts w:ascii="Century Gothic" w:hAnsi="Century Gothic"/>
          <w:sz w:val="20"/>
          <w:szCs w:val="20"/>
        </w:rPr>
      </w:pPr>
      <w:r w:rsidRPr="005A6FF7">
        <w:rPr>
          <w:rFonts w:ascii="Century Gothic" w:hAnsi="Century Gothic"/>
          <w:sz w:val="20"/>
          <w:szCs w:val="20"/>
        </w:rPr>
        <w:t xml:space="preserve">The total volume of </w:t>
      </w:r>
      <w:r>
        <w:rPr>
          <w:rFonts w:ascii="Century Gothic" w:hAnsi="Century Gothic"/>
          <w:sz w:val="20"/>
          <w:szCs w:val="20"/>
        </w:rPr>
        <w:t xml:space="preserve">Commonwealth environmental water </w:t>
      </w:r>
      <w:r w:rsidRPr="008450E5">
        <w:rPr>
          <w:rFonts w:ascii="Century Gothic" w:hAnsi="Century Gothic"/>
          <w:sz w:val="20"/>
          <w:szCs w:val="20"/>
        </w:rPr>
        <w:t xml:space="preserve">holdings as at </w:t>
      </w:r>
      <w:r w:rsidR="00560528" w:rsidRPr="008450E5">
        <w:rPr>
          <w:rFonts w:ascii="Century Gothic" w:hAnsi="Century Gothic"/>
          <w:sz w:val="20"/>
          <w:szCs w:val="20"/>
        </w:rPr>
        <w:t>3</w:t>
      </w:r>
      <w:r w:rsidR="008450E5" w:rsidRPr="008450E5">
        <w:rPr>
          <w:rFonts w:ascii="Century Gothic" w:hAnsi="Century Gothic"/>
          <w:sz w:val="20"/>
          <w:szCs w:val="20"/>
        </w:rPr>
        <w:t>1</w:t>
      </w:r>
      <w:r w:rsidR="00560528" w:rsidRPr="008450E5">
        <w:rPr>
          <w:rFonts w:ascii="Century Gothic" w:hAnsi="Century Gothic"/>
          <w:sz w:val="20"/>
          <w:szCs w:val="20"/>
        </w:rPr>
        <w:t xml:space="preserve"> </w:t>
      </w:r>
      <w:r w:rsidR="008450E5" w:rsidRPr="008450E5">
        <w:rPr>
          <w:rFonts w:ascii="Century Gothic" w:hAnsi="Century Gothic"/>
          <w:sz w:val="20"/>
          <w:szCs w:val="20"/>
        </w:rPr>
        <w:t>May</w:t>
      </w:r>
      <w:r w:rsidR="00560528" w:rsidRPr="008450E5">
        <w:rPr>
          <w:rFonts w:ascii="Century Gothic" w:hAnsi="Century Gothic"/>
          <w:sz w:val="20"/>
          <w:szCs w:val="20"/>
        </w:rPr>
        <w:t xml:space="preserve"> 2015</w:t>
      </w:r>
      <w:r w:rsidRPr="008450E5">
        <w:rPr>
          <w:rFonts w:ascii="Century Gothic" w:hAnsi="Century Gothic"/>
          <w:sz w:val="20"/>
          <w:szCs w:val="20"/>
        </w:rPr>
        <w:t xml:space="preserve"> was 2,2</w:t>
      </w:r>
      <w:r w:rsidR="008450E5" w:rsidRPr="008450E5">
        <w:rPr>
          <w:rFonts w:ascii="Century Gothic" w:hAnsi="Century Gothic"/>
          <w:sz w:val="20"/>
          <w:szCs w:val="20"/>
        </w:rPr>
        <w:t>8</w:t>
      </w:r>
      <w:r w:rsidR="00D170BC" w:rsidRPr="008450E5">
        <w:rPr>
          <w:rFonts w:ascii="Century Gothic" w:hAnsi="Century Gothic"/>
          <w:sz w:val="20"/>
          <w:szCs w:val="20"/>
        </w:rPr>
        <w:t>9 </w:t>
      </w:r>
      <w:r w:rsidRPr="008450E5">
        <w:rPr>
          <w:rFonts w:ascii="Century Gothic" w:hAnsi="Century Gothic"/>
          <w:sz w:val="20"/>
          <w:szCs w:val="20"/>
        </w:rPr>
        <w:t>GL, which has a long-term average annual yield of 1,</w:t>
      </w:r>
      <w:r w:rsidR="00D170BC" w:rsidRPr="008450E5">
        <w:rPr>
          <w:rFonts w:ascii="Century Gothic" w:hAnsi="Century Gothic"/>
          <w:sz w:val="20"/>
          <w:szCs w:val="20"/>
        </w:rPr>
        <w:t>5</w:t>
      </w:r>
      <w:r w:rsidR="008450E5" w:rsidRPr="008450E5">
        <w:rPr>
          <w:rFonts w:ascii="Century Gothic" w:hAnsi="Century Gothic"/>
          <w:sz w:val="20"/>
          <w:szCs w:val="20"/>
        </w:rPr>
        <w:t>76</w:t>
      </w:r>
      <w:r w:rsidRPr="008450E5">
        <w:rPr>
          <w:rFonts w:ascii="Century Gothic" w:hAnsi="Century Gothic"/>
          <w:sz w:val="20"/>
          <w:szCs w:val="20"/>
        </w:rPr>
        <w:t xml:space="preserve"> GL. The holdings</w:t>
      </w:r>
      <w:r w:rsidRPr="005A6FF7">
        <w:rPr>
          <w:rFonts w:ascii="Century Gothic" w:hAnsi="Century Gothic"/>
          <w:sz w:val="20"/>
          <w:szCs w:val="20"/>
        </w:rPr>
        <w:t xml:space="preserve"> will continue </w:t>
      </w:r>
      <w:r w:rsidR="00070356">
        <w:rPr>
          <w:rFonts w:ascii="Century Gothic" w:hAnsi="Century Gothic"/>
          <w:sz w:val="20"/>
          <w:szCs w:val="20"/>
        </w:rPr>
        <w:t xml:space="preserve">to </w:t>
      </w:r>
      <w:r w:rsidRPr="005A6FF7">
        <w:rPr>
          <w:rFonts w:ascii="Century Gothic" w:hAnsi="Century Gothic"/>
          <w:sz w:val="20"/>
          <w:szCs w:val="20"/>
        </w:rPr>
        <w:t>grow</w:t>
      </w:r>
      <w:r w:rsidR="00D170BC">
        <w:rPr>
          <w:rFonts w:ascii="Century Gothic" w:hAnsi="Century Gothic"/>
          <w:sz w:val="20"/>
          <w:szCs w:val="20"/>
        </w:rPr>
        <w:t>, with</w:t>
      </w:r>
      <w:r w:rsidRPr="005A6FF7">
        <w:rPr>
          <w:rFonts w:ascii="Century Gothic" w:hAnsi="Century Gothic"/>
          <w:sz w:val="20"/>
          <w:szCs w:val="20"/>
        </w:rPr>
        <w:t xml:space="preserve"> </w:t>
      </w:r>
      <w:r w:rsidR="00D170BC">
        <w:rPr>
          <w:rFonts w:ascii="Century Gothic" w:hAnsi="Century Gothic"/>
          <w:sz w:val="20"/>
          <w:szCs w:val="20"/>
        </w:rPr>
        <w:t>t</w:t>
      </w:r>
      <w:r w:rsidRPr="005A6FF7">
        <w:rPr>
          <w:rFonts w:ascii="Century Gothic" w:hAnsi="Century Gothic"/>
          <w:sz w:val="20"/>
          <w:szCs w:val="20"/>
        </w:rPr>
        <w:t xml:space="preserve">he final volume of the holdings </w:t>
      </w:r>
      <w:r w:rsidR="00D170BC">
        <w:rPr>
          <w:rFonts w:ascii="Century Gothic" w:hAnsi="Century Gothic"/>
          <w:sz w:val="20"/>
          <w:szCs w:val="20"/>
        </w:rPr>
        <w:t>dependent on the implementation of the Basin Plan’s sustainable diversion limit adjustment mechanism.</w:t>
      </w:r>
      <w:r w:rsidRPr="005A6FF7">
        <w:rPr>
          <w:rFonts w:ascii="Century Gothic" w:hAnsi="Century Gothic"/>
          <w:sz w:val="20"/>
          <w:szCs w:val="20"/>
        </w:rPr>
        <w:t xml:space="preserve"> </w:t>
      </w:r>
    </w:p>
    <w:p w:rsidR="00940242" w:rsidRDefault="005A6FF7">
      <w:pPr>
        <w:pStyle w:val="NormalWeb"/>
        <w:spacing w:after="240"/>
        <w:rPr>
          <w:rFonts w:ascii="Century Gothic" w:hAnsi="Century Gothic"/>
        </w:rPr>
      </w:pPr>
      <w:r w:rsidRPr="005A6FF7">
        <w:rPr>
          <w:rFonts w:ascii="Century Gothic" w:hAnsi="Century Gothic"/>
          <w:sz w:val="20"/>
          <w:szCs w:val="20"/>
        </w:rPr>
        <w:t xml:space="preserve">The holdings are a mix of entitlement types </w:t>
      </w:r>
      <w:r>
        <w:rPr>
          <w:rFonts w:ascii="Century Gothic" w:hAnsi="Century Gothic"/>
          <w:sz w:val="20"/>
          <w:szCs w:val="20"/>
        </w:rPr>
        <w:t>including high, general, medium and</w:t>
      </w:r>
      <w:r w:rsidRPr="005A6FF7">
        <w:rPr>
          <w:rFonts w:ascii="Century Gothic" w:hAnsi="Century Gothic"/>
          <w:sz w:val="20"/>
          <w:szCs w:val="20"/>
        </w:rPr>
        <w:t xml:space="preserve"> low</w:t>
      </w:r>
      <w:r>
        <w:rPr>
          <w:rFonts w:ascii="Century Gothic" w:hAnsi="Century Gothic"/>
          <w:sz w:val="20"/>
          <w:szCs w:val="20"/>
        </w:rPr>
        <w:t xml:space="preserve"> security,</w:t>
      </w:r>
      <w:r w:rsidRPr="005A6FF7">
        <w:rPr>
          <w:rFonts w:ascii="Century Gothic" w:hAnsi="Century Gothic"/>
          <w:sz w:val="20"/>
          <w:szCs w:val="20"/>
        </w:rPr>
        <w:t xml:space="preserve"> conveyance, supplementary, </w:t>
      </w:r>
      <w:proofErr w:type="spellStart"/>
      <w:r w:rsidRPr="005A6FF7">
        <w:rPr>
          <w:rFonts w:ascii="Century Gothic" w:hAnsi="Century Gothic"/>
          <w:sz w:val="20"/>
          <w:szCs w:val="20"/>
        </w:rPr>
        <w:t>unsupplemented</w:t>
      </w:r>
      <w:proofErr w:type="spellEnd"/>
      <w:r w:rsidRPr="005A6FF7">
        <w:rPr>
          <w:rFonts w:ascii="Century Gothic" w:hAnsi="Century Gothic"/>
          <w:sz w:val="20"/>
          <w:szCs w:val="20"/>
        </w:rPr>
        <w:t>/unregulated</w:t>
      </w:r>
      <w:r>
        <w:rPr>
          <w:rFonts w:ascii="Century Gothic" w:hAnsi="Century Gothic"/>
          <w:sz w:val="20"/>
          <w:szCs w:val="20"/>
        </w:rPr>
        <w:t>, overland flow</w:t>
      </w:r>
      <w:r w:rsidRPr="005A6FF7">
        <w:rPr>
          <w:rFonts w:ascii="Century Gothic" w:hAnsi="Century Gothic"/>
          <w:sz w:val="20"/>
          <w:szCs w:val="20"/>
        </w:rPr>
        <w:t xml:space="preserve"> and groundwater. The entitlements are held across</w:t>
      </w:r>
      <w:r w:rsidR="00D170BC">
        <w:rPr>
          <w:rFonts w:ascii="Century Gothic" w:hAnsi="Century Gothic"/>
          <w:sz w:val="20"/>
          <w:szCs w:val="20"/>
        </w:rPr>
        <w:t xml:space="preserve"> the Basin</w:t>
      </w:r>
      <w:r w:rsidRPr="005A6FF7">
        <w:rPr>
          <w:rFonts w:ascii="Century Gothic" w:hAnsi="Century Gothic"/>
          <w:sz w:val="20"/>
          <w:szCs w:val="20"/>
        </w:rPr>
        <w:t>.</w:t>
      </w:r>
    </w:p>
    <w:p w:rsidR="00940242" w:rsidRPr="003C7B4D" w:rsidRDefault="00D170BC" w:rsidP="003C7B4D">
      <w:pPr>
        <w:pStyle w:val="Heading2"/>
        <w:numPr>
          <w:ilvl w:val="0"/>
          <w:numId w:val="0"/>
        </w:numPr>
        <w:spacing w:after="240"/>
        <w:jc w:val="left"/>
        <w:rPr>
          <w:rFonts w:ascii="Century Gothic" w:hAnsi="Century Gothic" w:cs="Calibri"/>
          <w:noProof/>
          <w:color w:val="5F497A" w:themeColor="accent4" w:themeShade="BF"/>
          <w:sz w:val="24"/>
          <w:szCs w:val="24"/>
          <w:lang w:val="en-GB" w:eastAsia="en-US"/>
        </w:rPr>
      </w:pPr>
      <w:bookmarkStart w:id="45" w:name="_Toc422389619"/>
      <w:r w:rsidRPr="003C7B4D">
        <w:rPr>
          <w:rFonts w:ascii="Century Gothic" w:hAnsi="Century Gothic" w:cs="Calibri"/>
          <w:noProof/>
          <w:color w:val="5F497A" w:themeColor="accent4" w:themeShade="BF"/>
          <w:sz w:val="24"/>
          <w:szCs w:val="24"/>
          <w:lang w:val="en-GB" w:eastAsia="en-US"/>
        </w:rPr>
        <w:t>Complementary water resources</w:t>
      </w:r>
      <w:bookmarkEnd w:id="45"/>
    </w:p>
    <w:p w:rsidR="00940242" w:rsidRDefault="00D170BC">
      <w:pPr>
        <w:pStyle w:val="NormalWeb"/>
        <w:spacing w:after="240"/>
        <w:rPr>
          <w:rFonts w:ascii="Century Gothic" w:hAnsi="Century Gothic"/>
          <w:sz w:val="20"/>
          <w:szCs w:val="20"/>
        </w:rPr>
      </w:pPr>
      <w:r w:rsidRPr="00D170BC">
        <w:rPr>
          <w:rFonts w:ascii="Century Gothic" w:hAnsi="Century Gothic"/>
          <w:sz w:val="20"/>
          <w:szCs w:val="20"/>
        </w:rPr>
        <w:t>Commonwealth environmental water is not managed in isolation. When considering the available resource</w:t>
      </w:r>
      <w:r>
        <w:rPr>
          <w:rFonts w:ascii="Century Gothic" w:hAnsi="Century Gothic"/>
          <w:sz w:val="20"/>
          <w:szCs w:val="20"/>
        </w:rPr>
        <w:t xml:space="preserve"> to meet environmental demands</w:t>
      </w:r>
      <w:r w:rsidRPr="00D170BC">
        <w:rPr>
          <w:rFonts w:ascii="Century Gothic" w:hAnsi="Century Gothic"/>
          <w:sz w:val="20"/>
          <w:szCs w:val="20"/>
        </w:rPr>
        <w:t xml:space="preserve">, it is necessary to also factor in the resources managed by other entities that is available </w:t>
      </w:r>
      <w:r>
        <w:rPr>
          <w:rFonts w:ascii="Century Gothic" w:hAnsi="Century Gothic"/>
          <w:sz w:val="20"/>
          <w:szCs w:val="20"/>
        </w:rPr>
        <w:t>to contribute to environmental outcomes</w:t>
      </w:r>
      <w:r w:rsidRPr="00D170BC">
        <w:rPr>
          <w:rFonts w:ascii="Century Gothic" w:hAnsi="Century Gothic"/>
          <w:sz w:val="20"/>
          <w:szCs w:val="20"/>
        </w:rPr>
        <w:t>.</w:t>
      </w:r>
      <w:r>
        <w:rPr>
          <w:rFonts w:ascii="Century Gothic" w:hAnsi="Century Gothic"/>
          <w:sz w:val="20"/>
          <w:szCs w:val="20"/>
        </w:rPr>
        <w:t xml:space="preserve"> </w:t>
      </w:r>
      <w:r w:rsidRPr="00D170BC">
        <w:rPr>
          <w:rFonts w:ascii="Century Gothic" w:hAnsi="Century Gothic"/>
          <w:sz w:val="20"/>
          <w:szCs w:val="20"/>
        </w:rPr>
        <w:t>Relevant resources include held environmental water, planned environmental water, conveyance water and consumptive water.</w:t>
      </w:r>
      <w:r w:rsidR="00033AD2">
        <w:rPr>
          <w:rFonts w:ascii="Century Gothic" w:hAnsi="Century Gothic"/>
          <w:sz w:val="20"/>
          <w:szCs w:val="20"/>
        </w:rPr>
        <w:t xml:space="preserve"> </w:t>
      </w:r>
      <w:r w:rsidR="002A65CE">
        <w:rPr>
          <w:rFonts w:ascii="Century Gothic" w:hAnsi="Century Gothic"/>
          <w:sz w:val="20"/>
          <w:szCs w:val="20"/>
        </w:rPr>
        <w:t>For this reason, portfolio management planning is undertaken in conjunction with other environmental water holders and river operators.</w:t>
      </w:r>
    </w:p>
    <w:p w:rsidR="002F5C66" w:rsidRPr="006C2670" w:rsidDel="00CD61FD" w:rsidRDefault="002F5C66" w:rsidP="006C2670">
      <w:pPr>
        <w:pStyle w:val="Heading1"/>
        <w:numPr>
          <w:ilvl w:val="1"/>
          <w:numId w:val="19"/>
        </w:numPr>
        <w:spacing w:before="240" w:after="240"/>
        <w:ind w:left="0" w:firstLine="0"/>
        <w:jc w:val="left"/>
        <w:rPr>
          <w:rFonts w:cs="Times New Roman"/>
          <w:caps w:val="0"/>
          <w:color w:val="5F497A" w:themeColor="accent4" w:themeShade="BF"/>
          <w:sz w:val="40"/>
          <w:szCs w:val="40"/>
          <w:lang w:val="en-GB" w:eastAsia="en-US"/>
        </w:rPr>
      </w:pPr>
      <w:bookmarkStart w:id="46" w:name="_Toc422389620"/>
      <w:r w:rsidRPr="006C2670" w:rsidDel="00CD61FD">
        <w:rPr>
          <w:rFonts w:cs="Times New Roman"/>
          <w:caps w:val="0"/>
          <w:color w:val="5F497A" w:themeColor="accent4" w:themeShade="BF"/>
          <w:sz w:val="40"/>
          <w:szCs w:val="40"/>
          <w:lang w:val="en-GB" w:eastAsia="en-US"/>
        </w:rPr>
        <w:t>Basin-scale analysis</w:t>
      </w:r>
      <w:bookmarkEnd w:id="46"/>
    </w:p>
    <w:p w:rsidR="002F5C66" w:rsidRDefault="002F5C66" w:rsidP="002F5C66">
      <w:pPr>
        <w:rPr>
          <w:rFonts w:ascii="Century Gothic" w:hAnsi="Century Gothic"/>
        </w:rPr>
      </w:pPr>
      <w:r w:rsidDel="00CD61FD">
        <w:rPr>
          <w:rFonts w:ascii="Century Gothic" w:hAnsi="Century Gothic"/>
        </w:rPr>
        <w:t>Portfolio management plans are developed for individual planning regions,</w:t>
      </w:r>
      <w:r>
        <w:rPr>
          <w:rFonts w:ascii="Century Gothic" w:hAnsi="Century Gothic"/>
        </w:rPr>
        <w:t xml:space="preserve"> based on supply and demand as described above,</w:t>
      </w:r>
      <w:r w:rsidDel="00CD61FD">
        <w:rPr>
          <w:rFonts w:ascii="Century Gothic" w:hAnsi="Century Gothic"/>
        </w:rPr>
        <w:t xml:space="preserve"> before being considered together as part of a Basin-scale analysis. This analysis aims to identify opportunities to use allocation trade (purchase, sale or transfer) to </w:t>
      </w:r>
      <w:r w:rsidDel="00CD61FD">
        <w:rPr>
          <w:rFonts w:ascii="Century Gothic" w:hAnsi="Century Gothic"/>
        </w:rPr>
        <w:lastRenderedPageBreak/>
        <w:t>rebalance the portfolio to better match differing demands across catchments or for connecting watering events across catchments via multi-site watering, where possible. The initial plans for individual planning regions are then updated as required to reflect this Basin-scale analysis.</w:t>
      </w:r>
    </w:p>
    <w:p w:rsidR="00FE29EB" w:rsidRPr="006C2670" w:rsidRDefault="00AE0E57" w:rsidP="006C2670">
      <w:pPr>
        <w:pStyle w:val="Heading1"/>
        <w:numPr>
          <w:ilvl w:val="1"/>
          <w:numId w:val="19"/>
        </w:numPr>
        <w:spacing w:before="240" w:after="240"/>
        <w:ind w:left="0" w:firstLine="0"/>
        <w:jc w:val="left"/>
        <w:rPr>
          <w:rFonts w:cs="Times New Roman"/>
          <w:caps w:val="0"/>
          <w:color w:val="5F497A" w:themeColor="accent4" w:themeShade="BF"/>
          <w:sz w:val="40"/>
          <w:szCs w:val="40"/>
          <w:lang w:val="en-GB" w:eastAsia="en-US"/>
        </w:rPr>
      </w:pPr>
      <w:bookmarkStart w:id="47" w:name="_Toc422389621"/>
      <w:r w:rsidRPr="006C2670">
        <w:rPr>
          <w:rFonts w:cs="Times New Roman"/>
          <w:caps w:val="0"/>
          <w:color w:val="5F497A" w:themeColor="accent4" w:themeShade="BF"/>
          <w:sz w:val="40"/>
          <w:szCs w:val="40"/>
          <w:lang w:val="en-GB" w:eastAsia="en-US"/>
        </w:rPr>
        <w:t>Constraints to</w:t>
      </w:r>
      <w:r w:rsidR="00FE29EB" w:rsidRPr="006C2670">
        <w:rPr>
          <w:rFonts w:cs="Times New Roman"/>
          <w:caps w:val="0"/>
          <w:color w:val="5F497A" w:themeColor="accent4" w:themeShade="BF"/>
          <w:sz w:val="40"/>
          <w:szCs w:val="40"/>
          <w:lang w:val="en-GB" w:eastAsia="en-US"/>
        </w:rPr>
        <w:t xml:space="preserve"> Commonwealth environmental watering</w:t>
      </w:r>
      <w:bookmarkEnd w:id="41"/>
      <w:bookmarkEnd w:id="42"/>
      <w:bookmarkEnd w:id="43"/>
      <w:bookmarkEnd w:id="47"/>
    </w:p>
    <w:p w:rsidR="00635311" w:rsidRPr="00635311" w:rsidRDefault="007D6696" w:rsidP="00F5362B">
      <w:pPr>
        <w:pStyle w:val="NormalWeb"/>
        <w:spacing w:after="240"/>
        <w:rPr>
          <w:rFonts w:ascii="Century Gothic" w:hAnsi="Century Gothic"/>
          <w:sz w:val="20"/>
          <w:szCs w:val="20"/>
        </w:rPr>
      </w:pPr>
      <w:r w:rsidRPr="00D25CC3">
        <w:rPr>
          <w:rFonts w:ascii="Century Gothic" w:hAnsi="Century Gothic"/>
          <w:sz w:val="20"/>
          <w:szCs w:val="20"/>
        </w:rPr>
        <w:t xml:space="preserve">Constraints are river management practices and structures that govern the volume and timing of regulated water delivery through the river system. </w:t>
      </w:r>
      <w:r w:rsidR="00635311" w:rsidRPr="00635311">
        <w:rPr>
          <w:rFonts w:ascii="Century Gothic" w:hAnsi="Century Gothic"/>
          <w:sz w:val="20"/>
          <w:szCs w:val="20"/>
        </w:rPr>
        <w:t>They can be:</w:t>
      </w:r>
    </w:p>
    <w:p w:rsidR="00940242" w:rsidRDefault="00635311" w:rsidP="00F5362B">
      <w:pPr>
        <w:numPr>
          <w:ilvl w:val="0"/>
          <w:numId w:val="9"/>
        </w:numPr>
        <w:spacing w:after="240"/>
        <w:jc w:val="left"/>
        <w:rPr>
          <w:rFonts w:ascii="Century Gothic" w:hAnsi="Century Gothic"/>
        </w:rPr>
      </w:pPr>
      <w:r w:rsidRPr="00635311">
        <w:rPr>
          <w:rFonts w:ascii="Century Gothic" w:hAnsi="Century Gothic"/>
        </w:rPr>
        <w:t xml:space="preserve">physical restrictions, like low-lying bridges </w:t>
      </w:r>
      <w:r w:rsidR="00070356">
        <w:rPr>
          <w:rFonts w:ascii="Century Gothic" w:hAnsi="Century Gothic"/>
        </w:rPr>
        <w:t>or roads</w:t>
      </w:r>
      <w:r w:rsidRPr="00635311">
        <w:rPr>
          <w:rFonts w:ascii="Century Gothic" w:hAnsi="Century Gothic"/>
        </w:rPr>
        <w:t xml:space="preserve">  </w:t>
      </w:r>
    </w:p>
    <w:p w:rsidR="00940242" w:rsidRDefault="00635311" w:rsidP="00F5362B">
      <w:pPr>
        <w:numPr>
          <w:ilvl w:val="0"/>
          <w:numId w:val="9"/>
        </w:numPr>
        <w:spacing w:after="240"/>
        <w:jc w:val="left"/>
        <w:rPr>
          <w:rFonts w:ascii="Century Gothic" w:hAnsi="Century Gothic"/>
        </w:rPr>
      </w:pPr>
      <w:r w:rsidRPr="00635311">
        <w:rPr>
          <w:rFonts w:ascii="Century Gothic" w:hAnsi="Century Gothic"/>
        </w:rPr>
        <w:t>areas of private land that might be adversely impa</w:t>
      </w:r>
      <w:r w:rsidR="00070356">
        <w:rPr>
          <w:rFonts w:ascii="Century Gothic" w:hAnsi="Century Gothic"/>
        </w:rPr>
        <w:t>cted by high regulated flows</w:t>
      </w:r>
    </w:p>
    <w:p w:rsidR="00940242" w:rsidRDefault="00635311" w:rsidP="00F5362B">
      <w:pPr>
        <w:numPr>
          <w:ilvl w:val="0"/>
          <w:numId w:val="9"/>
        </w:numPr>
        <w:spacing w:after="240"/>
        <w:jc w:val="left"/>
        <w:rPr>
          <w:rFonts w:ascii="Century Gothic" w:hAnsi="Century Gothic"/>
        </w:rPr>
      </w:pPr>
      <w:proofErr w:type="gramStart"/>
      <w:r w:rsidRPr="00635311">
        <w:rPr>
          <w:rFonts w:ascii="Century Gothic" w:hAnsi="Century Gothic"/>
        </w:rPr>
        <w:t>river</w:t>
      </w:r>
      <w:proofErr w:type="gramEnd"/>
      <w:r w:rsidRPr="00635311">
        <w:rPr>
          <w:rFonts w:ascii="Century Gothic" w:hAnsi="Century Gothic"/>
        </w:rPr>
        <w:t xml:space="preserve"> rules or practices that limit how environmental water can be delivered. </w:t>
      </w:r>
    </w:p>
    <w:p w:rsidR="00B31DEC" w:rsidRDefault="007D6696" w:rsidP="00F5362B">
      <w:pPr>
        <w:pStyle w:val="NormalWeb"/>
        <w:spacing w:after="240"/>
        <w:rPr>
          <w:rFonts w:ascii="Century Gothic" w:hAnsi="Century Gothic"/>
          <w:sz w:val="20"/>
          <w:szCs w:val="20"/>
        </w:rPr>
      </w:pPr>
      <w:r w:rsidRPr="00D25CC3">
        <w:rPr>
          <w:rFonts w:ascii="Century Gothic" w:hAnsi="Century Gothic"/>
          <w:sz w:val="20"/>
          <w:szCs w:val="20"/>
        </w:rPr>
        <w:t xml:space="preserve">Not all environmental demands can and will be met through the use of held environmental water. Some demands are met by regulated water deliveries for consumptive purposes, while others are met by large unregulated/natural flows events or are beyond what can be delivered within operational constraints. Infrastructure can often be used to deliver water to individual wetlands that would otherwise not be possible due to constraints. </w:t>
      </w:r>
    </w:p>
    <w:p w:rsidR="00E47462" w:rsidRDefault="00B31DEC" w:rsidP="00F5362B">
      <w:pPr>
        <w:pStyle w:val="NormalWeb"/>
        <w:spacing w:after="240"/>
        <w:rPr>
          <w:rFonts w:ascii="Century Gothic" w:hAnsi="Century Gothic"/>
        </w:rPr>
      </w:pPr>
      <w:r w:rsidRPr="001B60BF">
        <w:rPr>
          <w:rFonts w:ascii="Century Gothic" w:hAnsi="Century Gothic"/>
          <w:sz w:val="20"/>
          <w:szCs w:val="20"/>
        </w:rPr>
        <w:t>River operators have an important role to play in the delivery of environmental water. Operators are required to deliver water to their customers within the established river management practices.</w:t>
      </w:r>
      <w:r>
        <w:rPr>
          <w:rFonts w:ascii="Century Gothic" w:hAnsi="Century Gothic"/>
          <w:sz w:val="20"/>
          <w:szCs w:val="20"/>
        </w:rPr>
        <w:t xml:space="preserve"> </w:t>
      </w:r>
      <w:r w:rsidR="00F00169" w:rsidRPr="00F00169">
        <w:rPr>
          <w:rFonts w:ascii="Century Gothic" w:hAnsi="Century Gothic"/>
          <w:sz w:val="20"/>
          <w:szCs w:val="20"/>
        </w:rPr>
        <w:t xml:space="preserve">River operators manage environmental water with the same diligence and caution that they deliver irrigation and town water. This includes continually appraising any risks, forecasting rainfall events and tributary inflows against peak regulated operating levels and being careful to avoid any possible impacts while delivering water. </w:t>
      </w:r>
    </w:p>
    <w:p w:rsidR="00E47462" w:rsidRDefault="00B31DEC" w:rsidP="00F5362B">
      <w:pPr>
        <w:pStyle w:val="NormalWeb"/>
        <w:spacing w:after="240"/>
        <w:rPr>
          <w:rFonts w:ascii="Century Gothic" w:hAnsi="Century Gothic"/>
        </w:rPr>
      </w:pPr>
      <w:r>
        <w:rPr>
          <w:rFonts w:ascii="Century Gothic" w:hAnsi="Century Gothic"/>
          <w:sz w:val="20"/>
          <w:szCs w:val="20"/>
        </w:rPr>
        <w:t>E</w:t>
      </w:r>
      <w:r w:rsidR="00F00169" w:rsidRPr="00F00169">
        <w:rPr>
          <w:rFonts w:ascii="Century Gothic" w:hAnsi="Century Gothic"/>
          <w:sz w:val="20"/>
          <w:szCs w:val="20"/>
        </w:rPr>
        <w:t>nvironmental water holders work with operators in real time to vary delivery to avoid third party impacts while still getting the best environmental outcomes. The Commonwealth Environmental Water Holder takes a cautious approach to environmental flow management in order to eliminate, to the fullest extent practical, the risk of unintended impacts on landholders, irrigators and other third parties, while still delivering positive environmental outcomes.</w:t>
      </w:r>
    </w:p>
    <w:p w:rsidR="00B31DEC" w:rsidRPr="003C7B4D" w:rsidRDefault="00B31DEC" w:rsidP="003C7B4D">
      <w:pPr>
        <w:pStyle w:val="Heading2"/>
        <w:numPr>
          <w:ilvl w:val="0"/>
          <w:numId w:val="0"/>
        </w:numPr>
        <w:spacing w:after="240"/>
        <w:jc w:val="left"/>
        <w:rPr>
          <w:rFonts w:ascii="Century Gothic" w:hAnsi="Century Gothic" w:cs="Calibri"/>
          <w:noProof/>
          <w:color w:val="5F497A" w:themeColor="accent4" w:themeShade="BF"/>
          <w:sz w:val="24"/>
          <w:szCs w:val="24"/>
          <w:lang w:val="en-GB" w:eastAsia="en-US"/>
        </w:rPr>
      </w:pPr>
      <w:bookmarkStart w:id="48" w:name="_Toc422389622"/>
      <w:r w:rsidRPr="003C7B4D">
        <w:rPr>
          <w:rFonts w:ascii="Century Gothic" w:hAnsi="Century Gothic" w:cs="Calibri"/>
          <w:noProof/>
          <w:color w:val="5F497A" w:themeColor="accent4" w:themeShade="BF"/>
          <w:sz w:val="24"/>
          <w:szCs w:val="24"/>
          <w:lang w:val="en-GB" w:eastAsia="en-US"/>
        </w:rPr>
        <w:t xml:space="preserve">Constraints </w:t>
      </w:r>
      <w:bookmarkEnd w:id="48"/>
      <w:r w:rsidR="00721ECC">
        <w:rPr>
          <w:rFonts w:ascii="Century Gothic" w:hAnsi="Century Gothic" w:cs="Calibri"/>
          <w:noProof/>
          <w:color w:val="5F497A" w:themeColor="accent4" w:themeShade="BF"/>
          <w:sz w:val="24"/>
          <w:szCs w:val="24"/>
          <w:lang w:val="en-GB" w:eastAsia="en-US"/>
        </w:rPr>
        <w:t>relaxation</w:t>
      </w:r>
      <w:r w:rsidRPr="003C7B4D">
        <w:rPr>
          <w:rFonts w:ascii="Century Gothic" w:hAnsi="Century Gothic" w:cs="Calibri"/>
          <w:noProof/>
          <w:color w:val="5F497A" w:themeColor="accent4" w:themeShade="BF"/>
          <w:sz w:val="24"/>
          <w:szCs w:val="24"/>
          <w:lang w:val="en-GB" w:eastAsia="en-US"/>
        </w:rPr>
        <w:t xml:space="preserve"> </w:t>
      </w:r>
    </w:p>
    <w:p w:rsidR="00B31DEC" w:rsidRDefault="005C7253" w:rsidP="001B60BF">
      <w:pPr>
        <w:pStyle w:val="NormalWeb"/>
        <w:spacing w:after="240"/>
        <w:rPr>
          <w:rFonts w:ascii="Century Gothic" w:hAnsi="Century Gothic"/>
          <w:sz w:val="20"/>
          <w:szCs w:val="20"/>
        </w:rPr>
      </w:pPr>
      <w:r>
        <w:rPr>
          <w:rFonts w:ascii="Century Gothic" w:hAnsi="Century Gothic"/>
          <w:sz w:val="20"/>
          <w:szCs w:val="20"/>
        </w:rPr>
        <w:t>Basin</w:t>
      </w:r>
      <w:r w:rsidR="00B31DEC" w:rsidRPr="00B31DEC">
        <w:rPr>
          <w:rFonts w:ascii="Century Gothic" w:hAnsi="Century Gothic"/>
          <w:sz w:val="20"/>
          <w:szCs w:val="20"/>
        </w:rPr>
        <w:t xml:space="preserve"> </w:t>
      </w:r>
      <w:r w:rsidR="00033AD2">
        <w:rPr>
          <w:rFonts w:ascii="Century Gothic" w:hAnsi="Century Gothic"/>
          <w:sz w:val="20"/>
          <w:szCs w:val="20"/>
        </w:rPr>
        <w:t>S</w:t>
      </w:r>
      <w:r w:rsidR="00B31DEC">
        <w:rPr>
          <w:rFonts w:ascii="Century Gothic" w:hAnsi="Century Gothic"/>
          <w:sz w:val="20"/>
          <w:szCs w:val="20"/>
        </w:rPr>
        <w:t>tate governments</w:t>
      </w:r>
      <w:r w:rsidR="00B31DEC" w:rsidRPr="00B31DEC">
        <w:rPr>
          <w:rFonts w:ascii="Century Gothic" w:hAnsi="Century Gothic"/>
          <w:sz w:val="20"/>
          <w:szCs w:val="20"/>
        </w:rPr>
        <w:t xml:space="preserve"> are</w:t>
      </w:r>
      <w:r w:rsidR="00B31DEC">
        <w:rPr>
          <w:rFonts w:ascii="Century Gothic" w:hAnsi="Century Gothic"/>
          <w:sz w:val="20"/>
          <w:szCs w:val="20"/>
        </w:rPr>
        <w:t xml:space="preserve"> working with the Murray-Darling Basin Authority to</w:t>
      </w:r>
      <w:r w:rsidR="00B31DEC" w:rsidRPr="00B31DEC">
        <w:rPr>
          <w:rFonts w:ascii="Century Gothic" w:hAnsi="Century Gothic"/>
          <w:sz w:val="20"/>
          <w:szCs w:val="20"/>
        </w:rPr>
        <w:t xml:space="preserve"> </w:t>
      </w:r>
      <w:r w:rsidR="00635311">
        <w:rPr>
          <w:rFonts w:ascii="Century Gothic" w:hAnsi="Century Gothic"/>
          <w:sz w:val="20"/>
          <w:szCs w:val="20"/>
        </w:rPr>
        <w:t xml:space="preserve">look at </w:t>
      </w:r>
      <w:r w:rsidR="00635311" w:rsidRPr="00635311">
        <w:rPr>
          <w:rFonts w:ascii="Century Gothic" w:hAnsi="Century Gothic"/>
          <w:sz w:val="20"/>
          <w:szCs w:val="20"/>
        </w:rPr>
        <w:t>ways to reduce the limitations that constraints place on the use of environmental water and so improve environmental outcomes for the Basin.</w:t>
      </w:r>
      <w:r w:rsidR="00B31DEC">
        <w:rPr>
          <w:rFonts w:ascii="Century Gothic" w:hAnsi="Century Gothic"/>
          <w:sz w:val="20"/>
          <w:szCs w:val="20"/>
        </w:rPr>
        <w:t xml:space="preserve"> This work aims to</w:t>
      </w:r>
      <w:r w:rsidR="00B31DEC" w:rsidRPr="00D25CC3">
        <w:rPr>
          <w:rFonts w:ascii="Century Gothic" w:hAnsi="Century Gothic"/>
          <w:sz w:val="20"/>
          <w:szCs w:val="20"/>
        </w:rPr>
        <w:t xml:space="preserve"> improve the efficiency and/or effectiveness of environmental watering</w:t>
      </w:r>
      <w:r w:rsidR="00B31DEC" w:rsidRPr="00B31DEC">
        <w:rPr>
          <w:rFonts w:ascii="Century Gothic" w:hAnsi="Century Gothic"/>
          <w:sz w:val="20"/>
          <w:szCs w:val="20"/>
        </w:rPr>
        <w:t xml:space="preserve"> </w:t>
      </w:r>
      <w:r w:rsidR="00B31DEC">
        <w:rPr>
          <w:rFonts w:ascii="Century Gothic" w:hAnsi="Century Gothic"/>
          <w:sz w:val="20"/>
          <w:szCs w:val="20"/>
        </w:rPr>
        <w:t>and</w:t>
      </w:r>
      <w:r w:rsidR="00B31DEC" w:rsidRPr="00B31DEC">
        <w:rPr>
          <w:rFonts w:ascii="Century Gothic" w:hAnsi="Century Gothic"/>
          <w:sz w:val="20"/>
          <w:szCs w:val="20"/>
        </w:rPr>
        <w:t xml:space="preserve"> get better environmental results for wetlands and rivers while avoiding, managing or mitigating impacts to local communities and industries. </w:t>
      </w:r>
    </w:p>
    <w:p w:rsidR="00B31DEC" w:rsidRDefault="00D97DE6" w:rsidP="00D97DE6">
      <w:pPr>
        <w:pStyle w:val="NormalWeb"/>
        <w:spacing w:after="240"/>
        <w:rPr>
          <w:rFonts w:ascii="Century Gothic" w:hAnsi="Century Gothic"/>
          <w:sz w:val="20"/>
          <w:szCs w:val="20"/>
        </w:rPr>
      </w:pPr>
      <w:r>
        <w:rPr>
          <w:rFonts w:ascii="Century Gothic" w:hAnsi="Century Gothic"/>
          <w:sz w:val="20"/>
          <w:szCs w:val="20"/>
        </w:rPr>
        <w:t xml:space="preserve">Key areas have been identified as a focus for constraints </w:t>
      </w:r>
      <w:r w:rsidR="006F3197">
        <w:rPr>
          <w:rFonts w:ascii="Century Gothic" w:hAnsi="Century Gothic"/>
          <w:sz w:val="20"/>
          <w:szCs w:val="20"/>
        </w:rPr>
        <w:t>relaxation</w:t>
      </w:r>
      <w:r>
        <w:rPr>
          <w:rFonts w:ascii="Century Gothic" w:hAnsi="Century Gothic"/>
          <w:sz w:val="20"/>
          <w:szCs w:val="20"/>
        </w:rPr>
        <w:t xml:space="preserve">. </w:t>
      </w:r>
      <w:r w:rsidR="00635311">
        <w:rPr>
          <w:rFonts w:ascii="Century Gothic" w:hAnsi="Century Gothic"/>
          <w:sz w:val="20"/>
          <w:szCs w:val="20"/>
        </w:rPr>
        <w:t>Basin State governments</w:t>
      </w:r>
      <w:r w:rsidR="00635311" w:rsidRPr="00B31DEC">
        <w:rPr>
          <w:rFonts w:ascii="Century Gothic" w:hAnsi="Century Gothic"/>
          <w:sz w:val="20"/>
          <w:szCs w:val="20"/>
        </w:rPr>
        <w:t xml:space="preserve"> </w:t>
      </w:r>
      <w:r w:rsidR="00635311">
        <w:rPr>
          <w:rFonts w:ascii="Century Gothic" w:hAnsi="Century Gothic"/>
          <w:sz w:val="20"/>
          <w:szCs w:val="20"/>
        </w:rPr>
        <w:t>and the Murray-Darling Basin Authority</w:t>
      </w:r>
      <w:r>
        <w:rPr>
          <w:rFonts w:ascii="Century Gothic" w:hAnsi="Century Gothic"/>
          <w:sz w:val="20"/>
          <w:szCs w:val="20"/>
        </w:rPr>
        <w:t xml:space="preserve"> </w:t>
      </w:r>
      <w:r w:rsidR="00635311">
        <w:rPr>
          <w:rFonts w:ascii="Century Gothic" w:hAnsi="Century Gothic"/>
          <w:sz w:val="20"/>
          <w:szCs w:val="20"/>
        </w:rPr>
        <w:t>are</w:t>
      </w:r>
      <w:r w:rsidR="00635311" w:rsidRPr="00635311">
        <w:rPr>
          <w:rFonts w:ascii="Century Gothic" w:hAnsi="Century Gothic"/>
          <w:sz w:val="20"/>
          <w:szCs w:val="20"/>
        </w:rPr>
        <w:t xml:space="preserve"> progressing</w:t>
      </w:r>
      <w:r>
        <w:rPr>
          <w:rFonts w:ascii="Century Gothic" w:hAnsi="Century Gothic"/>
          <w:sz w:val="20"/>
          <w:szCs w:val="20"/>
        </w:rPr>
        <w:t xml:space="preserve"> </w:t>
      </w:r>
      <w:r w:rsidR="00CB49A3">
        <w:rPr>
          <w:rFonts w:ascii="Century Gothic" w:hAnsi="Century Gothic"/>
          <w:sz w:val="20"/>
          <w:szCs w:val="20"/>
        </w:rPr>
        <w:t xml:space="preserve">work on </w:t>
      </w:r>
      <w:r w:rsidR="006F3197">
        <w:rPr>
          <w:rFonts w:ascii="Century Gothic" w:hAnsi="Century Gothic"/>
          <w:sz w:val="20"/>
          <w:szCs w:val="20"/>
        </w:rPr>
        <w:t>constraint</w:t>
      </w:r>
      <w:r w:rsidR="00CB49A3">
        <w:rPr>
          <w:rFonts w:ascii="Century Gothic" w:hAnsi="Century Gothic"/>
          <w:sz w:val="20"/>
          <w:szCs w:val="20"/>
        </w:rPr>
        <w:t>s</w:t>
      </w:r>
      <w:r w:rsidR="00635311" w:rsidRPr="00635311">
        <w:rPr>
          <w:rFonts w:ascii="Century Gothic" w:hAnsi="Century Gothic"/>
          <w:sz w:val="20"/>
          <w:szCs w:val="20"/>
        </w:rPr>
        <w:t xml:space="preserve"> in consultation with </w:t>
      </w:r>
      <w:r>
        <w:rPr>
          <w:rFonts w:ascii="Century Gothic" w:hAnsi="Century Gothic"/>
          <w:sz w:val="20"/>
          <w:szCs w:val="20"/>
        </w:rPr>
        <w:t xml:space="preserve">local </w:t>
      </w:r>
      <w:r w:rsidR="00635311" w:rsidRPr="00635311">
        <w:rPr>
          <w:rFonts w:ascii="Century Gothic" w:hAnsi="Century Gothic"/>
          <w:sz w:val="20"/>
          <w:szCs w:val="20"/>
        </w:rPr>
        <w:t>communities located in key areas</w:t>
      </w:r>
      <w:r>
        <w:rPr>
          <w:rFonts w:ascii="Century Gothic" w:hAnsi="Century Gothic"/>
          <w:sz w:val="20"/>
          <w:szCs w:val="20"/>
        </w:rPr>
        <w:t xml:space="preserve">. </w:t>
      </w:r>
      <w:r w:rsidRPr="00D97DE6">
        <w:rPr>
          <w:rFonts w:ascii="Century Gothic" w:hAnsi="Century Gothic"/>
          <w:sz w:val="20"/>
          <w:szCs w:val="20"/>
        </w:rPr>
        <w:t>During 2015</w:t>
      </w:r>
      <w:r>
        <w:rPr>
          <w:rFonts w:ascii="Century Gothic" w:hAnsi="Century Gothic"/>
          <w:sz w:val="20"/>
          <w:szCs w:val="20"/>
        </w:rPr>
        <w:t xml:space="preserve">, </w:t>
      </w:r>
      <w:r w:rsidRPr="00D97DE6">
        <w:rPr>
          <w:rFonts w:ascii="Century Gothic" w:hAnsi="Century Gothic"/>
          <w:sz w:val="20"/>
          <w:szCs w:val="20"/>
        </w:rPr>
        <w:t xml:space="preserve">more detailed information and ideas </w:t>
      </w:r>
      <w:r>
        <w:rPr>
          <w:rFonts w:ascii="Century Gothic" w:hAnsi="Century Gothic"/>
          <w:sz w:val="20"/>
          <w:szCs w:val="20"/>
        </w:rPr>
        <w:t xml:space="preserve">will collected </w:t>
      </w:r>
      <w:r w:rsidRPr="00D97DE6">
        <w:rPr>
          <w:rFonts w:ascii="Century Gothic" w:hAnsi="Century Gothic"/>
          <w:sz w:val="20"/>
          <w:szCs w:val="20"/>
        </w:rPr>
        <w:t xml:space="preserve">around where water flows if some of the key constraints are addressed and what that means for local communities. </w:t>
      </w:r>
      <w:r>
        <w:rPr>
          <w:rFonts w:ascii="Century Gothic" w:hAnsi="Century Gothic"/>
          <w:sz w:val="20"/>
          <w:szCs w:val="20"/>
        </w:rPr>
        <w:t xml:space="preserve">Governments </w:t>
      </w:r>
      <w:r w:rsidRPr="00D97DE6">
        <w:rPr>
          <w:rFonts w:ascii="Century Gothic" w:hAnsi="Century Gothic"/>
          <w:sz w:val="20"/>
          <w:szCs w:val="20"/>
        </w:rPr>
        <w:t xml:space="preserve">will also be working with communities to understand how </w:t>
      </w:r>
      <w:r>
        <w:rPr>
          <w:rFonts w:ascii="Century Gothic" w:hAnsi="Century Gothic"/>
          <w:sz w:val="20"/>
          <w:szCs w:val="20"/>
        </w:rPr>
        <w:t>to</w:t>
      </w:r>
      <w:r w:rsidRPr="00D97DE6">
        <w:rPr>
          <w:rFonts w:ascii="Century Gothic" w:hAnsi="Century Gothic"/>
          <w:sz w:val="20"/>
          <w:szCs w:val="20"/>
        </w:rPr>
        <w:t xml:space="preserve"> best avoid or mitigate any potential adverse impacts as well as the costs of addressing these to the satisfaction of affected communities.</w:t>
      </w:r>
      <w:r>
        <w:rPr>
          <w:rFonts w:ascii="Century Gothic" w:hAnsi="Century Gothic"/>
          <w:sz w:val="20"/>
          <w:szCs w:val="20"/>
        </w:rPr>
        <w:t xml:space="preserve"> </w:t>
      </w:r>
      <w:r w:rsidR="00B31DEC">
        <w:rPr>
          <w:rFonts w:ascii="Century Gothic" w:hAnsi="Century Gothic"/>
          <w:sz w:val="20"/>
          <w:szCs w:val="20"/>
        </w:rPr>
        <w:t xml:space="preserve">Any decision to remove or modify constraints will ultimately be a decision </w:t>
      </w:r>
      <w:r>
        <w:rPr>
          <w:rFonts w:ascii="Century Gothic" w:hAnsi="Century Gothic"/>
          <w:sz w:val="20"/>
          <w:szCs w:val="20"/>
        </w:rPr>
        <w:t>of Basin governments</w:t>
      </w:r>
      <w:r w:rsidR="00B31DEC">
        <w:rPr>
          <w:rFonts w:ascii="Century Gothic" w:hAnsi="Century Gothic"/>
          <w:sz w:val="20"/>
          <w:szCs w:val="20"/>
        </w:rPr>
        <w:t>.</w:t>
      </w:r>
    </w:p>
    <w:p w:rsidR="00EC5E9F" w:rsidRDefault="00955752" w:rsidP="00033AD2">
      <w:pPr>
        <w:pStyle w:val="NormalWeb"/>
        <w:spacing w:after="240"/>
        <w:rPr>
          <w:b/>
          <w:color w:val="5F497A" w:themeColor="accent4" w:themeShade="BF"/>
          <w:sz w:val="48"/>
          <w:szCs w:val="48"/>
          <w:lang w:val="en-GB" w:eastAsia="en-US"/>
        </w:rPr>
      </w:pPr>
      <w:r>
        <w:rPr>
          <w:rFonts w:ascii="Century Gothic" w:hAnsi="Century Gothic"/>
          <w:sz w:val="20"/>
          <w:szCs w:val="20"/>
        </w:rPr>
        <w:t xml:space="preserve">The </w:t>
      </w:r>
      <w:r w:rsidR="0062683F">
        <w:rPr>
          <w:rFonts w:ascii="Century Gothic" w:hAnsi="Century Gothic"/>
          <w:sz w:val="20"/>
          <w:szCs w:val="20"/>
        </w:rPr>
        <w:t>O</w:t>
      </w:r>
      <w:r w:rsidR="00F5362B">
        <w:rPr>
          <w:rFonts w:ascii="Century Gothic" w:hAnsi="Century Gothic"/>
          <w:sz w:val="20"/>
          <w:szCs w:val="20"/>
        </w:rPr>
        <w:t>ffice</w:t>
      </w:r>
      <w:r>
        <w:rPr>
          <w:rFonts w:ascii="Century Gothic" w:hAnsi="Century Gothic"/>
          <w:sz w:val="20"/>
          <w:szCs w:val="20"/>
        </w:rPr>
        <w:t xml:space="preserve"> does not deliver water to maximum constraints all the time and most often delivers water in line with natural cues. </w:t>
      </w:r>
      <w:r w:rsidR="00B31DEC">
        <w:rPr>
          <w:rFonts w:ascii="Century Gothic" w:hAnsi="Century Gothic"/>
          <w:sz w:val="20"/>
          <w:szCs w:val="20"/>
        </w:rPr>
        <w:t>Until such a decision is made to change constraints, Commonwealth environmental water will continue to be delivered within existing constraints.</w:t>
      </w:r>
      <w:r w:rsidR="00EC5E9F">
        <w:rPr>
          <w:caps/>
          <w:color w:val="5F497A" w:themeColor="accent4" w:themeShade="BF"/>
          <w:sz w:val="48"/>
          <w:szCs w:val="48"/>
          <w:lang w:val="en-GB" w:eastAsia="en-US"/>
        </w:rPr>
        <w:br w:type="page"/>
      </w:r>
    </w:p>
    <w:p w:rsidR="00940242" w:rsidRPr="006C2670" w:rsidRDefault="00F028C6" w:rsidP="006C2670">
      <w:pPr>
        <w:pStyle w:val="Heading1"/>
        <w:numPr>
          <w:ilvl w:val="0"/>
          <w:numId w:val="20"/>
        </w:numPr>
        <w:spacing w:before="240" w:after="240"/>
        <w:jc w:val="left"/>
        <w:rPr>
          <w:rFonts w:cs="Times New Roman"/>
          <w:caps w:val="0"/>
          <w:color w:val="5F497A" w:themeColor="accent4" w:themeShade="BF"/>
          <w:sz w:val="48"/>
          <w:szCs w:val="48"/>
          <w:lang w:val="en-GB" w:eastAsia="en-US"/>
        </w:rPr>
      </w:pPr>
      <w:bookmarkStart w:id="49" w:name="_Toc422389623"/>
      <w:r w:rsidRPr="006C2670">
        <w:rPr>
          <w:rFonts w:cs="Times New Roman"/>
          <w:caps w:val="0"/>
          <w:color w:val="5F497A" w:themeColor="accent4" w:themeShade="BF"/>
          <w:sz w:val="48"/>
          <w:szCs w:val="48"/>
          <w:lang w:val="en-GB" w:eastAsia="en-US"/>
        </w:rPr>
        <w:lastRenderedPageBreak/>
        <w:t>From planning to decision-making</w:t>
      </w:r>
      <w:bookmarkEnd w:id="49"/>
    </w:p>
    <w:p w:rsidR="00E47462" w:rsidRPr="00E9333E" w:rsidRDefault="00E47462" w:rsidP="00F5362B">
      <w:pPr>
        <w:pStyle w:val="ListBullet"/>
        <w:numPr>
          <w:ilvl w:val="0"/>
          <w:numId w:val="0"/>
        </w:numPr>
        <w:spacing w:before="60" w:after="60"/>
        <w:contextualSpacing/>
        <w:jc w:val="left"/>
        <w:rPr>
          <w:rFonts w:ascii="Century Gothic" w:hAnsi="Century Gothic"/>
        </w:rPr>
      </w:pPr>
      <w:r w:rsidRPr="00E9333E">
        <w:rPr>
          <w:rFonts w:ascii="Century Gothic" w:hAnsi="Century Gothic"/>
        </w:rPr>
        <w:t>Following the planning process outlined above, a number of factors specific to local conditions within catchments influences decision</w:t>
      </w:r>
      <w:r w:rsidR="00E83A6E">
        <w:rPr>
          <w:rFonts w:ascii="Century Gothic" w:hAnsi="Century Gothic"/>
        </w:rPr>
        <w:t>–</w:t>
      </w:r>
      <w:r w:rsidRPr="00E9333E">
        <w:rPr>
          <w:rFonts w:ascii="Century Gothic" w:hAnsi="Century Gothic"/>
        </w:rPr>
        <w:t>making around water delivery</w:t>
      </w:r>
      <w:r w:rsidR="00E83A6E">
        <w:rPr>
          <w:rFonts w:ascii="Century Gothic" w:hAnsi="Century Gothic"/>
        </w:rPr>
        <w:t>, carry over and trade (Figure 3</w:t>
      </w:r>
      <w:r w:rsidRPr="00E9333E">
        <w:rPr>
          <w:rFonts w:ascii="Century Gothic" w:hAnsi="Century Gothic"/>
        </w:rPr>
        <w:t xml:space="preserve">). </w:t>
      </w:r>
    </w:p>
    <w:p w:rsidR="00E47462" w:rsidRDefault="00E47462" w:rsidP="00E47462">
      <w:pPr>
        <w:pStyle w:val="ListBullet"/>
        <w:numPr>
          <w:ilvl w:val="0"/>
          <w:numId w:val="0"/>
        </w:numPr>
        <w:spacing w:before="60" w:after="60"/>
        <w:contextualSpacing/>
        <w:rPr>
          <w:rFonts w:ascii="Arial" w:hAnsi="Arial" w:cs="Arial"/>
        </w:rPr>
      </w:pPr>
    </w:p>
    <w:p w:rsidR="00E47462" w:rsidRDefault="00E47462" w:rsidP="00E47462">
      <w:pPr>
        <w:pStyle w:val="ListBullet"/>
        <w:numPr>
          <w:ilvl w:val="0"/>
          <w:numId w:val="0"/>
        </w:numPr>
        <w:spacing w:before="60" w:after="60"/>
        <w:contextualSpacing/>
        <w:rPr>
          <w:rFonts w:ascii="Arial" w:hAnsi="Arial" w:cs="Arial"/>
        </w:rPr>
      </w:pPr>
    </w:p>
    <w:p w:rsidR="00E47462" w:rsidRPr="005E4223" w:rsidRDefault="00122785" w:rsidP="00E47462">
      <w:pPr>
        <w:pStyle w:val="ListBullet"/>
        <w:numPr>
          <w:ilvl w:val="0"/>
          <w:numId w:val="0"/>
        </w:numPr>
        <w:spacing w:before="60" w:after="60"/>
        <w:contextualSpacing/>
        <w:rPr>
          <w:rFonts w:ascii="Arial" w:hAnsi="Arial" w:cs="Arial"/>
        </w:rPr>
      </w:pPr>
      <w:r w:rsidRPr="00122785">
        <w:rPr>
          <w:noProof/>
        </w:rPr>
        <w:drawing>
          <wp:inline distT="0" distB="0" distL="0" distR="0">
            <wp:extent cx="5849620" cy="2626079"/>
            <wp:effectExtent l="19050" t="0" r="0" b="0"/>
            <wp:docPr id="4" name="Picture 1" descr="A figure showing the range of prevailing factors specific to local conditions within catchments influences decision-making around water delivery, carryover and trade. These factors include environmental demands and opportunities at specific sites; anticipated environmental demands in coming years; forecast climatic conditions and current dam storage levels; physical and operational constraints to water delivery; environmental and operational risks; cost versus benefit assessment of each option; water account rules and carryover limits; long-term yield of entitlements and wise levels of carryover, given uncertainty about future environmental needs; and water market conditions.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849620" cy="2626079"/>
                    </a:xfrm>
                    <a:prstGeom prst="rect">
                      <a:avLst/>
                    </a:prstGeom>
                  </pic:spPr>
                </pic:pic>
              </a:graphicData>
            </a:graphic>
          </wp:inline>
        </w:drawing>
      </w:r>
    </w:p>
    <w:p w:rsidR="00E47462" w:rsidRPr="005E4223" w:rsidRDefault="00E47462" w:rsidP="00F41C7A">
      <w:pPr>
        <w:pStyle w:val="Heading3"/>
        <w:numPr>
          <w:ilvl w:val="0"/>
          <w:numId w:val="0"/>
        </w:numPr>
        <w:rPr>
          <w:rFonts w:ascii="Arial" w:hAnsi="Arial"/>
          <w:b w:val="0"/>
          <w:i w:val="0"/>
        </w:rPr>
      </w:pPr>
    </w:p>
    <w:p w:rsidR="00F73B30" w:rsidRPr="00E078BB" w:rsidRDefault="00E83A6E" w:rsidP="00E078BB">
      <w:pPr>
        <w:pStyle w:val="Caption"/>
        <w:spacing w:after="240"/>
        <w:jc w:val="left"/>
        <w:rPr>
          <w:rFonts w:ascii="Century Gothic" w:hAnsi="Century Gothic"/>
        </w:rPr>
      </w:pPr>
      <w:r>
        <w:rPr>
          <w:rFonts w:ascii="Century Gothic" w:hAnsi="Century Gothic"/>
          <w:bCs w:val="0"/>
        </w:rPr>
        <w:t>Figure 3</w:t>
      </w:r>
      <w:r w:rsidR="00F73B30" w:rsidRPr="00E078BB">
        <w:rPr>
          <w:rFonts w:ascii="Century Gothic" w:hAnsi="Century Gothic"/>
          <w:bCs w:val="0"/>
        </w:rPr>
        <w:t>:</w:t>
      </w:r>
      <w:r w:rsidR="00F73B30" w:rsidRPr="00E078BB">
        <w:rPr>
          <w:rFonts w:ascii="Century Gothic" w:hAnsi="Century Gothic"/>
        </w:rPr>
        <w:t xml:space="preserve"> </w:t>
      </w:r>
      <w:r w:rsidR="00F73B30" w:rsidRPr="00E078BB">
        <w:rPr>
          <w:rFonts w:ascii="Century Gothic" w:hAnsi="Century Gothic"/>
          <w:b w:val="0"/>
        </w:rPr>
        <w:t>Factors informing planning and decision-making for Commonwealth environmental water</w:t>
      </w:r>
    </w:p>
    <w:p w:rsidR="0079257F" w:rsidRDefault="0079257F" w:rsidP="0079257F">
      <w:pPr>
        <w:widowControl w:val="0"/>
        <w:spacing w:after="240"/>
        <w:jc w:val="left"/>
        <w:rPr>
          <w:rFonts w:ascii="Century Gothic" w:hAnsi="Century Gothic"/>
          <w:lang w:val="en-GB"/>
        </w:rPr>
      </w:pPr>
      <w:r w:rsidRPr="00930165">
        <w:rPr>
          <w:rFonts w:ascii="Century Gothic" w:hAnsi="Century Gothic"/>
          <w:lang w:val="en-GB"/>
        </w:rPr>
        <w:t xml:space="preserve">Local </w:t>
      </w:r>
      <w:r>
        <w:rPr>
          <w:rFonts w:ascii="Century Gothic" w:hAnsi="Century Gothic"/>
          <w:lang w:val="en-GB"/>
        </w:rPr>
        <w:t>knowledge</w:t>
      </w:r>
      <w:r w:rsidRPr="00930165">
        <w:rPr>
          <w:rFonts w:ascii="Century Gothic" w:hAnsi="Century Gothic"/>
          <w:lang w:val="en-GB"/>
        </w:rPr>
        <w:t xml:space="preserve"> and experience is critical to effectively manage and deliver Commonwealth environmental water. </w:t>
      </w:r>
      <w:r>
        <w:rPr>
          <w:rFonts w:ascii="Century Gothic" w:hAnsi="Century Gothic"/>
          <w:lang w:val="en-GB"/>
        </w:rPr>
        <w:t>S</w:t>
      </w:r>
      <w:r w:rsidRPr="00930165">
        <w:rPr>
          <w:rFonts w:ascii="Century Gothic" w:hAnsi="Century Gothic"/>
          <w:lang w:val="en-GB"/>
        </w:rPr>
        <w:t>takeholders</w:t>
      </w:r>
      <w:r>
        <w:rPr>
          <w:rFonts w:ascii="Century Gothic" w:hAnsi="Century Gothic"/>
          <w:lang w:val="en-GB"/>
        </w:rPr>
        <w:t xml:space="preserve"> have an important role and provide critical information that informs each stage of</w:t>
      </w:r>
      <w:r w:rsidRPr="00930165">
        <w:rPr>
          <w:rFonts w:ascii="Century Gothic" w:hAnsi="Century Gothic"/>
          <w:lang w:val="en-GB"/>
        </w:rPr>
        <w:t xml:space="preserve"> the </w:t>
      </w:r>
      <w:r>
        <w:rPr>
          <w:rFonts w:ascii="Century Gothic" w:hAnsi="Century Gothic"/>
          <w:lang w:val="en-GB"/>
        </w:rPr>
        <w:t>process for</w:t>
      </w:r>
      <w:r w:rsidRPr="00930165">
        <w:rPr>
          <w:rFonts w:ascii="Century Gothic" w:hAnsi="Century Gothic"/>
          <w:lang w:val="en-GB"/>
        </w:rPr>
        <w:t xml:space="preserve"> manag</w:t>
      </w:r>
      <w:r>
        <w:rPr>
          <w:rFonts w:ascii="Century Gothic" w:hAnsi="Century Gothic"/>
          <w:lang w:val="en-GB"/>
        </w:rPr>
        <w:t>ing</w:t>
      </w:r>
      <w:r w:rsidRPr="00930165">
        <w:rPr>
          <w:rFonts w:ascii="Century Gothic" w:hAnsi="Century Gothic"/>
          <w:lang w:val="en-GB"/>
        </w:rPr>
        <w:t xml:space="preserve"> Commonwealth environmental water. </w:t>
      </w:r>
    </w:p>
    <w:p w:rsidR="006C2670" w:rsidRPr="006C2670" w:rsidRDefault="006C2670" w:rsidP="006C2670">
      <w:pPr>
        <w:pStyle w:val="ListParagraph"/>
        <w:keepNext/>
        <w:numPr>
          <w:ilvl w:val="0"/>
          <w:numId w:val="21"/>
        </w:numPr>
        <w:spacing w:before="240" w:after="240"/>
        <w:jc w:val="left"/>
        <w:outlineLvl w:val="0"/>
        <w:rPr>
          <w:b/>
          <w:vanish/>
          <w:color w:val="5F497A" w:themeColor="accent4" w:themeShade="BF"/>
          <w:sz w:val="40"/>
          <w:szCs w:val="40"/>
          <w:lang w:val="en-GB" w:eastAsia="en-US"/>
        </w:rPr>
      </w:pPr>
      <w:bookmarkStart w:id="50" w:name="_Toc420502901"/>
      <w:bookmarkStart w:id="51" w:name="_Toc420502940"/>
      <w:bookmarkStart w:id="52" w:name="_Toc420926941"/>
      <w:bookmarkStart w:id="53" w:name="_Toc422389624"/>
      <w:bookmarkEnd w:id="50"/>
      <w:bookmarkEnd w:id="51"/>
      <w:bookmarkEnd w:id="52"/>
      <w:bookmarkEnd w:id="53"/>
    </w:p>
    <w:p w:rsidR="006C2670" w:rsidRPr="006C2670" w:rsidRDefault="006C2670" w:rsidP="006C2670">
      <w:pPr>
        <w:pStyle w:val="ListParagraph"/>
        <w:keepNext/>
        <w:numPr>
          <w:ilvl w:val="0"/>
          <w:numId w:val="21"/>
        </w:numPr>
        <w:spacing w:before="240" w:after="240"/>
        <w:jc w:val="left"/>
        <w:outlineLvl w:val="0"/>
        <w:rPr>
          <w:b/>
          <w:vanish/>
          <w:color w:val="5F497A" w:themeColor="accent4" w:themeShade="BF"/>
          <w:sz w:val="40"/>
          <w:szCs w:val="40"/>
          <w:lang w:val="en-GB" w:eastAsia="en-US"/>
        </w:rPr>
      </w:pPr>
      <w:bookmarkStart w:id="54" w:name="_Toc420502902"/>
      <w:bookmarkStart w:id="55" w:name="_Toc420502941"/>
      <w:bookmarkStart w:id="56" w:name="_Toc420926942"/>
      <w:bookmarkStart w:id="57" w:name="_Toc422389625"/>
      <w:bookmarkEnd w:id="54"/>
      <w:bookmarkEnd w:id="55"/>
      <w:bookmarkEnd w:id="56"/>
      <w:bookmarkEnd w:id="57"/>
    </w:p>
    <w:p w:rsidR="006C2670" w:rsidRPr="006C2670" w:rsidRDefault="006C2670" w:rsidP="006C2670">
      <w:pPr>
        <w:pStyle w:val="ListParagraph"/>
        <w:keepNext/>
        <w:numPr>
          <w:ilvl w:val="0"/>
          <w:numId w:val="21"/>
        </w:numPr>
        <w:spacing w:before="240" w:after="240"/>
        <w:jc w:val="left"/>
        <w:outlineLvl w:val="0"/>
        <w:rPr>
          <w:b/>
          <w:vanish/>
          <w:color w:val="5F497A" w:themeColor="accent4" w:themeShade="BF"/>
          <w:sz w:val="40"/>
          <w:szCs w:val="40"/>
          <w:lang w:val="en-GB" w:eastAsia="en-US"/>
        </w:rPr>
      </w:pPr>
      <w:bookmarkStart w:id="58" w:name="_Toc420502903"/>
      <w:bookmarkStart w:id="59" w:name="_Toc420502942"/>
      <w:bookmarkStart w:id="60" w:name="_Toc420926943"/>
      <w:bookmarkStart w:id="61" w:name="_Toc422389626"/>
      <w:bookmarkEnd w:id="58"/>
      <w:bookmarkEnd w:id="59"/>
      <w:bookmarkEnd w:id="60"/>
      <w:bookmarkEnd w:id="61"/>
    </w:p>
    <w:p w:rsidR="006C2670" w:rsidRPr="006C2670" w:rsidRDefault="006C2670" w:rsidP="006C2670">
      <w:pPr>
        <w:pStyle w:val="ListParagraph"/>
        <w:keepNext/>
        <w:numPr>
          <w:ilvl w:val="0"/>
          <w:numId w:val="19"/>
        </w:numPr>
        <w:spacing w:before="240" w:after="240"/>
        <w:jc w:val="left"/>
        <w:outlineLvl w:val="0"/>
        <w:rPr>
          <w:b/>
          <w:vanish/>
          <w:color w:val="5F497A" w:themeColor="accent4" w:themeShade="BF"/>
          <w:sz w:val="40"/>
          <w:szCs w:val="40"/>
          <w:lang w:val="en-GB" w:eastAsia="en-US"/>
        </w:rPr>
      </w:pPr>
      <w:bookmarkStart w:id="62" w:name="_Toc420502904"/>
      <w:bookmarkStart w:id="63" w:name="_Toc420502943"/>
      <w:bookmarkStart w:id="64" w:name="_Toc420926944"/>
      <w:bookmarkStart w:id="65" w:name="_Toc422389627"/>
      <w:bookmarkEnd w:id="62"/>
      <w:bookmarkEnd w:id="63"/>
      <w:bookmarkEnd w:id="64"/>
      <w:bookmarkEnd w:id="65"/>
    </w:p>
    <w:p w:rsidR="00940242" w:rsidRPr="006C2670" w:rsidRDefault="00ED2168" w:rsidP="006C2670">
      <w:pPr>
        <w:pStyle w:val="Heading1"/>
        <w:numPr>
          <w:ilvl w:val="1"/>
          <w:numId w:val="19"/>
        </w:numPr>
        <w:spacing w:before="240" w:after="240"/>
        <w:ind w:left="432"/>
        <w:jc w:val="left"/>
        <w:rPr>
          <w:rFonts w:cs="Times New Roman"/>
          <w:caps w:val="0"/>
          <w:color w:val="5F497A" w:themeColor="accent4" w:themeShade="BF"/>
          <w:sz w:val="40"/>
          <w:szCs w:val="40"/>
          <w:lang w:val="en-GB" w:eastAsia="en-US"/>
        </w:rPr>
      </w:pPr>
      <w:bookmarkStart w:id="66" w:name="_Toc422389628"/>
      <w:r w:rsidRPr="006C2670">
        <w:rPr>
          <w:rFonts w:cs="Times New Roman"/>
          <w:caps w:val="0"/>
          <w:color w:val="5F497A" w:themeColor="accent4" w:themeShade="BF"/>
          <w:sz w:val="40"/>
          <w:szCs w:val="40"/>
          <w:lang w:val="en-GB" w:eastAsia="en-US"/>
        </w:rPr>
        <w:t>Commonwealth environmental watering decisions</w:t>
      </w:r>
      <w:bookmarkEnd w:id="66"/>
    </w:p>
    <w:p w:rsidR="0079257F" w:rsidRPr="00930165" w:rsidRDefault="0079257F" w:rsidP="0079257F">
      <w:pPr>
        <w:widowControl w:val="0"/>
        <w:spacing w:after="240"/>
        <w:jc w:val="left"/>
        <w:rPr>
          <w:rFonts w:ascii="Century Gothic" w:hAnsi="Century Gothic"/>
          <w:lang w:val="en-GB"/>
        </w:rPr>
      </w:pPr>
      <w:r w:rsidRPr="00930165">
        <w:rPr>
          <w:rFonts w:ascii="Century Gothic" w:hAnsi="Century Gothic"/>
          <w:lang w:val="en-GB"/>
        </w:rPr>
        <w:t xml:space="preserve">The planning phase is the first stage in the cycle of environmental water management. </w:t>
      </w:r>
      <w:r>
        <w:rPr>
          <w:rFonts w:ascii="Century Gothic" w:hAnsi="Century Gothic"/>
          <w:lang w:val="en-GB"/>
        </w:rPr>
        <w:t xml:space="preserve">The </w:t>
      </w:r>
      <w:r w:rsidRPr="00930165">
        <w:rPr>
          <w:rFonts w:ascii="Century Gothic" w:hAnsi="Century Gothic"/>
          <w:lang w:val="en-GB"/>
        </w:rPr>
        <w:t>planning process occurs on an annual basis between January and the end of June</w:t>
      </w:r>
      <w:r>
        <w:rPr>
          <w:rFonts w:ascii="Century Gothic" w:hAnsi="Century Gothic"/>
          <w:lang w:val="en-GB"/>
        </w:rPr>
        <w:t>,</w:t>
      </w:r>
      <w:r w:rsidRPr="00930165">
        <w:rPr>
          <w:rFonts w:ascii="Century Gothic" w:hAnsi="Century Gothic"/>
          <w:lang w:val="en-GB"/>
        </w:rPr>
        <w:t xml:space="preserve"> </w:t>
      </w:r>
      <w:r>
        <w:rPr>
          <w:rFonts w:ascii="Century Gothic" w:hAnsi="Century Gothic"/>
          <w:lang w:val="en-GB"/>
        </w:rPr>
        <w:t>and each planning</w:t>
      </w:r>
      <w:r w:rsidRPr="00930165">
        <w:rPr>
          <w:rFonts w:ascii="Century Gothic" w:hAnsi="Century Gothic"/>
          <w:lang w:val="en-GB"/>
        </w:rPr>
        <w:t xml:space="preserve"> document represents the culmination of months of work and consultation</w:t>
      </w:r>
      <w:r>
        <w:rPr>
          <w:rFonts w:ascii="Century Gothic" w:hAnsi="Century Gothic"/>
          <w:lang w:val="en-GB"/>
        </w:rPr>
        <w:t>.</w:t>
      </w:r>
      <w:r w:rsidRPr="00930165">
        <w:rPr>
          <w:rFonts w:ascii="Century Gothic" w:hAnsi="Century Gothic"/>
          <w:lang w:val="en-GB"/>
        </w:rPr>
        <w:t xml:space="preserve"> Throughout the planning process</w:t>
      </w:r>
      <w:r w:rsidR="00E83A6E">
        <w:rPr>
          <w:rFonts w:ascii="Century Gothic" w:hAnsi="Century Gothic"/>
          <w:lang w:val="en-GB"/>
        </w:rPr>
        <w:t>,</w:t>
      </w:r>
      <w:r w:rsidRPr="00930165">
        <w:rPr>
          <w:rFonts w:ascii="Century Gothic" w:hAnsi="Century Gothic"/>
          <w:lang w:val="en-GB"/>
        </w:rPr>
        <w:t xml:space="preserve"> the Office consults closely with </w:t>
      </w:r>
      <w:r>
        <w:rPr>
          <w:rFonts w:ascii="Century Gothic" w:hAnsi="Century Gothic"/>
          <w:lang w:val="en-GB"/>
        </w:rPr>
        <w:t>s</w:t>
      </w:r>
      <w:r w:rsidRPr="00930165">
        <w:rPr>
          <w:rFonts w:ascii="Century Gothic" w:hAnsi="Century Gothic"/>
          <w:lang w:val="en-GB"/>
        </w:rPr>
        <w:t xml:space="preserve">tate environmental water managers, river operators and local environmental water advisory groups. The information gathered as part of the planning process feeds into the development of </w:t>
      </w:r>
      <w:r w:rsidR="00E83A6E">
        <w:rPr>
          <w:rFonts w:ascii="Century Gothic" w:hAnsi="Century Gothic"/>
          <w:lang w:val="en-GB"/>
        </w:rPr>
        <w:t>watering intentions</w:t>
      </w:r>
      <w:r w:rsidRPr="00930165">
        <w:rPr>
          <w:rFonts w:ascii="Century Gothic" w:hAnsi="Century Gothic"/>
          <w:lang w:val="en-GB"/>
        </w:rPr>
        <w:t xml:space="preserve"> for the following water year.  </w:t>
      </w:r>
    </w:p>
    <w:p w:rsidR="00994672" w:rsidRDefault="0079257F" w:rsidP="0079257F">
      <w:pPr>
        <w:widowControl w:val="0"/>
        <w:spacing w:after="240"/>
        <w:jc w:val="left"/>
        <w:rPr>
          <w:rFonts w:ascii="Century Gothic" w:hAnsi="Century Gothic"/>
          <w:lang w:val="en-GB"/>
        </w:rPr>
      </w:pPr>
      <w:r w:rsidRPr="00930165">
        <w:rPr>
          <w:rFonts w:ascii="Century Gothic" w:hAnsi="Century Gothic"/>
          <w:lang w:val="en-GB"/>
        </w:rPr>
        <w:t>Towards the beginning of the new water year</w:t>
      </w:r>
      <w:r w:rsidR="00E83A6E">
        <w:rPr>
          <w:rFonts w:ascii="Century Gothic" w:hAnsi="Century Gothic"/>
          <w:lang w:val="en-GB"/>
        </w:rPr>
        <w:t>,</w:t>
      </w:r>
      <w:r w:rsidRPr="00930165">
        <w:rPr>
          <w:rFonts w:ascii="Century Gothic" w:hAnsi="Century Gothic"/>
          <w:lang w:val="en-GB"/>
        </w:rPr>
        <w:t xml:space="preserve"> the focus shifts from planning to implementation. Greater </w:t>
      </w:r>
      <w:r>
        <w:rPr>
          <w:rFonts w:ascii="Century Gothic" w:hAnsi="Century Gothic"/>
          <w:lang w:val="en-GB"/>
        </w:rPr>
        <w:t>consideration</w:t>
      </w:r>
      <w:r w:rsidRPr="00930165">
        <w:rPr>
          <w:rFonts w:ascii="Century Gothic" w:hAnsi="Century Gothic"/>
          <w:lang w:val="en-GB"/>
        </w:rPr>
        <w:t xml:space="preserve"> is given to current and forecast catchment conditions and water availability to determine </w:t>
      </w:r>
      <w:r w:rsidR="00E83A6E">
        <w:rPr>
          <w:rFonts w:ascii="Century Gothic" w:hAnsi="Century Gothic"/>
          <w:lang w:val="en-GB"/>
        </w:rPr>
        <w:t>whether the watering intentions</w:t>
      </w:r>
      <w:r w:rsidRPr="00930165">
        <w:rPr>
          <w:rFonts w:ascii="Century Gothic" w:hAnsi="Century Gothic"/>
          <w:lang w:val="en-GB"/>
        </w:rPr>
        <w:t xml:space="preserve"> </w:t>
      </w:r>
      <w:r>
        <w:rPr>
          <w:rFonts w:ascii="Century Gothic" w:hAnsi="Century Gothic"/>
          <w:lang w:val="en-GB"/>
        </w:rPr>
        <w:t>identified during</w:t>
      </w:r>
      <w:r w:rsidRPr="00930165">
        <w:rPr>
          <w:rFonts w:ascii="Century Gothic" w:hAnsi="Century Gothic"/>
          <w:lang w:val="en-GB"/>
        </w:rPr>
        <w:t xml:space="preserve"> the planning process can </w:t>
      </w:r>
      <w:r>
        <w:rPr>
          <w:rFonts w:ascii="Century Gothic" w:hAnsi="Century Gothic"/>
          <w:lang w:val="en-GB"/>
        </w:rPr>
        <w:t xml:space="preserve">feasibly be implemented. </w:t>
      </w:r>
      <w:r w:rsidRPr="00930165">
        <w:rPr>
          <w:rFonts w:ascii="Century Gothic" w:hAnsi="Century Gothic"/>
          <w:lang w:val="en-GB"/>
        </w:rPr>
        <w:t>Local on-ground knowledge is important for detail</w:t>
      </w:r>
      <w:r>
        <w:rPr>
          <w:rFonts w:ascii="Century Gothic" w:hAnsi="Century Gothic"/>
          <w:lang w:val="en-GB"/>
        </w:rPr>
        <w:t>ing</w:t>
      </w:r>
      <w:r w:rsidRPr="00930165">
        <w:rPr>
          <w:rFonts w:ascii="Century Gothic" w:hAnsi="Century Gothic"/>
          <w:lang w:val="en-GB"/>
        </w:rPr>
        <w:t xml:space="preserve"> a specific watering action</w:t>
      </w:r>
      <w:r>
        <w:rPr>
          <w:rFonts w:ascii="Century Gothic" w:hAnsi="Century Gothic"/>
          <w:lang w:val="en-GB"/>
        </w:rPr>
        <w:t xml:space="preserve"> including the flow</w:t>
      </w:r>
      <w:r w:rsidRPr="00930165">
        <w:rPr>
          <w:rFonts w:ascii="Century Gothic" w:hAnsi="Century Gothic"/>
          <w:lang w:val="en-GB"/>
        </w:rPr>
        <w:t xml:space="preserve"> magnitude, timing, </w:t>
      </w:r>
      <w:proofErr w:type="gramStart"/>
      <w:r w:rsidRPr="00930165">
        <w:rPr>
          <w:rFonts w:ascii="Century Gothic" w:hAnsi="Century Gothic"/>
          <w:lang w:val="en-GB"/>
        </w:rPr>
        <w:t>triggers</w:t>
      </w:r>
      <w:proofErr w:type="gramEnd"/>
      <w:r w:rsidRPr="00930165">
        <w:rPr>
          <w:rFonts w:ascii="Century Gothic" w:hAnsi="Century Gothic"/>
          <w:lang w:val="en-GB"/>
        </w:rPr>
        <w:t xml:space="preserve"> for commencement, rates of rise and fall and </w:t>
      </w:r>
      <w:r>
        <w:rPr>
          <w:rFonts w:ascii="Century Gothic" w:hAnsi="Century Gothic"/>
          <w:lang w:val="en-GB"/>
        </w:rPr>
        <w:t xml:space="preserve">the </w:t>
      </w:r>
      <w:r w:rsidRPr="00930165">
        <w:rPr>
          <w:rFonts w:ascii="Century Gothic" w:hAnsi="Century Gothic"/>
          <w:lang w:val="en-GB"/>
        </w:rPr>
        <w:t xml:space="preserve">area to be inundated. </w:t>
      </w:r>
    </w:p>
    <w:p w:rsidR="0079257F" w:rsidRPr="00930165" w:rsidRDefault="0079257F" w:rsidP="00A22406">
      <w:pPr>
        <w:widowControl w:val="0"/>
        <w:spacing w:after="120"/>
        <w:jc w:val="left"/>
        <w:rPr>
          <w:rFonts w:ascii="Century Gothic" w:hAnsi="Century Gothic"/>
          <w:lang w:val="en-GB"/>
        </w:rPr>
      </w:pPr>
      <w:r w:rsidRPr="00930165">
        <w:rPr>
          <w:rFonts w:ascii="Century Gothic" w:hAnsi="Century Gothic"/>
          <w:lang w:val="en-GB"/>
        </w:rPr>
        <w:t xml:space="preserve">Once </w:t>
      </w:r>
      <w:r>
        <w:rPr>
          <w:rFonts w:ascii="Century Gothic" w:hAnsi="Century Gothic"/>
          <w:lang w:val="en-GB"/>
        </w:rPr>
        <w:t>an action has been scoped in more detail</w:t>
      </w:r>
      <w:r w:rsidR="00E83A6E">
        <w:rPr>
          <w:rFonts w:ascii="Century Gothic" w:hAnsi="Century Gothic"/>
          <w:lang w:val="en-GB"/>
        </w:rPr>
        <w:t>,</w:t>
      </w:r>
      <w:r>
        <w:rPr>
          <w:rFonts w:ascii="Century Gothic" w:hAnsi="Century Gothic"/>
          <w:lang w:val="en-GB"/>
        </w:rPr>
        <w:t xml:space="preserve"> an assessment</w:t>
      </w:r>
      <w:r w:rsidRPr="00930165">
        <w:rPr>
          <w:rFonts w:ascii="Century Gothic" w:hAnsi="Century Gothic"/>
          <w:lang w:val="en-GB"/>
        </w:rPr>
        <w:t xml:space="preserve"> </w:t>
      </w:r>
      <w:r>
        <w:rPr>
          <w:rFonts w:ascii="Century Gothic" w:hAnsi="Century Gothic"/>
          <w:lang w:val="en-GB"/>
        </w:rPr>
        <w:t xml:space="preserve">is undertaken </w:t>
      </w:r>
      <w:r w:rsidRPr="00930165">
        <w:rPr>
          <w:rFonts w:ascii="Century Gothic" w:hAnsi="Century Gothic"/>
          <w:lang w:val="en-GB"/>
        </w:rPr>
        <w:t xml:space="preserve">against the following criteria: </w:t>
      </w:r>
    </w:p>
    <w:p w:rsidR="0079257F" w:rsidRPr="00971C54" w:rsidRDefault="0079257F" w:rsidP="00A22406">
      <w:pPr>
        <w:pStyle w:val="ListBullet"/>
        <w:numPr>
          <w:ilvl w:val="0"/>
          <w:numId w:val="17"/>
        </w:numPr>
        <w:spacing w:after="120"/>
        <w:ind w:left="425" w:hanging="425"/>
        <w:rPr>
          <w:rFonts w:ascii="Century Gothic" w:hAnsi="Century Gothic"/>
        </w:rPr>
      </w:pPr>
      <w:r w:rsidRPr="00971C54">
        <w:rPr>
          <w:rFonts w:ascii="Century Gothic" w:hAnsi="Century Gothic"/>
        </w:rPr>
        <w:t>ecological value of the river, floodplain or wetland</w:t>
      </w:r>
    </w:p>
    <w:p w:rsidR="0079257F" w:rsidRPr="00971C54" w:rsidRDefault="0079257F" w:rsidP="00A22406">
      <w:pPr>
        <w:pStyle w:val="ListBullet"/>
        <w:numPr>
          <w:ilvl w:val="0"/>
          <w:numId w:val="17"/>
        </w:numPr>
        <w:spacing w:after="120"/>
        <w:ind w:left="425" w:hanging="425"/>
        <w:rPr>
          <w:rFonts w:ascii="Century Gothic" w:hAnsi="Century Gothic"/>
        </w:rPr>
      </w:pPr>
      <w:r w:rsidRPr="00971C54">
        <w:rPr>
          <w:rFonts w:ascii="Century Gothic" w:hAnsi="Century Gothic"/>
        </w:rPr>
        <w:t>expected outcomes from watering</w:t>
      </w:r>
    </w:p>
    <w:p w:rsidR="0079257F" w:rsidRPr="00971C54" w:rsidRDefault="0079257F" w:rsidP="00A22406">
      <w:pPr>
        <w:pStyle w:val="ListBullet"/>
        <w:numPr>
          <w:ilvl w:val="0"/>
          <w:numId w:val="17"/>
        </w:numPr>
        <w:spacing w:after="120"/>
        <w:ind w:left="425" w:hanging="425"/>
        <w:rPr>
          <w:rFonts w:ascii="Century Gothic" w:hAnsi="Century Gothic"/>
        </w:rPr>
      </w:pPr>
      <w:r w:rsidRPr="00971C54">
        <w:rPr>
          <w:rFonts w:ascii="Century Gothic" w:hAnsi="Century Gothic"/>
        </w:rPr>
        <w:t>potential risks of watering</w:t>
      </w:r>
    </w:p>
    <w:p w:rsidR="0079257F" w:rsidRPr="00971C54" w:rsidRDefault="0079257F" w:rsidP="00A22406">
      <w:pPr>
        <w:pStyle w:val="ListBullet"/>
        <w:numPr>
          <w:ilvl w:val="0"/>
          <w:numId w:val="17"/>
        </w:numPr>
        <w:spacing w:after="120"/>
        <w:ind w:left="425" w:hanging="425"/>
        <w:rPr>
          <w:rFonts w:ascii="Century Gothic" w:hAnsi="Century Gothic"/>
        </w:rPr>
      </w:pPr>
      <w:r w:rsidRPr="00971C54">
        <w:rPr>
          <w:rFonts w:ascii="Century Gothic" w:hAnsi="Century Gothic"/>
        </w:rPr>
        <w:t>long-term sustainability and management of the site</w:t>
      </w:r>
    </w:p>
    <w:p w:rsidR="0079257F" w:rsidRPr="00971C54" w:rsidRDefault="0079257F" w:rsidP="00994672">
      <w:pPr>
        <w:pStyle w:val="ListBullet"/>
        <w:numPr>
          <w:ilvl w:val="0"/>
          <w:numId w:val="17"/>
        </w:numPr>
        <w:spacing w:after="200"/>
        <w:ind w:left="425" w:hanging="425"/>
        <w:rPr>
          <w:rFonts w:ascii="Century Gothic" w:hAnsi="Century Gothic"/>
        </w:rPr>
      </w:pPr>
      <w:proofErr w:type="gramStart"/>
      <w:r w:rsidRPr="00971C54">
        <w:rPr>
          <w:rFonts w:ascii="Century Gothic" w:hAnsi="Century Gothic"/>
        </w:rPr>
        <w:t>cost</w:t>
      </w:r>
      <w:proofErr w:type="gramEnd"/>
      <w:r w:rsidRPr="00971C54">
        <w:rPr>
          <w:rFonts w:ascii="Century Gothic" w:hAnsi="Century Gothic"/>
        </w:rPr>
        <w:t xml:space="preserve"> effectiveness and feasibility of watering. </w:t>
      </w:r>
    </w:p>
    <w:p w:rsidR="0079257F" w:rsidRDefault="0079257F" w:rsidP="00994672">
      <w:pPr>
        <w:pStyle w:val="Para0"/>
        <w:spacing w:after="200" w:line="240" w:lineRule="auto"/>
        <w:jc w:val="left"/>
        <w:rPr>
          <w:rFonts w:ascii="Century Gothic" w:hAnsi="Century Gothic"/>
        </w:rPr>
      </w:pPr>
      <w:r w:rsidRPr="00971C54">
        <w:rPr>
          <w:rFonts w:ascii="Century Gothic" w:hAnsi="Century Gothic"/>
          <w:color w:val="auto"/>
        </w:rPr>
        <w:lastRenderedPageBreak/>
        <w:t xml:space="preserve">Following the </w:t>
      </w:r>
      <w:r>
        <w:rPr>
          <w:rFonts w:ascii="Century Gothic" w:hAnsi="Century Gothic"/>
          <w:color w:val="auto"/>
        </w:rPr>
        <w:t>scoping</w:t>
      </w:r>
      <w:r w:rsidRPr="00971C54">
        <w:rPr>
          <w:rFonts w:ascii="Century Gothic" w:hAnsi="Century Gothic"/>
          <w:color w:val="auto"/>
        </w:rPr>
        <w:t xml:space="preserve"> and assessment of</w:t>
      </w:r>
      <w:r>
        <w:rPr>
          <w:rFonts w:ascii="Century Gothic" w:hAnsi="Century Gothic"/>
          <w:color w:val="auto"/>
        </w:rPr>
        <w:t xml:space="preserve"> potential</w:t>
      </w:r>
      <w:r w:rsidRPr="00971C54">
        <w:rPr>
          <w:rFonts w:ascii="Century Gothic" w:hAnsi="Century Gothic"/>
          <w:color w:val="auto"/>
        </w:rPr>
        <w:t xml:space="preserve"> watering </w:t>
      </w:r>
      <w:r>
        <w:rPr>
          <w:rFonts w:ascii="Century Gothic" w:hAnsi="Century Gothic"/>
          <w:color w:val="auto"/>
        </w:rPr>
        <w:t>actions</w:t>
      </w:r>
      <w:r w:rsidRPr="00971C54">
        <w:rPr>
          <w:rFonts w:ascii="Century Gothic" w:hAnsi="Century Gothic"/>
          <w:color w:val="auto"/>
        </w:rPr>
        <w:t xml:space="preserve">, </w:t>
      </w:r>
      <w:r>
        <w:rPr>
          <w:rFonts w:ascii="Century Gothic" w:hAnsi="Century Gothic"/>
          <w:color w:val="auto"/>
        </w:rPr>
        <w:t>the Commonwealth Environmental Water Holder is required to make a decision on whether or not to commit the water and funds required to support the watering action. In doing so</w:t>
      </w:r>
      <w:r w:rsidR="00E83A6E">
        <w:rPr>
          <w:rFonts w:ascii="Century Gothic" w:hAnsi="Century Gothic"/>
          <w:color w:val="auto"/>
        </w:rPr>
        <w:t>,</w:t>
      </w:r>
      <w:r>
        <w:rPr>
          <w:rFonts w:ascii="Century Gothic" w:hAnsi="Century Gothic"/>
          <w:color w:val="auto"/>
        </w:rPr>
        <w:t xml:space="preserve"> the </w:t>
      </w:r>
      <w:r w:rsidRPr="00971C54">
        <w:rPr>
          <w:rFonts w:ascii="Century Gothic" w:hAnsi="Century Gothic"/>
        </w:rPr>
        <w:t xml:space="preserve">Commonwealth Environmental Water Holder also has regard to the Basin </w:t>
      </w:r>
      <w:r w:rsidR="004B5F50">
        <w:rPr>
          <w:rFonts w:ascii="Century Gothic" w:hAnsi="Century Gothic"/>
        </w:rPr>
        <w:t>a</w:t>
      </w:r>
      <w:r w:rsidRPr="00971C54">
        <w:rPr>
          <w:rFonts w:ascii="Century Gothic" w:hAnsi="Century Gothic"/>
        </w:rPr>
        <w:t>nnual</w:t>
      </w:r>
      <w:r w:rsidR="004B5F50">
        <w:rPr>
          <w:rFonts w:ascii="Century Gothic" w:hAnsi="Century Gothic"/>
        </w:rPr>
        <w:t xml:space="preserve"> environmental watering</w:t>
      </w:r>
      <w:r w:rsidRPr="00971C54">
        <w:rPr>
          <w:rFonts w:ascii="Century Gothic" w:hAnsi="Century Gothic"/>
        </w:rPr>
        <w:t xml:space="preserve"> </w:t>
      </w:r>
      <w:r w:rsidR="004B5F50">
        <w:rPr>
          <w:rFonts w:ascii="Century Gothic" w:hAnsi="Century Gothic"/>
        </w:rPr>
        <w:t>p</w:t>
      </w:r>
      <w:r w:rsidRPr="00971C54">
        <w:rPr>
          <w:rFonts w:ascii="Century Gothic" w:hAnsi="Century Gothic"/>
        </w:rPr>
        <w:t>riorities</w:t>
      </w:r>
      <w:r w:rsidR="00E83A6E">
        <w:rPr>
          <w:rFonts w:ascii="Century Gothic" w:hAnsi="Century Gothic"/>
        </w:rPr>
        <w:t>,</w:t>
      </w:r>
      <w:r>
        <w:rPr>
          <w:rFonts w:ascii="Century Gothic" w:hAnsi="Century Gothic"/>
        </w:rPr>
        <w:t xml:space="preserve"> as required by the Basin Plan. </w:t>
      </w:r>
    </w:p>
    <w:p w:rsidR="0079257F" w:rsidRDefault="0079257F" w:rsidP="00994672">
      <w:pPr>
        <w:pStyle w:val="Para0"/>
        <w:spacing w:after="200" w:line="240" w:lineRule="auto"/>
        <w:jc w:val="left"/>
        <w:rPr>
          <w:rFonts w:ascii="Century Gothic" w:hAnsi="Century Gothic"/>
          <w:color w:val="auto"/>
        </w:rPr>
      </w:pPr>
      <w:r>
        <w:rPr>
          <w:rFonts w:ascii="Century Gothic" w:hAnsi="Century Gothic"/>
        </w:rPr>
        <w:t>When a decision is made by the Commonwealth Environmental Water Holder to proceed with a watering action</w:t>
      </w:r>
      <w:r w:rsidR="004B5F50">
        <w:rPr>
          <w:rFonts w:ascii="Century Gothic" w:hAnsi="Century Gothic"/>
        </w:rPr>
        <w:t>,</w:t>
      </w:r>
      <w:r>
        <w:rPr>
          <w:rFonts w:ascii="Century Gothic" w:hAnsi="Century Gothic"/>
        </w:rPr>
        <w:t xml:space="preserve"> a</w:t>
      </w:r>
      <w:r w:rsidRPr="00971C54">
        <w:rPr>
          <w:rFonts w:ascii="Century Gothic" w:hAnsi="Century Gothic"/>
          <w:color w:val="auto"/>
        </w:rPr>
        <w:t xml:space="preserve">rrangements </w:t>
      </w:r>
      <w:r>
        <w:rPr>
          <w:rFonts w:ascii="Century Gothic" w:hAnsi="Century Gothic"/>
          <w:color w:val="auto"/>
        </w:rPr>
        <w:t xml:space="preserve">for </w:t>
      </w:r>
      <w:r>
        <w:rPr>
          <w:rFonts w:ascii="Century Gothic" w:hAnsi="Century Gothic"/>
        </w:rPr>
        <w:t xml:space="preserve">implementation </w:t>
      </w:r>
      <w:r w:rsidRPr="00971C54">
        <w:rPr>
          <w:rFonts w:ascii="Century Gothic" w:hAnsi="Century Gothic"/>
          <w:color w:val="auto"/>
        </w:rPr>
        <w:t>are</w:t>
      </w:r>
      <w:r>
        <w:rPr>
          <w:rFonts w:ascii="Century Gothic" w:hAnsi="Century Gothic"/>
          <w:color w:val="auto"/>
        </w:rPr>
        <w:t xml:space="preserve"> </w:t>
      </w:r>
      <w:r w:rsidRPr="00971C54">
        <w:rPr>
          <w:rFonts w:ascii="Century Gothic" w:hAnsi="Century Gothic"/>
          <w:color w:val="auto"/>
        </w:rPr>
        <w:t>made with delivery partners</w:t>
      </w:r>
      <w:r>
        <w:rPr>
          <w:rFonts w:ascii="Century Gothic" w:hAnsi="Century Gothic"/>
          <w:color w:val="auto"/>
        </w:rPr>
        <w:t xml:space="preserve">. This </w:t>
      </w:r>
      <w:r w:rsidRPr="00971C54">
        <w:rPr>
          <w:rFonts w:ascii="Century Gothic" w:hAnsi="Century Gothic"/>
          <w:color w:val="auto"/>
        </w:rPr>
        <w:t>includ</w:t>
      </w:r>
      <w:r>
        <w:rPr>
          <w:rFonts w:ascii="Century Gothic" w:hAnsi="Century Gothic"/>
          <w:color w:val="auto"/>
        </w:rPr>
        <w:t>es</w:t>
      </w:r>
      <w:r w:rsidRPr="00971C54">
        <w:rPr>
          <w:rFonts w:ascii="Century Gothic" w:hAnsi="Century Gothic"/>
          <w:color w:val="auto"/>
        </w:rPr>
        <w:t xml:space="preserve"> river operators, who manage the delivery of the w</w:t>
      </w:r>
      <w:r>
        <w:rPr>
          <w:rFonts w:ascii="Century Gothic" w:hAnsi="Century Gothic"/>
          <w:color w:val="auto"/>
        </w:rPr>
        <w:t>ater and operational monitoring. Local community involvement is crucial at this stage of implementation and during water delivery as conditions can change rapidly and may result in the need to adjust, suspend or even cancel the watering action.</w:t>
      </w:r>
    </w:p>
    <w:p w:rsidR="0079257F" w:rsidRDefault="0079257F" w:rsidP="00994672">
      <w:pPr>
        <w:pStyle w:val="Para0"/>
        <w:spacing w:after="200" w:line="240" w:lineRule="auto"/>
        <w:jc w:val="left"/>
        <w:rPr>
          <w:rFonts w:ascii="Century Gothic" w:hAnsi="Century Gothic"/>
          <w:color w:val="auto"/>
        </w:rPr>
      </w:pPr>
      <w:r w:rsidRPr="00971C54">
        <w:rPr>
          <w:rFonts w:ascii="Century Gothic" w:hAnsi="Century Gothic"/>
          <w:color w:val="auto"/>
        </w:rPr>
        <w:t xml:space="preserve">Upon completion of the watering </w:t>
      </w:r>
      <w:r>
        <w:rPr>
          <w:rFonts w:ascii="Century Gothic" w:hAnsi="Century Gothic"/>
          <w:color w:val="auto"/>
        </w:rPr>
        <w:t>action</w:t>
      </w:r>
      <w:r w:rsidRPr="00971C54">
        <w:rPr>
          <w:rFonts w:ascii="Century Gothic" w:hAnsi="Century Gothic"/>
          <w:color w:val="auto"/>
        </w:rPr>
        <w:t>, a review process</w:t>
      </w:r>
      <w:r>
        <w:rPr>
          <w:rFonts w:ascii="Century Gothic" w:hAnsi="Century Gothic"/>
          <w:color w:val="auto"/>
        </w:rPr>
        <w:t>, which generally takes place from March through to October,</w:t>
      </w:r>
      <w:r w:rsidRPr="00971C54">
        <w:rPr>
          <w:rFonts w:ascii="Century Gothic" w:hAnsi="Century Gothic"/>
          <w:color w:val="auto"/>
        </w:rPr>
        <w:t xml:space="preserve"> informs future watering </w:t>
      </w:r>
      <w:r>
        <w:rPr>
          <w:rFonts w:ascii="Century Gothic" w:hAnsi="Century Gothic"/>
          <w:color w:val="auto"/>
        </w:rPr>
        <w:t>actions</w:t>
      </w:r>
      <w:r w:rsidRPr="00971C54">
        <w:rPr>
          <w:rFonts w:ascii="Century Gothic" w:hAnsi="Century Gothic"/>
          <w:color w:val="auto"/>
        </w:rPr>
        <w:t xml:space="preserve"> and long term management. </w:t>
      </w:r>
      <w:r>
        <w:rPr>
          <w:rFonts w:ascii="Century Gothic" w:hAnsi="Century Gothic"/>
          <w:color w:val="auto"/>
        </w:rPr>
        <w:t>This review is informed by the weekly operational monitoring, results of ecological monitoring, and feedback provided by site managers and the local community.</w:t>
      </w:r>
    </w:p>
    <w:p w:rsidR="00EC5E9F" w:rsidRDefault="00EC5E9F" w:rsidP="00994672">
      <w:pPr>
        <w:pStyle w:val="Para0"/>
        <w:spacing w:after="200" w:line="240" w:lineRule="auto"/>
        <w:jc w:val="left"/>
        <w:rPr>
          <w:rFonts w:ascii="Century Gothic" w:hAnsi="Century Gothic"/>
          <w:color w:val="auto"/>
        </w:rPr>
      </w:pPr>
    </w:p>
    <w:p w:rsidR="0060424C" w:rsidRDefault="00E74E13" w:rsidP="0079257F">
      <w:pPr>
        <w:pStyle w:val="Para0"/>
        <w:spacing w:after="240" w:line="240" w:lineRule="auto"/>
        <w:jc w:val="left"/>
        <w:rPr>
          <w:rFonts w:ascii="Century Gothic" w:hAnsi="Century Gothic"/>
          <w:color w:val="auto"/>
        </w:rPr>
      </w:pPr>
      <w:r w:rsidRPr="00E74E13">
        <w:rPr>
          <w:rFonts w:ascii="Century Gothic" w:hAnsi="Century Gothic"/>
          <w:noProof/>
          <w:color w:val="auto"/>
          <w:lang w:val="en-AU" w:eastAsia="en-AU"/>
        </w:rPr>
        <w:drawing>
          <wp:inline distT="0" distB="0" distL="0" distR="0">
            <wp:extent cx="5425377" cy="4306956"/>
            <wp:effectExtent l="19050" t="0" r="3873" b="0"/>
            <wp:docPr id="8" name="Picture 0" descr="This timeline illustrates the annual management process for Commonwealth environmental water.&#10;From January through to June, annual planning of Commonwealth environmental water use occurs with the Commonwealth Environmental Water Holder (CEWH) approving the Portfolio Management Plans for each catchment. Through an assessment of catchment conditions, unrealistic or unfeasible watering actions are eliminated. The planning process then feeds into the implementation process, which runs across the whole water year. Detailed planning and risk assessments of the feasible watering actions are made. The relevant approval documentation for watering actions is developed and the CEWH makes the final decision on all actions. If approved, the watering action is implemented with ongoing weekly operational monitoring, followed by a report to finalise the action (an acquittal report). The CEWH may make decisions to change, suspend of cancel watering actions to reflect changing conditions.&#10; In the final months of the watering year and in the beginning of the next, from March to October, a review of all watering actions within a catchment takes place. Additionally short and long term ecological monitoring occurs by other agencies and through the Long Term Intervention Monitoring programme. These reviews feedback into the planning process.   &#10;Stakeholder input is used throughout the entire process, Including annual planning, assessment of catchment conditions, detailed planning and risk assessments of watering actions, implementation of watering actions, monitoring (both operational and ecological) watering actions and reviewing watering a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6" cstate="print"/>
                    <a:stretch>
                      <a:fillRect/>
                    </a:stretch>
                  </pic:blipFill>
                  <pic:spPr>
                    <a:xfrm>
                      <a:off x="0" y="0"/>
                      <a:ext cx="5436643" cy="4315900"/>
                    </a:xfrm>
                    <a:prstGeom prst="rect">
                      <a:avLst/>
                    </a:prstGeom>
                  </pic:spPr>
                </pic:pic>
              </a:graphicData>
            </a:graphic>
          </wp:inline>
        </w:drawing>
      </w:r>
    </w:p>
    <w:p w:rsidR="008F7615" w:rsidRPr="00E078BB" w:rsidRDefault="008F7615" w:rsidP="00E078BB">
      <w:pPr>
        <w:pStyle w:val="Caption"/>
        <w:spacing w:after="240"/>
        <w:jc w:val="left"/>
        <w:rPr>
          <w:rFonts w:ascii="Century Gothic" w:hAnsi="Century Gothic"/>
          <w:b w:val="0"/>
          <w:bCs w:val="0"/>
        </w:rPr>
      </w:pPr>
      <w:r w:rsidRPr="00E078BB">
        <w:rPr>
          <w:rFonts w:ascii="Century Gothic" w:hAnsi="Century Gothic"/>
          <w:bCs w:val="0"/>
        </w:rPr>
        <w:t xml:space="preserve">Figure </w:t>
      </w:r>
      <w:r w:rsidR="00E83A6E">
        <w:rPr>
          <w:rFonts w:ascii="Century Gothic" w:hAnsi="Century Gothic"/>
          <w:bCs w:val="0"/>
        </w:rPr>
        <w:t>4</w:t>
      </w:r>
      <w:r w:rsidRPr="00E078BB">
        <w:rPr>
          <w:rFonts w:ascii="Century Gothic" w:hAnsi="Century Gothic"/>
          <w:bCs w:val="0"/>
        </w:rPr>
        <w:t xml:space="preserve">: </w:t>
      </w:r>
      <w:r w:rsidRPr="00E078BB">
        <w:rPr>
          <w:rFonts w:ascii="Century Gothic" w:hAnsi="Century Gothic"/>
          <w:b w:val="0"/>
          <w:bCs w:val="0"/>
        </w:rPr>
        <w:t>The annual management process for C</w:t>
      </w:r>
      <w:r w:rsidR="00E078BB">
        <w:rPr>
          <w:rFonts w:ascii="Century Gothic" w:hAnsi="Century Gothic"/>
          <w:b w:val="0"/>
          <w:bCs w:val="0"/>
        </w:rPr>
        <w:t>ommonwealth environmental water</w:t>
      </w:r>
    </w:p>
    <w:p w:rsidR="008450E5" w:rsidRDefault="0079257F" w:rsidP="0079257F">
      <w:pPr>
        <w:pStyle w:val="Para0"/>
        <w:spacing w:after="240" w:line="240" w:lineRule="auto"/>
        <w:jc w:val="left"/>
        <w:rPr>
          <w:rFonts w:ascii="Century Gothic" w:hAnsi="Century Gothic" w:cs="Arial"/>
          <w:color w:val="auto"/>
        </w:rPr>
      </w:pPr>
      <w:r w:rsidRPr="00971C54">
        <w:rPr>
          <w:rFonts w:ascii="Century Gothic" w:hAnsi="Century Gothic"/>
          <w:color w:val="auto"/>
        </w:rPr>
        <w:t xml:space="preserve">For further information see the </w:t>
      </w:r>
      <w:r w:rsidRPr="00971C54">
        <w:rPr>
          <w:rFonts w:ascii="Century Gothic" w:hAnsi="Century Gothic"/>
          <w:i/>
          <w:color w:val="auto"/>
        </w:rPr>
        <w:t xml:space="preserve">Framework for Determining Commonwealth environmental water use </w:t>
      </w:r>
      <w:r w:rsidRPr="00971C54">
        <w:rPr>
          <w:rFonts w:ascii="Century Gothic" w:hAnsi="Century Gothic"/>
          <w:color w:val="auto"/>
        </w:rPr>
        <w:t>(</w:t>
      </w:r>
      <w:r w:rsidRPr="00971C54">
        <w:rPr>
          <w:rFonts w:ascii="Century Gothic" w:hAnsi="Century Gothic" w:cs="Arial"/>
          <w:color w:val="auto"/>
        </w:rPr>
        <w:t xml:space="preserve">available at: </w:t>
      </w:r>
      <w:hyperlink r:id="rId27" w:history="1">
        <w:r w:rsidR="008450E5" w:rsidRPr="002B6397">
          <w:rPr>
            <w:rStyle w:val="Hyperlink"/>
            <w:rFonts w:ascii="Century Gothic" w:hAnsi="Century Gothic" w:cs="Arial"/>
          </w:rPr>
          <w:t>www.environment.gov.au/water/cewo/publications/framework-determining-cew-use</w:t>
        </w:r>
      </w:hyperlink>
      <w:r w:rsidR="008450E5">
        <w:rPr>
          <w:rFonts w:ascii="Century Gothic" w:hAnsi="Century Gothic" w:cs="Arial"/>
          <w:color w:val="auto"/>
        </w:rPr>
        <w:t>).</w:t>
      </w:r>
    </w:p>
    <w:p w:rsidR="008F7615" w:rsidRDefault="008F7615">
      <w:pPr>
        <w:spacing w:after="0"/>
        <w:jc w:val="left"/>
        <w:rPr>
          <w:rFonts w:ascii="Century Gothic" w:hAnsi="Century Gothic" w:cs="Arial"/>
          <w:b/>
          <w:color w:val="000000"/>
        </w:rPr>
      </w:pPr>
      <w:r>
        <w:rPr>
          <w:rFonts w:ascii="Century Gothic" w:hAnsi="Century Gothic"/>
          <w:color w:val="000000"/>
        </w:rPr>
        <w:br w:type="page"/>
      </w:r>
    </w:p>
    <w:p w:rsidR="00EC5E9F" w:rsidRPr="006C2670" w:rsidRDefault="00EC5E9F" w:rsidP="00EC5E9F">
      <w:pPr>
        <w:pStyle w:val="Heading1"/>
        <w:numPr>
          <w:ilvl w:val="1"/>
          <w:numId w:val="19"/>
        </w:numPr>
        <w:spacing w:after="160"/>
        <w:ind w:left="432"/>
        <w:jc w:val="left"/>
        <w:rPr>
          <w:rFonts w:cs="Times New Roman"/>
          <w:caps w:val="0"/>
          <w:color w:val="5F497A" w:themeColor="accent4" w:themeShade="BF"/>
          <w:sz w:val="40"/>
          <w:szCs w:val="40"/>
          <w:lang w:val="en-GB" w:eastAsia="en-US"/>
        </w:rPr>
      </w:pPr>
      <w:bookmarkStart w:id="67" w:name="_Toc422389629"/>
      <w:bookmarkStart w:id="68" w:name="_Toc418060473"/>
      <w:r w:rsidRPr="006C2670">
        <w:rPr>
          <w:rFonts w:cs="Times New Roman"/>
          <w:caps w:val="0"/>
          <w:color w:val="5F497A" w:themeColor="accent4" w:themeShade="BF"/>
          <w:sz w:val="40"/>
          <w:szCs w:val="40"/>
          <w:lang w:val="en-GB" w:eastAsia="en-US"/>
        </w:rPr>
        <w:lastRenderedPageBreak/>
        <w:t>Carryover decision</w:t>
      </w:r>
      <w:r>
        <w:rPr>
          <w:rFonts w:cs="Times New Roman"/>
          <w:caps w:val="0"/>
          <w:color w:val="5F497A" w:themeColor="accent4" w:themeShade="BF"/>
          <w:sz w:val="40"/>
          <w:szCs w:val="40"/>
          <w:lang w:val="en-GB" w:eastAsia="en-US"/>
        </w:rPr>
        <w:t>-</w:t>
      </w:r>
      <w:r w:rsidRPr="006C2670">
        <w:rPr>
          <w:rFonts w:cs="Times New Roman"/>
          <w:caps w:val="0"/>
          <w:color w:val="5F497A" w:themeColor="accent4" w:themeShade="BF"/>
          <w:sz w:val="40"/>
          <w:szCs w:val="40"/>
          <w:lang w:val="en-GB" w:eastAsia="en-US"/>
        </w:rPr>
        <w:t>making</w:t>
      </w:r>
      <w:bookmarkEnd w:id="67"/>
    </w:p>
    <w:p w:rsidR="00EC5E9F" w:rsidRDefault="00EC5E9F" w:rsidP="00EC5E9F">
      <w:pPr>
        <w:pStyle w:val="ListBullet"/>
        <w:numPr>
          <w:ilvl w:val="0"/>
          <w:numId w:val="0"/>
        </w:numPr>
        <w:spacing w:after="160"/>
        <w:jc w:val="left"/>
        <w:rPr>
          <w:rFonts w:ascii="Century Gothic" w:hAnsi="Century Gothic"/>
        </w:rPr>
      </w:pPr>
      <w:r w:rsidRPr="00943A6E">
        <w:rPr>
          <w:rFonts w:ascii="Century Gothic" w:hAnsi="Century Gothic"/>
        </w:rPr>
        <w:t>Carryover rules are set by States and vary markedly for different entitlements and in different water plan areas across the Basin. The carryover limits, account limits and use limits apply to all entitlement holders including the Commonwealth.</w:t>
      </w:r>
      <w:r>
        <w:rPr>
          <w:rFonts w:ascii="Century Gothic" w:hAnsi="Century Gothic"/>
        </w:rPr>
        <w:t xml:space="preserve"> When making carryover decisions, c</w:t>
      </w:r>
      <w:r w:rsidRPr="00F028C6">
        <w:rPr>
          <w:rFonts w:ascii="Century Gothic" w:hAnsi="Century Gothic"/>
        </w:rPr>
        <w:t>onsiderations include:</w:t>
      </w:r>
    </w:p>
    <w:p w:rsidR="00EC5E9F" w:rsidRDefault="00EC5E9F" w:rsidP="00EC5E9F">
      <w:pPr>
        <w:pStyle w:val="ListBullet"/>
        <w:numPr>
          <w:ilvl w:val="0"/>
          <w:numId w:val="17"/>
        </w:numPr>
        <w:spacing w:after="160"/>
        <w:ind w:left="425" w:hanging="425"/>
        <w:jc w:val="left"/>
        <w:rPr>
          <w:rFonts w:ascii="Century Gothic" w:hAnsi="Century Gothic"/>
        </w:rPr>
      </w:pPr>
      <w:r w:rsidRPr="00F028C6">
        <w:rPr>
          <w:rFonts w:ascii="Century Gothic" w:hAnsi="Century Gothic"/>
        </w:rPr>
        <w:t>minimis</w:t>
      </w:r>
      <w:r>
        <w:rPr>
          <w:rFonts w:ascii="Century Gothic" w:hAnsi="Century Gothic"/>
        </w:rPr>
        <w:t>ing</w:t>
      </w:r>
      <w:r w:rsidRPr="00F028C6">
        <w:rPr>
          <w:rFonts w:ascii="Century Gothic" w:hAnsi="Century Gothic"/>
        </w:rPr>
        <w:t xml:space="preserve"> the risk of water being reallocated under State rules by carrying over water in accounts with better carryover provisions</w:t>
      </w:r>
    </w:p>
    <w:p w:rsidR="00EC5E9F" w:rsidRDefault="00EC5E9F" w:rsidP="00EC5E9F">
      <w:pPr>
        <w:pStyle w:val="ListBullet"/>
        <w:numPr>
          <w:ilvl w:val="0"/>
          <w:numId w:val="17"/>
        </w:numPr>
        <w:spacing w:after="160"/>
        <w:ind w:left="425" w:hanging="425"/>
        <w:jc w:val="left"/>
        <w:rPr>
          <w:rFonts w:ascii="Century Gothic" w:hAnsi="Century Gothic"/>
        </w:rPr>
      </w:pPr>
      <w:r>
        <w:rPr>
          <w:rFonts w:ascii="Century Gothic" w:hAnsi="Century Gothic"/>
        </w:rPr>
        <w:t>having</w:t>
      </w:r>
      <w:r w:rsidRPr="00F028C6">
        <w:rPr>
          <w:rFonts w:ascii="Century Gothic" w:hAnsi="Century Gothic"/>
        </w:rPr>
        <w:t xml:space="preserve"> sufficient water in accounts for environmental watering actions that occur early in a water year</w:t>
      </w:r>
    </w:p>
    <w:p w:rsidR="00EC5E9F" w:rsidRDefault="00EC5E9F" w:rsidP="00EC5E9F">
      <w:pPr>
        <w:pStyle w:val="ListBullet"/>
        <w:numPr>
          <w:ilvl w:val="0"/>
          <w:numId w:val="17"/>
        </w:numPr>
        <w:spacing w:after="160"/>
        <w:ind w:left="425" w:hanging="425"/>
        <w:jc w:val="left"/>
        <w:rPr>
          <w:rFonts w:ascii="Century Gothic" w:hAnsi="Century Gothic"/>
        </w:rPr>
      </w:pPr>
      <w:r w:rsidRPr="00F028C6">
        <w:rPr>
          <w:rFonts w:ascii="Century Gothic" w:hAnsi="Century Gothic"/>
        </w:rPr>
        <w:t>consider</w:t>
      </w:r>
      <w:r>
        <w:rPr>
          <w:rFonts w:ascii="Century Gothic" w:hAnsi="Century Gothic"/>
        </w:rPr>
        <w:t>ing</w:t>
      </w:r>
      <w:r w:rsidRPr="00F028C6">
        <w:rPr>
          <w:rFonts w:ascii="Century Gothic" w:hAnsi="Century Gothic"/>
        </w:rPr>
        <w:t xml:space="preserve"> the cost-effectiveness with regard to the cost of water delivery and transfer fees against the potential market cost of water being reallocated under State rules</w:t>
      </w:r>
    </w:p>
    <w:p w:rsidR="00EC5E9F" w:rsidRPr="00EC5E9F" w:rsidRDefault="00EC5E9F" w:rsidP="00EC5E9F">
      <w:pPr>
        <w:pStyle w:val="ListBullet"/>
        <w:numPr>
          <w:ilvl w:val="0"/>
          <w:numId w:val="17"/>
        </w:numPr>
        <w:spacing w:after="160"/>
        <w:ind w:left="425" w:hanging="425"/>
        <w:jc w:val="left"/>
        <w:rPr>
          <w:rFonts w:ascii="Century Gothic" w:hAnsi="Century Gothic"/>
        </w:rPr>
      </w:pPr>
      <w:proofErr w:type="gramStart"/>
      <w:r w:rsidRPr="00994672">
        <w:rPr>
          <w:rFonts w:ascii="Century Gothic" w:hAnsi="Century Gothic"/>
        </w:rPr>
        <w:t>considering</w:t>
      </w:r>
      <w:proofErr w:type="gramEnd"/>
      <w:r w:rsidRPr="00994672">
        <w:rPr>
          <w:rFonts w:ascii="Century Gothic" w:hAnsi="Century Gothic"/>
        </w:rPr>
        <w:t xml:space="preserve"> the risk of carryover of water in accounts that may be subject to trade restrictions through the following water year.</w:t>
      </w:r>
    </w:p>
    <w:p w:rsidR="00E47462" w:rsidRPr="006C2670" w:rsidRDefault="00E47462" w:rsidP="006C2670">
      <w:pPr>
        <w:pStyle w:val="Heading1"/>
        <w:numPr>
          <w:ilvl w:val="1"/>
          <w:numId w:val="19"/>
        </w:numPr>
        <w:spacing w:before="240" w:after="240"/>
        <w:ind w:left="432"/>
        <w:jc w:val="left"/>
        <w:rPr>
          <w:rFonts w:cs="Times New Roman"/>
          <w:caps w:val="0"/>
          <w:color w:val="5F497A" w:themeColor="accent4" w:themeShade="BF"/>
          <w:sz w:val="40"/>
          <w:szCs w:val="40"/>
          <w:lang w:val="en-GB" w:eastAsia="en-US"/>
        </w:rPr>
      </w:pPr>
      <w:bookmarkStart w:id="69" w:name="_Toc422389630"/>
      <w:r w:rsidRPr="006C2670">
        <w:rPr>
          <w:rFonts w:cs="Times New Roman"/>
          <w:caps w:val="0"/>
          <w:color w:val="5F497A" w:themeColor="accent4" w:themeShade="BF"/>
          <w:sz w:val="40"/>
          <w:szCs w:val="40"/>
          <w:lang w:val="en-GB" w:eastAsia="en-US"/>
        </w:rPr>
        <w:t>Trade of environmental water allocations</w:t>
      </w:r>
      <w:bookmarkEnd w:id="68"/>
      <w:bookmarkEnd w:id="69"/>
    </w:p>
    <w:p w:rsidR="00EC5E9F" w:rsidRDefault="004A0A0D" w:rsidP="00EC5E9F">
      <w:pPr>
        <w:tabs>
          <w:tab w:val="left" w:pos="1134"/>
        </w:tabs>
        <w:spacing w:after="160"/>
        <w:jc w:val="left"/>
        <w:rPr>
          <w:rFonts w:ascii="Century Gothic" w:hAnsi="Century Gothic"/>
        </w:rPr>
      </w:pPr>
      <w:r>
        <w:rPr>
          <w:rFonts w:ascii="Century Gothic" w:hAnsi="Century Gothic"/>
        </w:rPr>
        <w:t>Decisions</w:t>
      </w:r>
      <w:r w:rsidR="00653339">
        <w:rPr>
          <w:rFonts w:ascii="Century Gothic" w:hAnsi="Century Gothic"/>
        </w:rPr>
        <w:t xml:space="preserve"> to </w:t>
      </w:r>
      <w:r>
        <w:rPr>
          <w:rFonts w:ascii="Century Gothic" w:hAnsi="Century Gothic"/>
        </w:rPr>
        <w:t>trade</w:t>
      </w:r>
      <w:r w:rsidR="00653339">
        <w:rPr>
          <w:rFonts w:ascii="Century Gothic" w:hAnsi="Century Gothic"/>
        </w:rPr>
        <w:t xml:space="preserve"> water allocation</w:t>
      </w:r>
      <w:r>
        <w:rPr>
          <w:rFonts w:ascii="Century Gothic" w:hAnsi="Century Gothic"/>
        </w:rPr>
        <w:t>s</w:t>
      </w:r>
      <w:r w:rsidR="00653339">
        <w:rPr>
          <w:rFonts w:ascii="Century Gothic" w:hAnsi="Century Gothic"/>
        </w:rPr>
        <w:t xml:space="preserve"> </w:t>
      </w:r>
      <w:r>
        <w:rPr>
          <w:rFonts w:ascii="Century Gothic" w:hAnsi="Century Gothic"/>
        </w:rPr>
        <w:t>are</w:t>
      </w:r>
      <w:r w:rsidR="00653339">
        <w:rPr>
          <w:rFonts w:ascii="Century Gothic" w:hAnsi="Century Gothic"/>
        </w:rPr>
        <w:t xml:space="preserve"> made</w:t>
      </w:r>
      <w:r>
        <w:rPr>
          <w:rFonts w:ascii="Century Gothic" w:hAnsi="Century Gothic"/>
        </w:rPr>
        <w:t xml:space="preserve"> by the CEWH with the intention of enhancing the capacity of the water holdings to meet environmental objectives, as required under the </w:t>
      </w:r>
      <w:r w:rsidR="007D76E4">
        <w:rPr>
          <w:rFonts w:ascii="Century Gothic" w:hAnsi="Century Gothic"/>
        </w:rPr>
        <w:t xml:space="preserve">s.106 of the </w:t>
      </w:r>
      <w:r>
        <w:rPr>
          <w:rFonts w:ascii="Century Gothic" w:hAnsi="Century Gothic"/>
        </w:rPr>
        <w:t xml:space="preserve">Water Act. </w:t>
      </w:r>
      <w:r w:rsidR="00773D47">
        <w:rPr>
          <w:rFonts w:ascii="Century Gothic" w:hAnsi="Century Gothic"/>
        </w:rPr>
        <w:t xml:space="preserve">The decision to </w:t>
      </w:r>
      <w:r w:rsidR="00BD521F" w:rsidRPr="00FE2960">
        <w:rPr>
          <w:rFonts w:ascii="Century Gothic" w:hAnsi="Century Gothic"/>
        </w:rPr>
        <w:t>trade</w:t>
      </w:r>
      <w:r w:rsidR="00773D47">
        <w:rPr>
          <w:rFonts w:ascii="Century Gothic" w:hAnsi="Century Gothic"/>
        </w:rPr>
        <w:t xml:space="preserve"> water will be made after considering: the current and forecast volume of water available in Commonwealth accounts; the balance of available environmental water (supply) to meet identified environmental demands; and (where appropriate) the prudent level of carryover.</w:t>
      </w:r>
      <w:r w:rsidR="00A1513F">
        <w:rPr>
          <w:rFonts w:ascii="Century Gothic" w:hAnsi="Century Gothic"/>
        </w:rPr>
        <w:t xml:space="preserve"> </w:t>
      </w:r>
      <w:r w:rsidR="0080132D">
        <w:rPr>
          <w:rFonts w:ascii="Century Gothic" w:hAnsi="Century Gothic"/>
        </w:rPr>
        <w:t xml:space="preserve">Decisions to trade also </w:t>
      </w:r>
      <w:r w:rsidR="00A5429A">
        <w:rPr>
          <w:rFonts w:ascii="Century Gothic" w:hAnsi="Century Gothic"/>
        </w:rPr>
        <w:t>includes undertaking a market assessment</w:t>
      </w:r>
      <w:r w:rsidR="00EC5E9F">
        <w:rPr>
          <w:rFonts w:ascii="Century Gothic" w:hAnsi="Century Gothic"/>
        </w:rPr>
        <w:t>,</w:t>
      </w:r>
      <w:r w:rsidR="00A5429A">
        <w:rPr>
          <w:rFonts w:ascii="Century Gothic" w:hAnsi="Century Gothic"/>
        </w:rPr>
        <w:t xml:space="preserve"> which informs the mechanisms available to trade water</w:t>
      </w:r>
      <w:r>
        <w:rPr>
          <w:rFonts w:ascii="Century Gothic" w:hAnsi="Century Gothic"/>
        </w:rPr>
        <w:t xml:space="preserve">, the volume of water to be </w:t>
      </w:r>
      <w:r w:rsidR="007D76E4">
        <w:rPr>
          <w:rFonts w:ascii="Century Gothic" w:hAnsi="Century Gothic"/>
        </w:rPr>
        <w:t xml:space="preserve">pursued or </w:t>
      </w:r>
      <w:r>
        <w:rPr>
          <w:rFonts w:ascii="Century Gothic" w:hAnsi="Century Gothic"/>
        </w:rPr>
        <w:t>made available</w:t>
      </w:r>
      <w:r w:rsidR="007D76E4">
        <w:rPr>
          <w:rFonts w:ascii="Century Gothic" w:hAnsi="Century Gothic"/>
        </w:rPr>
        <w:t xml:space="preserve"> from the holdings,</w:t>
      </w:r>
      <w:r w:rsidR="00A5429A">
        <w:rPr>
          <w:rFonts w:ascii="Century Gothic" w:hAnsi="Century Gothic"/>
        </w:rPr>
        <w:t xml:space="preserve"> </w:t>
      </w:r>
      <w:r>
        <w:rPr>
          <w:rFonts w:ascii="Century Gothic" w:hAnsi="Century Gothic"/>
        </w:rPr>
        <w:t xml:space="preserve">the </w:t>
      </w:r>
      <w:r w:rsidR="00A5429A">
        <w:rPr>
          <w:rFonts w:ascii="Century Gothic" w:hAnsi="Century Gothic"/>
        </w:rPr>
        <w:t xml:space="preserve">price </w:t>
      </w:r>
      <w:r>
        <w:rPr>
          <w:rFonts w:ascii="Century Gothic" w:hAnsi="Century Gothic"/>
        </w:rPr>
        <w:t>at which the CEWH is willing to enter the market</w:t>
      </w:r>
      <w:r w:rsidR="0080132D">
        <w:rPr>
          <w:rFonts w:ascii="Century Gothic" w:hAnsi="Century Gothic"/>
        </w:rPr>
        <w:t xml:space="preserve"> and (in the case of purchases) the available budget</w:t>
      </w:r>
      <w:r w:rsidR="00A5429A">
        <w:rPr>
          <w:rFonts w:ascii="Century Gothic" w:hAnsi="Century Gothic"/>
        </w:rPr>
        <w:t>.</w:t>
      </w:r>
      <w:r w:rsidR="005837F4">
        <w:rPr>
          <w:rFonts w:ascii="Century Gothic" w:hAnsi="Century Gothic"/>
        </w:rPr>
        <w:t xml:space="preserve"> </w:t>
      </w:r>
    </w:p>
    <w:p w:rsidR="00EC5E9F" w:rsidRDefault="00953B4A" w:rsidP="00EC5E9F">
      <w:pPr>
        <w:tabs>
          <w:tab w:val="left" w:pos="1134"/>
        </w:tabs>
        <w:spacing w:after="160"/>
        <w:jc w:val="left"/>
        <w:rPr>
          <w:rFonts w:ascii="Century Gothic" w:hAnsi="Century Gothic"/>
        </w:rPr>
      </w:pPr>
      <w:r>
        <w:rPr>
          <w:rFonts w:ascii="Century Gothic" w:hAnsi="Century Gothic"/>
        </w:rPr>
        <w:t xml:space="preserve">The process for conducting a trading action is shown in Figure </w:t>
      </w:r>
      <w:r w:rsidR="00E83A6E">
        <w:rPr>
          <w:rFonts w:ascii="Century Gothic" w:hAnsi="Century Gothic"/>
        </w:rPr>
        <w:t>5</w:t>
      </w:r>
      <w:r>
        <w:rPr>
          <w:rFonts w:ascii="Century Gothic" w:hAnsi="Century Gothic"/>
        </w:rPr>
        <w:t xml:space="preserve">. </w:t>
      </w:r>
    </w:p>
    <w:p w:rsidR="00EC5E9F" w:rsidRPr="00B43A53" w:rsidRDefault="00EC5E9F" w:rsidP="00EC5E9F">
      <w:pPr>
        <w:tabs>
          <w:tab w:val="left" w:pos="1134"/>
        </w:tabs>
        <w:spacing w:after="160"/>
        <w:jc w:val="left"/>
        <w:rPr>
          <w:rFonts w:ascii="Century Gothic" w:hAnsi="Century Gothic"/>
        </w:rPr>
      </w:pPr>
      <w:r w:rsidRPr="00B43A53">
        <w:rPr>
          <w:rFonts w:ascii="Century Gothic" w:hAnsi="Century Gothic"/>
        </w:rPr>
        <w:t xml:space="preserve">The </w:t>
      </w:r>
      <w:r>
        <w:rPr>
          <w:rFonts w:ascii="Century Gothic" w:hAnsi="Century Gothic"/>
        </w:rPr>
        <w:t xml:space="preserve">process is underpinned by </w:t>
      </w:r>
      <w:r w:rsidRPr="00B43A53">
        <w:rPr>
          <w:rFonts w:ascii="Century Gothic" w:hAnsi="Century Gothic"/>
        </w:rPr>
        <w:t xml:space="preserve">a trading framework that includes operating rules, </w:t>
      </w:r>
      <w:r w:rsidRPr="00B43A53">
        <w:rPr>
          <w:rFonts w:ascii="Century Gothic" w:hAnsi="Century Gothic" w:cs="Century Gothic"/>
        </w:rPr>
        <w:t>protocols</w:t>
      </w:r>
      <w:r>
        <w:rPr>
          <w:rFonts w:ascii="Century Gothic" w:hAnsi="Century Gothic" w:cs="Century Gothic"/>
        </w:rPr>
        <w:t xml:space="preserve"> and procedures</w:t>
      </w:r>
      <w:r w:rsidRPr="00B43A53">
        <w:rPr>
          <w:rFonts w:ascii="Century Gothic" w:hAnsi="Century Gothic" w:cs="Century Gothic"/>
        </w:rPr>
        <w:t>. The trading framework has been developed to ensure that the CEWH’s trading activities:</w:t>
      </w:r>
    </w:p>
    <w:p w:rsidR="00EC5E9F" w:rsidRDefault="00EC5E9F" w:rsidP="00EC5E9F">
      <w:pPr>
        <w:pStyle w:val="ListBullet"/>
        <w:numPr>
          <w:ilvl w:val="0"/>
          <w:numId w:val="17"/>
        </w:numPr>
        <w:spacing w:after="160"/>
        <w:ind w:left="425" w:hanging="425"/>
        <w:rPr>
          <w:rFonts w:ascii="Century Gothic" w:hAnsi="Century Gothic"/>
        </w:rPr>
      </w:pPr>
      <w:r w:rsidRPr="00B43A53">
        <w:rPr>
          <w:rFonts w:ascii="Century Gothic" w:hAnsi="Century Gothic"/>
        </w:rPr>
        <w:t>support enhanced environmental outcomes</w:t>
      </w:r>
    </w:p>
    <w:p w:rsidR="00EC5E9F" w:rsidRDefault="00EC5E9F" w:rsidP="00EC5E9F">
      <w:pPr>
        <w:pStyle w:val="ListBullet"/>
        <w:numPr>
          <w:ilvl w:val="0"/>
          <w:numId w:val="17"/>
        </w:numPr>
        <w:spacing w:after="160"/>
        <w:ind w:left="425" w:hanging="425"/>
        <w:rPr>
          <w:rFonts w:ascii="Century Gothic" w:hAnsi="Century Gothic"/>
        </w:rPr>
      </w:pPr>
      <w:r w:rsidRPr="00B43A53">
        <w:rPr>
          <w:rFonts w:ascii="Century Gothic" w:hAnsi="Century Gothic"/>
        </w:rPr>
        <w:t>have regard to social and economic outcomes</w:t>
      </w:r>
    </w:p>
    <w:p w:rsidR="00EC5E9F" w:rsidRDefault="00EC5E9F" w:rsidP="00EC5E9F">
      <w:pPr>
        <w:pStyle w:val="ListBullet"/>
        <w:numPr>
          <w:ilvl w:val="0"/>
          <w:numId w:val="17"/>
        </w:numPr>
        <w:spacing w:after="160"/>
        <w:ind w:left="425" w:hanging="425"/>
        <w:rPr>
          <w:rFonts w:ascii="Century Gothic" w:hAnsi="Century Gothic"/>
        </w:rPr>
      </w:pPr>
      <w:r w:rsidRPr="00B43A53">
        <w:rPr>
          <w:rFonts w:ascii="Century Gothic" w:hAnsi="Century Gothic"/>
        </w:rPr>
        <w:t>consider impacts on the market, including any third-party impacts</w:t>
      </w:r>
    </w:p>
    <w:p w:rsidR="00EC5E9F" w:rsidRDefault="00EC5E9F" w:rsidP="00EC5E9F">
      <w:pPr>
        <w:pStyle w:val="ListBullet"/>
        <w:numPr>
          <w:ilvl w:val="0"/>
          <w:numId w:val="17"/>
        </w:numPr>
        <w:spacing w:after="160"/>
        <w:ind w:left="425" w:hanging="425"/>
        <w:rPr>
          <w:rFonts w:ascii="Century Gothic" w:hAnsi="Century Gothic"/>
        </w:rPr>
      </w:pPr>
      <w:r w:rsidRPr="00B43A53">
        <w:rPr>
          <w:rFonts w:ascii="Century Gothic" w:hAnsi="Century Gothic"/>
        </w:rPr>
        <w:t>are undertaken in a manner which meets legislative requirements</w:t>
      </w:r>
    </w:p>
    <w:p w:rsidR="00EC5E9F" w:rsidRDefault="00EC5E9F" w:rsidP="00EC5E9F">
      <w:pPr>
        <w:pStyle w:val="ListBullet"/>
        <w:numPr>
          <w:ilvl w:val="0"/>
          <w:numId w:val="17"/>
        </w:numPr>
        <w:spacing w:after="160"/>
        <w:ind w:left="425" w:hanging="425"/>
        <w:rPr>
          <w:rFonts w:ascii="Century Gothic" w:hAnsi="Century Gothic"/>
        </w:rPr>
      </w:pPr>
      <w:proofErr w:type="gramStart"/>
      <w:r w:rsidRPr="00B43A53">
        <w:rPr>
          <w:rFonts w:ascii="Century Gothic" w:hAnsi="Century Gothic"/>
        </w:rPr>
        <w:t>are</w:t>
      </w:r>
      <w:proofErr w:type="gramEnd"/>
      <w:r w:rsidRPr="00B43A53">
        <w:rPr>
          <w:rFonts w:ascii="Century Gothic" w:hAnsi="Century Gothic"/>
        </w:rPr>
        <w:t xml:space="preserve"> financially responsible, fair, equitable, transparent and accountable</w:t>
      </w:r>
      <w:r>
        <w:rPr>
          <w:rFonts w:ascii="Century Gothic" w:hAnsi="Century Gothic"/>
        </w:rPr>
        <w:t>.</w:t>
      </w:r>
    </w:p>
    <w:p w:rsidR="00EC5E9F" w:rsidRDefault="00EC5E9F" w:rsidP="00EC5E9F">
      <w:pPr>
        <w:pStyle w:val="ListBullet"/>
        <w:numPr>
          <w:ilvl w:val="0"/>
          <w:numId w:val="0"/>
        </w:numPr>
        <w:spacing w:after="160"/>
        <w:jc w:val="left"/>
        <w:rPr>
          <w:rFonts w:ascii="Century Gothic" w:hAnsi="Century Gothic"/>
        </w:rPr>
      </w:pPr>
      <w:r>
        <w:rPr>
          <w:rFonts w:ascii="Century Gothic" w:hAnsi="Century Gothic"/>
        </w:rPr>
        <w:t xml:space="preserve">The trading framework, operating rules, protocols and procedures also ensure that </w:t>
      </w:r>
      <w:r w:rsidRPr="00B43A53">
        <w:rPr>
          <w:rFonts w:ascii="Century Gothic" w:hAnsi="Century Gothic"/>
        </w:rPr>
        <w:t>the C</w:t>
      </w:r>
      <w:r>
        <w:rPr>
          <w:rFonts w:ascii="Century Gothic" w:hAnsi="Century Gothic"/>
        </w:rPr>
        <w:t>ommonwealth Environmental Water Holder</w:t>
      </w:r>
      <w:r w:rsidRPr="00B43A53">
        <w:rPr>
          <w:rFonts w:ascii="Century Gothic" w:hAnsi="Century Gothic"/>
        </w:rPr>
        <w:t xml:space="preserve"> and </w:t>
      </w:r>
      <w:r>
        <w:rPr>
          <w:rFonts w:ascii="Century Gothic" w:hAnsi="Century Gothic"/>
        </w:rPr>
        <w:t>the Office’s</w:t>
      </w:r>
      <w:r w:rsidRPr="00B43A53">
        <w:rPr>
          <w:rFonts w:ascii="Century Gothic" w:hAnsi="Century Gothic"/>
        </w:rPr>
        <w:t xml:space="preserve"> staff act with integrity and high ethical standards</w:t>
      </w:r>
      <w:r>
        <w:rPr>
          <w:rFonts w:ascii="Century Gothic" w:hAnsi="Century Gothic"/>
        </w:rPr>
        <w:t xml:space="preserve"> throughout the process. More information on the </w:t>
      </w:r>
      <w:r w:rsidRPr="00BE31EB">
        <w:rPr>
          <w:rFonts w:ascii="Century Gothic" w:hAnsi="Century Gothic" w:cs="Arial"/>
          <w:i/>
        </w:rPr>
        <w:t xml:space="preserve">Commonwealth Environmental Water Trading Framework </w:t>
      </w:r>
      <w:r>
        <w:rPr>
          <w:rFonts w:ascii="Century Gothic" w:hAnsi="Century Gothic" w:cs="Arial"/>
        </w:rPr>
        <w:t xml:space="preserve">can be accessed here: </w:t>
      </w:r>
      <w:hyperlink r:id="rId28" w:history="1">
        <w:r w:rsidR="008450E5" w:rsidRPr="002B6397">
          <w:rPr>
            <w:rStyle w:val="Hyperlink"/>
            <w:rFonts w:ascii="Century Gothic" w:hAnsi="Century Gothic" w:cs="Arial"/>
          </w:rPr>
          <w:t>http://www.environment.gov.au/water/cewo/trade/trading-framework</w:t>
        </w:r>
      </w:hyperlink>
      <w:r>
        <w:rPr>
          <w:rFonts w:ascii="Century Gothic" w:hAnsi="Century Gothic" w:cs="Arial"/>
        </w:rPr>
        <w:t xml:space="preserve"> </w:t>
      </w:r>
    </w:p>
    <w:p w:rsidR="00EC5E9F" w:rsidRDefault="00EC5E9F" w:rsidP="00EC5E9F">
      <w:pPr>
        <w:pStyle w:val="ListNumber"/>
        <w:numPr>
          <w:ilvl w:val="0"/>
          <w:numId w:val="0"/>
        </w:numPr>
        <w:spacing w:after="160"/>
        <w:jc w:val="left"/>
        <w:rPr>
          <w:rFonts w:ascii="Century Gothic" w:hAnsi="Century Gothic"/>
        </w:rPr>
      </w:pPr>
      <w:r>
        <w:rPr>
          <w:rFonts w:ascii="Century Gothic" w:hAnsi="Century Gothic"/>
        </w:rPr>
        <w:t xml:space="preserve">Consistent with the operating rules, the Office publishes information on current trading actions as well providing quarterly updates on </w:t>
      </w:r>
      <w:r w:rsidRPr="00B43A53">
        <w:rPr>
          <w:rFonts w:ascii="Century Gothic" w:hAnsi="Century Gothic"/>
        </w:rPr>
        <w:t>C</w:t>
      </w:r>
      <w:r>
        <w:rPr>
          <w:rFonts w:ascii="Century Gothic" w:hAnsi="Century Gothic"/>
        </w:rPr>
        <w:t xml:space="preserve">ommonwealth Environmental Water Holder trading intentions. </w:t>
      </w:r>
    </w:p>
    <w:p w:rsidR="00EC5E9F" w:rsidRDefault="00EC5E9F" w:rsidP="00EC5E9F">
      <w:pPr>
        <w:pStyle w:val="ListNumber"/>
        <w:numPr>
          <w:ilvl w:val="0"/>
          <w:numId w:val="0"/>
        </w:numPr>
        <w:spacing w:after="160"/>
        <w:jc w:val="left"/>
        <w:rPr>
          <w:rFonts w:ascii="Century Gothic" w:hAnsi="Century Gothic"/>
        </w:rPr>
      </w:pPr>
      <w:r>
        <w:rPr>
          <w:rFonts w:ascii="Century Gothic" w:hAnsi="Century Gothic"/>
        </w:rPr>
        <w:t xml:space="preserve">Information on current trading actions is available at: </w:t>
      </w:r>
      <w:hyperlink r:id="rId29" w:history="1">
        <w:r w:rsidR="008450E5" w:rsidRPr="002B6397">
          <w:rPr>
            <w:rStyle w:val="Hyperlink"/>
            <w:rFonts w:ascii="Century Gothic" w:hAnsi="Century Gothic"/>
          </w:rPr>
          <w:t>http://www.environment.gov.au/water/cewo/trade/current-trading-actions</w:t>
        </w:r>
      </w:hyperlink>
      <w:r>
        <w:rPr>
          <w:rFonts w:ascii="Century Gothic" w:hAnsi="Century Gothic"/>
        </w:rPr>
        <w:t xml:space="preserve">. </w:t>
      </w:r>
    </w:p>
    <w:p w:rsidR="00281DEF" w:rsidRDefault="00EC5E9F" w:rsidP="00EC5E9F">
      <w:pPr>
        <w:pStyle w:val="ListNumber"/>
        <w:numPr>
          <w:ilvl w:val="0"/>
          <w:numId w:val="0"/>
        </w:numPr>
        <w:spacing w:after="160"/>
        <w:jc w:val="left"/>
        <w:rPr>
          <w:rFonts w:ascii="Century Gothic" w:hAnsi="Century Gothic"/>
        </w:rPr>
      </w:pPr>
      <w:r>
        <w:rPr>
          <w:rFonts w:ascii="Century Gothic" w:hAnsi="Century Gothic"/>
        </w:rPr>
        <w:t xml:space="preserve">Portfolio management and trading intentions updates are available at: </w:t>
      </w:r>
      <w:hyperlink r:id="rId30" w:history="1">
        <w:r w:rsidR="00281DEF" w:rsidRPr="002B6397">
          <w:rPr>
            <w:rStyle w:val="Hyperlink"/>
            <w:rFonts w:ascii="Century Gothic" w:hAnsi="Century Gothic"/>
          </w:rPr>
          <w:t>http://www.environment.gov.au/water/cewo/portfolio-mgt</w:t>
        </w:r>
      </w:hyperlink>
    </w:p>
    <w:p w:rsidR="00EC5E9F" w:rsidRDefault="00EC5E9F" w:rsidP="00EC5E9F">
      <w:pPr>
        <w:pStyle w:val="ListNumber"/>
        <w:numPr>
          <w:ilvl w:val="0"/>
          <w:numId w:val="0"/>
        </w:numPr>
        <w:spacing w:after="160"/>
        <w:jc w:val="left"/>
        <w:rPr>
          <w:rFonts w:ascii="Century Gothic" w:hAnsi="Century Gothic"/>
          <w:i/>
        </w:rPr>
      </w:pPr>
      <w:r>
        <w:rPr>
          <w:rFonts w:ascii="Century Gothic" w:hAnsi="Century Gothic"/>
        </w:rPr>
        <w:t xml:space="preserve"> </w:t>
      </w:r>
    </w:p>
    <w:p w:rsidR="00F74463" w:rsidRDefault="00F74463" w:rsidP="00EC5E9F">
      <w:pPr>
        <w:tabs>
          <w:tab w:val="left" w:pos="1134"/>
        </w:tabs>
        <w:spacing w:after="160"/>
        <w:jc w:val="left"/>
        <w:rPr>
          <w:rFonts w:ascii="Century Gothic" w:hAnsi="Century Gothic"/>
        </w:rPr>
      </w:pPr>
    </w:p>
    <w:p w:rsidR="009C6358" w:rsidRDefault="00771FDF" w:rsidP="009C6358">
      <w:pPr>
        <w:pStyle w:val="ListBullet"/>
        <w:numPr>
          <w:ilvl w:val="0"/>
          <w:numId w:val="0"/>
        </w:numPr>
        <w:jc w:val="center"/>
        <w:rPr>
          <w:rFonts w:ascii="Century Gothic" w:hAnsi="Century Gothic"/>
          <w:i/>
        </w:rPr>
      </w:pPr>
      <w:r>
        <w:rPr>
          <w:rFonts w:ascii="Century Gothic" w:hAnsi="Century Gothic"/>
          <w:i/>
          <w:noProof/>
        </w:rPr>
        <w:lastRenderedPageBreak/>
        <w:drawing>
          <wp:inline distT="0" distB="0" distL="0" distR="0">
            <wp:extent cx="4953000" cy="6060449"/>
            <wp:effectExtent l="19050" t="0" r="0" b="0"/>
            <wp:docPr id="1" name="Picture 24" descr="This flowchart represents the process for conducting a Commonwealth environmental water trading action.&#10;In the hierarchy of the process, the Trading framework consists of Commonwealth and State legislation, which informs any  Operating rules, as well as procedures and protocols. These elements flow down into the trading process.&#10;As part of the trading process, the first step is to identify a trading opportunity that will enhance capacity to support environmental objectives identified. Each CEWH trading decision must be consistent with the requirements of the Water Act 2007. A public announcement of trading intentions then occurs. &#10;Once this occurs, the Office must approach the market via a market mechanism tailored to suit particular circumstances of the trading action. If any offers are received from the market, an evaluation takes place. Following this, trade approval is received with settlement and registration of the trade occurring. A public announcement of the trading outcomes must then be made within 30 days of registering the trade.&#10;While the process for conducting a trading action is underway, there is a consistent monitoring and review of the arrangements taking place. This is to ensure and support the compliance with the Water Act, Environmental Watering Plan, Water Trading Rules and operating rules. There is also ongoing review with departmental risk management and audit requir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4956758" cy="6065047"/>
                    </a:xfrm>
                    <a:prstGeom prst="rect">
                      <a:avLst/>
                    </a:prstGeom>
                    <a:noFill/>
                    <a:ln w="9525">
                      <a:noFill/>
                      <a:miter lim="800000"/>
                      <a:headEnd/>
                      <a:tailEnd/>
                    </a:ln>
                  </pic:spPr>
                </pic:pic>
              </a:graphicData>
            </a:graphic>
          </wp:inline>
        </w:drawing>
      </w:r>
    </w:p>
    <w:p w:rsidR="009C6358" w:rsidRPr="00E078BB" w:rsidRDefault="00E83A6E" w:rsidP="009C6358">
      <w:pPr>
        <w:pStyle w:val="ListNumber"/>
        <w:numPr>
          <w:ilvl w:val="0"/>
          <w:numId w:val="0"/>
        </w:numPr>
        <w:spacing w:after="120"/>
        <w:rPr>
          <w:rFonts w:ascii="Century Gothic" w:hAnsi="Century Gothic"/>
          <w:b/>
        </w:rPr>
      </w:pPr>
      <w:r>
        <w:rPr>
          <w:rFonts w:ascii="Century Gothic" w:hAnsi="Century Gothic"/>
          <w:b/>
        </w:rPr>
        <w:t>Figure 5</w:t>
      </w:r>
      <w:r w:rsidR="00E078BB">
        <w:rPr>
          <w:rFonts w:ascii="Century Gothic" w:hAnsi="Century Gothic"/>
          <w:b/>
        </w:rPr>
        <w:t xml:space="preserve">: </w:t>
      </w:r>
      <w:r w:rsidR="00E078BB" w:rsidRPr="00E078BB">
        <w:rPr>
          <w:rFonts w:ascii="Century Gothic" w:hAnsi="Century Gothic"/>
        </w:rPr>
        <w:t>T</w:t>
      </w:r>
      <w:r w:rsidR="009C6358" w:rsidRPr="00E078BB">
        <w:rPr>
          <w:rFonts w:ascii="Century Gothic" w:hAnsi="Century Gothic"/>
        </w:rPr>
        <w:t xml:space="preserve">he </w:t>
      </w:r>
      <w:r w:rsidR="001F1BE6">
        <w:rPr>
          <w:rFonts w:ascii="Century Gothic" w:hAnsi="Century Gothic"/>
        </w:rPr>
        <w:t>process for conducting a Commonwealth environmental water trading action.</w:t>
      </w:r>
      <w:r w:rsidR="009C6358" w:rsidRPr="00E078BB">
        <w:rPr>
          <w:rFonts w:ascii="Century Gothic" w:hAnsi="Century Gothic"/>
          <w:b/>
        </w:rPr>
        <w:t xml:space="preserve"> </w:t>
      </w:r>
    </w:p>
    <w:p w:rsidR="00EC207E" w:rsidRDefault="00EC207E" w:rsidP="00A5429A">
      <w:pPr>
        <w:tabs>
          <w:tab w:val="left" w:pos="1134"/>
        </w:tabs>
        <w:spacing w:after="160"/>
        <w:jc w:val="left"/>
        <w:rPr>
          <w:rFonts w:ascii="Century Gothic" w:hAnsi="Century Gothic"/>
        </w:rPr>
      </w:pPr>
    </w:p>
    <w:p w:rsidR="00E47462" w:rsidRPr="006C2670" w:rsidRDefault="00F028C6" w:rsidP="00994672">
      <w:pPr>
        <w:pStyle w:val="Heading1"/>
        <w:numPr>
          <w:ilvl w:val="1"/>
          <w:numId w:val="19"/>
        </w:numPr>
        <w:spacing w:after="160"/>
        <w:ind w:left="432"/>
        <w:jc w:val="left"/>
        <w:rPr>
          <w:rFonts w:cs="Times New Roman"/>
          <w:caps w:val="0"/>
          <w:color w:val="5F497A" w:themeColor="accent4" w:themeShade="BF"/>
          <w:sz w:val="40"/>
          <w:szCs w:val="40"/>
          <w:lang w:val="en-GB" w:eastAsia="en-US"/>
        </w:rPr>
      </w:pPr>
      <w:bookmarkStart w:id="70" w:name="_Toc422389631"/>
      <w:r w:rsidRPr="006C2670">
        <w:rPr>
          <w:rFonts w:cs="Times New Roman"/>
          <w:caps w:val="0"/>
          <w:color w:val="5F497A" w:themeColor="accent4" w:themeShade="BF"/>
          <w:sz w:val="40"/>
          <w:szCs w:val="40"/>
          <w:lang w:val="en-GB" w:eastAsia="en-US"/>
        </w:rPr>
        <w:t xml:space="preserve">Independent Review of the </w:t>
      </w:r>
      <w:r w:rsidRPr="006C2670">
        <w:rPr>
          <w:rFonts w:cs="Times New Roman"/>
          <w:i/>
          <w:caps w:val="0"/>
          <w:color w:val="5F497A" w:themeColor="accent4" w:themeShade="BF"/>
          <w:sz w:val="40"/>
          <w:szCs w:val="40"/>
          <w:lang w:val="en-GB" w:eastAsia="en-US"/>
        </w:rPr>
        <w:t>Water Act 2007</w:t>
      </w:r>
      <w:bookmarkEnd w:id="70"/>
    </w:p>
    <w:p w:rsidR="008D1B2C" w:rsidRPr="008D1B2C" w:rsidRDefault="00F028C6" w:rsidP="00994672">
      <w:pPr>
        <w:pStyle w:val="ListBullet"/>
        <w:numPr>
          <w:ilvl w:val="0"/>
          <w:numId w:val="0"/>
        </w:numPr>
        <w:spacing w:after="160"/>
        <w:jc w:val="left"/>
        <w:rPr>
          <w:rFonts w:ascii="Century Gothic" w:hAnsi="Century Gothic"/>
        </w:rPr>
      </w:pPr>
      <w:r w:rsidRPr="008D1B2C">
        <w:rPr>
          <w:rFonts w:ascii="Century Gothic" w:hAnsi="Century Gothic"/>
        </w:rPr>
        <w:t xml:space="preserve">On 19 December 2014, the Australian Government tabled the Water Act Review. The independent expert panel made a number of findings and recommendations, all of which are designed to improve the operation of the Water Act and ensure that it delivers on its objects more effectively and efficiently. </w:t>
      </w:r>
    </w:p>
    <w:p w:rsidR="008D1B2C" w:rsidRPr="008D1B2C" w:rsidRDefault="008D1B2C" w:rsidP="00994672">
      <w:pPr>
        <w:pStyle w:val="ListBullet"/>
        <w:numPr>
          <w:ilvl w:val="0"/>
          <w:numId w:val="0"/>
        </w:numPr>
        <w:spacing w:after="160"/>
        <w:jc w:val="left"/>
        <w:rPr>
          <w:rFonts w:ascii="Century Gothic" w:hAnsi="Century Gothic"/>
        </w:rPr>
      </w:pPr>
      <w:r w:rsidRPr="008D1B2C">
        <w:rPr>
          <w:rFonts w:ascii="Century Gothic" w:hAnsi="Century Gothic"/>
        </w:rPr>
        <w:t xml:space="preserve">The Panel has recommended increasing the range of activities that can be funded from the sale of Commonwealth environmental water allocations to include environmental investments, such as carp exclusion screens in </w:t>
      </w:r>
      <w:proofErr w:type="gramStart"/>
      <w:r w:rsidRPr="008D1B2C">
        <w:rPr>
          <w:rFonts w:ascii="Century Gothic" w:hAnsi="Century Gothic"/>
        </w:rPr>
        <w:t>wetlands, that</w:t>
      </w:r>
      <w:proofErr w:type="gramEnd"/>
      <w:r w:rsidRPr="008D1B2C">
        <w:rPr>
          <w:rFonts w:ascii="Century Gothic" w:hAnsi="Century Gothic"/>
        </w:rPr>
        <w:t xml:space="preserve"> maximise environmental watering outcomes. It also recommended a technical amendment to ensure greater consistency in the capacity to trade Commonwealth environmental water under a variety of different water accounting systems.</w:t>
      </w:r>
    </w:p>
    <w:p w:rsidR="00E47462" w:rsidRPr="009204A3" w:rsidRDefault="00F028C6" w:rsidP="00994672">
      <w:pPr>
        <w:pStyle w:val="ListBullet"/>
        <w:numPr>
          <w:ilvl w:val="0"/>
          <w:numId w:val="0"/>
        </w:numPr>
        <w:spacing w:after="160"/>
        <w:jc w:val="left"/>
        <w:rPr>
          <w:rFonts w:ascii="Century Gothic" w:hAnsi="Century Gothic"/>
        </w:rPr>
      </w:pPr>
      <w:r w:rsidRPr="008D1B2C">
        <w:rPr>
          <w:rFonts w:ascii="Century Gothic" w:hAnsi="Century Gothic"/>
        </w:rPr>
        <w:t>The Australian Government is considering whether the approach recommended by the Expert Panel could achieve better environmental outcomes from Commonwealth environmental water while maintaining the integrity of the Basin Plan, including the sustainable diversion limits over the longer term.</w:t>
      </w:r>
    </w:p>
    <w:p w:rsidR="00940242" w:rsidRPr="006C2670" w:rsidRDefault="00F028C6" w:rsidP="006C2670">
      <w:pPr>
        <w:pStyle w:val="Heading1"/>
        <w:numPr>
          <w:ilvl w:val="0"/>
          <w:numId w:val="20"/>
        </w:numPr>
        <w:spacing w:before="240" w:after="240"/>
        <w:jc w:val="left"/>
        <w:rPr>
          <w:rFonts w:cs="Times New Roman"/>
          <w:caps w:val="0"/>
          <w:color w:val="5F497A" w:themeColor="accent4" w:themeShade="BF"/>
          <w:sz w:val="48"/>
          <w:szCs w:val="48"/>
          <w:lang w:val="en-GB" w:eastAsia="en-US"/>
        </w:rPr>
      </w:pPr>
      <w:bookmarkStart w:id="71" w:name="_Toc422389632"/>
      <w:r w:rsidRPr="006C2670">
        <w:rPr>
          <w:rFonts w:cs="Times New Roman"/>
          <w:caps w:val="0"/>
          <w:color w:val="5F497A" w:themeColor="accent4" w:themeShade="BF"/>
          <w:sz w:val="48"/>
          <w:szCs w:val="48"/>
          <w:lang w:val="en-GB" w:eastAsia="en-US"/>
        </w:rPr>
        <w:lastRenderedPageBreak/>
        <w:t>Monitoring and Evaluation</w:t>
      </w:r>
      <w:bookmarkEnd w:id="71"/>
    </w:p>
    <w:p w:rsidR="00E47462" w:rsidRPr="00BE31EB" w:rsidRDefault="00E47462" w:rsidP="00E47462">
      <w:pPr>
        <w:pStyle w:val="Default"/>
        <w:spacing w:after="240"/>
        <w:rPr>
          <w:rFonts w:ascii="Century Gothic" w:hAnsi="Century Gothic"/>
          <w:color w:val="auto"/>
          <w:sz w:val="20"/>
          <w:szCs w:val="20"/>
        </w:rPr>
      </w:pPr>
      <w:r w:rsidRPr="00BE31EB">
        <w:rPr>
          <w:rFonts w:ascii="Century Gothic" w:hAnsi="Century Gothic"/>
          <w:sz w:val="20"/>
          <w:szCs w:val="20"/>
        </w:rPr>
        <w:t xml:space="preserve">Monitoring and evaluation of Commonwealth environmental water use is undertaken in accordance with the Monitoring, Evaluation, Reporting and Improvement Framework, available on the Office’s website at: </w:t>
      </w:r>
      <w:hyperlink r:id="rId32" w:history="1">
        <w:r w:rsidR="00281DEF" w:rsidRPr="002B6397">
          <w:rPr>
            <w:rStyle w:val="Hyperlink"/>
            <w:rFonts w:ascii="Century Gothic" w:hAnsi="Century Gothic"/>
            <w:sz w:val="20"/>
            <w:szCs w:val="20"/>
          </w:rPr>
          <w:t>www.environment.gov.au/water/cewo/monitoring</w:t>
        </w:r>
      </w:hyperlink>
      <w:r w:rsidRPr="00BE31EB">
        <w:rPr>
          <w:rFonts w:ascii="Century Gothic" w:hAnsi="Century Gothic"/>
          <w:sz w:val="20"/>
          <w:szCs w:val="20"/>
        </w:rPr>
        <w:t>.  T</w:t>
      </w:r>
      <w:r w:rsidRPr="00BE31EB">
        <w:rPr>
          <w:rFonts w:ascii="Century Gothic" w:hAnsi="Century Gothic"/>
          <w:color w:val="auto"/>
          <w:sz w:val="20"/>
          <w:szCs w:val="20"/>
        </w:rPr>
        <w:t xml:space="preserve">he framework is a high level document that provides overarching guidance for the development and implementation of monitoring and evaluation activities. </w:t>
      </w:r>
    </w:p>
    <w:p w:rsidR="00E47462" w:rsidRDefault="00E47462" w:rsidP="00E47462">
      <w:pPr>
        <w:pStyle w:val="ListBullet"/>
        <w:numPr>
          <w:ilvl w:val="0"/>
          <w:numId w:val="0"/>
        </w:numPr>
        <w:spacing w:after="240"/>
        <w:jc w:val="left"/>
        <w:rPr>
          <w:rFonts w:ascii="Century Gothic" w:hAnsi="Century Gothic"/>
        </w:rPr>
      </w:pPr>
      <w:r w:rsidRPr="00BE31EB">
        <w:rPr>
          <w:rFonts w:ascii="Century Gothic" w:hAnsi="Century Gothic"/>
        </w:rPr>
        <w:t>Consistent with the role under the Water Act</w:t>
      </w:r>
      <w:r w:rsidRPr="00A55B12">
        <w:rPr>
          <w:rFonts w:ascii="Century Gothic" w:hAnsi="Century Gothic"/>
        </w:rPr>
        <w:t xml:space="preserve"> and Basin Plan, monitoring and evaluation that the Office puts in place will focus on the environmental response to </w:t>
      </w:r>
      <w:r>
        <w:rPr>
          <w:rFonts w:ascii="Century Gothic" w:hAnsi="Century Gothic"/>
        </w:rPr>
        <w:t xml:space="preserve">the use of </w:t>
      </w:r>
      <w:r w:rsidRPr="00A55B12">
        <w:rPr>
          <w:rFonts w:ascii="Century Gothic" w:hAnsi="Century Gothic"/>
        </w:rPr>
        <w:t>Commonwealth environmental water</w:t>
      </w:r>
      <w:r>
        <w:rPr>
          <w:rFonts w:ascii="Century Gothic" w:hAnsi="Century Gothic"/>
        </w:rPr>
        <w:t>, or what is known as intervention monitoring</w:t>
      </w:r>
      <w:r w:rsidRPr="00A55B12">
        <w:rPr>
          <w:rFonts w:ascii="Century Gothic" w:hAnsi="Century Gothic"/>
        </w:rPr>
        <w:t xml:space="preserve">. How intervention monitoring of Commonwealth environmental water fits in with operational monitoring and broad scale monitoring under the Basin Plan is shown in </w:t>
      </w:r>
      <w:r>
        <w:rPr>
          <w:rFonts w:ascii="Century Gothic" w:hAnsi="Century Gothic"/>
        </w:rPr>
        <w:t xml:space="preserve">Figure </w:t>
      </w:r>
      <w:r w:rsidR="00E83A6E">
        <w:rPr>
          <w:rFonts w:ascii="Century Gothic" w:hAnsi="Century Gothic"/>
        </w:rPr>
        <w:t>6</w:t>
      </w:r>
      <w:r w:rsidRPr="00A55B12">
        <w:rPr>
          <w:rFonts w:ascii="Century Gothic" w:hAnsi="Century Gothic"/>
        </w:rPr>
        <w:t>.</w:t>
      </w:r>
      <w:r>
        <w:rPr>
          <w:rFonts w:ascii="Century Gothic" w:hAnsi="Century Gothic"/>
        </w:rPr>
        <w:t xml:space="preserve"> </w:t>
      </w:r>
    </w:p>
    <w:p w:rsidR="00252EF4" w:rsidRDefault="00252EF4" w:rsidP="00E47462">
      <w:pPr>
        <w:pStyle w:val="ListBullet"/>
        <w:numPr>
          <w:ilvl w:val="0"/>
          <w:numId w:val="0"/>
        </w:numPr>
        <w:spacing w:after="240"/>
        <w:jc w:val="left"/>
        <w:rPr>
          <w:rFonts w:ascii="Century Gothic" w:hAnsi="Century Gothic"/>
        </w:rPr>
      </w:pPr>
      <w:r>
        <w:rPr>
          <w:rFonts w:ascii="Century Gothic" w:hAnsi="Century Gothic"/>
          <w:noProof/>
        </w:rPr>
        <w:drawing>
          <wp:inline distT="0" distB="0" distL="0" distR="0">
            <wp:extent cx="5798042" cy="4381697"/>
            <wp:effectExtent l="0" t="0" r="0" b="0"/>
            <wp:docPr id="87" name="Picture 87" descr="This figure shows how the temporal environmental water planning hierarchy in the Basin relates to different types of monitoring activities. Annual water use, carryover and trade options relate to operational and intervention monitoring activities of selected watering actions. Operational monitoring is generally undertaken by delivery partners while intervention monitoring for Commonwealth environmental water is undertaken by the Commonwealth Environmental Water Office. Development of the long-term watering plans by state governments relates to on-going intervention monitoring activities including those established by the Office, as well as long-term monitoring of environmental assets by states. The Basin Plan relates to program monitoring, which includes broad-scale ecological monitoring by the Murray-Darling Basin Authority across the Basin, over time scales greater than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cstate="print"/>
                    <a:srcRect/>
                    <a:stretch>
                      <a:fillRect/>
                    </a:stretch>
                  </pic:blipFill>
                  <pic:spPr bwMode="auto">
                    <a:xfrm>
                      <a:off x="0" y="0"/>
                      <a:ext cx="5798042" cy="4381697"/>
                    </a:xfrm>
                    <a:prstGeom prst="rect">
                      <a:avLst/>
                    </a:prstGeom>
                    <a:noFill/>
                  </pic:spPr>
                </pic:pic>
              </a:graphicData>
            </a:graphic>
          </wp:inline>
        </w:drawing>
      </w:r>
    </w:p>
    <w:p w:rsidR="00E078BB" w:rsidRDefault="00E47462" w:rsidP="00E078BB">
      <w:pPr>
        <w:pStyle w:val="ListNumber"/>
        <w:numPr>
          <w:ilvl w:val="0"/>
          <w:numId w:val="0"/>
        </w:numPr>
        <w:spacing w:after="120"/>
        <w:rPr>
          <w:rFonts w:ascii="Century Gothic" w:hAnsi="Century Gothic"/>
        </w:rPr>
      </w:pPr>
      <w:r w:rsidRPr="00252EF4">
        <w:rPr>
          <w:rFonts w:ascii="Century Gothic" w:hAnsi="Century Gothic"/>
          <w:b/>
        </w:rPr>
        <w:t xml:space="preserve">Figure </w:t>
      </w:r>
      <w:r w:rsidR="00E83A6E" w:rsidRPr="00252EF4">
        <w:rPr>
          <w:rFonts w:ascii="Century Gothic" w:hAnsi="Century Gothic"/>
          <w:b/>
        </w:rPr>
        <w:t>6</w:t>
      </w:r>
      <w:r w:rsidRPr="00252EF4">
        <w:rPr>
          <w:rFonts w:ascii="Century Gothic" w:hAnsi="Century Gothic"/>
          <w:b/>
        </w:rPr>
        <w:t xml:space="preserve">: </w:t>
      </w:r>
      <w:r w:rsidRPr="00252EF4">
        <w:rPr>
          <w:rFonts w:ascii="Century Gothic" w:hAnsi="Century Gothic"/>
        </w:rPr>
        <w:t xml:space="preserve">Operational and broad-scale </w:t>
      </w:r>
      <w:r w:rsidR="00E078BB" w:rsidRPr="00252EF4">
        <w:rPr>
          <w:rFonts w:ascii="Century Gothic" w:hAnsi="Century Gothic"/>
        </w:rPr>
        <w:t>monitoring under the Basin Plan</w:t>
      </w:r>
      <w:r w:rsidRPr="00252EF4">
        <w:rPr>
          <w:rFonts w:ascii="Century Gothic" w:hAnsi="Century Gothic"/>
        </w:rPr>
        <w:t xml:space="preserve"> </w:t>
      </w:r>
    </w:p>
    <w:p w:rsidR="00252EF4" w:rsidRPr="00E078BB" w:rsidRDefault="00252EF4" w:rsidP="00E078BB">
      <w:pPr>
        <w:pStyle w:val="ListNumber"/>
        <w:numPr>
          <w:ilvl w:val="0"/>
          <w:numId w:val="0"/>
        </w:numPr>
        <w:spacing w:after="120"/>
        <w:rPr>
          <w:rFonts w:ascii="Century Gothic" w:hAnsi="Century Gothic"/>
        </w:rPr>
      </w:pPr>
    </w:p>
    <w:p w:rsidR="006C2670" w:rsidRPr="006C2670" w:rsidRDefault="006C2670" w:rsidP="006C2670">
      <w:pPr>
        <w:pStyle w:val="ListParagraph"/>
        <w:keepNext/>
        <w:numPr>
          <w:ilvl w:val="0"/>
          <w:numId w:val="19"/>
        </w:numPr>
        <w:spacing w:before="240" w:after="240"/>
        <w:jc w:val="left"/>
        <w:outlineLvl w:val="0"/>
        <w:rPr>
          <w:b/>
          <w:vanish/>
          <w:color w:val="5F497A" w:themeColor="accent4" w:themeShade="BF"/>
          <w:sz w:val="40"/>
          <w:szCs w:val="40"/>
          <w:lang w:val="en-GB" w:eastAsia="en-US"/>
        </w:rPr>
      </w:pPr>
      <w:bookmarkStart w:id="72" w:name="_Toc420502910"/>
      <w:bookmarkStart w:id="73" w:name="_Toc420502949"/>
      <w:bookmarkStart w:id="74" w:name="_Toc420926950"/>
      <w:bookmarkStart w:id="75" w:name="_Toc422389633"/>
      <w:bookmarkEnd w:id="72"/>
      <w:bookmarkEnd w:id="73"/>
      <w:bookmarkEnd w:id="74"/>
      <w:bookmarkEnd w:id="75"/>
    </w:p>
    <w:p w:rsidR="00E47462" w:rsidRPr="006C2670" w:rsidRDefault="00E47462" w:rsidP="006C2670">
      <w:pPr>
        <w:pStyle w:val="Heading1"/>
        <w:numPr>
          <w:ilvl w:val="1"/>
          <w:numId w:val="19"/>
        </w:numPr>
        <w:spacing w:before="240" w:after="240"/>
        <w:ind w:left="432"/>
        <w:jc w:val="left"/>
        <w:rPr>
          <w:rFonts w:cs="Times New Roman"/>
          <w:caps w:val="0"/>
          <w:color w:val="5F497A" w:themeColor="accent4" w:themeShade="BF"/>
          <w:sz w:val="40"/>
          <w:szCs w:val="40"/>
          <w:lang w:val="en-GB" w:eastAsia="en-US"/>
        </w:rPr>
      </w:pPr>
      <w:bookmarkStart w:id="76" w:name="_Toc422389634"/>
      <w:r w:rsidRPr="006C2670">
        <w:rPr>
          <w:rFonts w:cs="Times New Roman"/>
          <w:caps w:val="0"/>
          <w:color w:val="5F497A" w:themeColor="accent4" w:themeShade="BF"/>
          <w:sz w:val="40"/>
          <w:szCs w:val="40"/>
          <w:lang w:val="en-GB" w:eastAsia="en-US"/>
        </w:rPr>
        <w:t>Operational monitoring</w:t>
      </w:r>
      <w:bookmarkEnd w:id="76"/>
    </w:p>
    <w:p w:rsidR="00E47462" w:rsidRPr="006165F2" w:rsidRDefault="00E47462" w:rsidP="00E47462">
      <w:pPr>
        <w:pStyle w:val="Caption"/>
        <w:spacing w:after="240"/>
        <w:jc w:val="left"/>
        <w:rPr>
          <w:rFonts w:ascii="Century Gothic" w:hAnsi="Century Gothic"/>
          <w:b w:val="0"/>
        </w:rPr>
      </w:pPr>
      <w:r w:rsidRPr="006165F2">
        <w:rPr>
          <w:rFonts w:ascii="Century Gothic" w:hAnsi="Century Gothic"/>
          <w:b w:val="0"/>
        </w:rPr>
        <w:t xml:space="preserve">Operational monitoring is monitoring that helps assess whether water has been delivered as planned (e.g. the volumes, timing (frequency and duration), </w:t>
      </w:r>
      <w:proofErr w:type="gramStart"/>
      <w:r w:rsidRPr="006165F2">
        <w:rPr>
          <w:rFonts w:ascii="Century Gothic" w:hAnsi="Century Gothic"/>
          <w:b w:val="0"/>
        </w:rPr>
        <w:t>location</w:t>
      </w:r>
      <w:proofErr w:type="gramEnd"/>
      <w:r w:rsidRPr="006165F2">
        <w:rPr>
          <w:rFonts w:ascii="Century Gothic" w:hAnsi="Century Gothic"/>
          <w:b w:val="0"/>
        </w:rPr>
        <w:t xml:space="preserve"> and flow rates of water delivered) and at a high level can include immediate environmental responses. Operational monitoring also helps to manage unintended consequences. Operational monitoring is</w:t>
      </w:r>
      <w:r w:rsidR="00D11401">
        <w:rPr>
          <w:rFonts w:ascii="Century Gothic" w:hAnsi="Century Gothic"/>
          <w:b w:val="0"/>
        </w:rPr>
        <w:t xml:space="preserve"> undertaken for all watering actions,</w:t>
      </w:r>
      <w:r w:rsidRPr="006165F2">
        <w:rPr>
          <w:rFonts w:ascii="Century Gothic" w:hAnsi="Century Gothic"/>
          <w:b w:val="0"/>
        </w:rPr>
        <w:t xml:space="preserve"> mostly by delivery partners in conjunction with the Office. </w:t>
      </w:r>
    </w:p>
    <w:p w:rsidR="00252EF4" w:rsidRDefault="00252EF4">
      <w:pPr>
        <w:spacing w:after="0"/>
        <w:jc w:val="left"/>
        <w:rPr>
          <w:b/>
          <w:color w:val="5F497A" w:themeColor="accent4" w:themeShade="BF"/>
          <w:sz w:val="40"/>
          <w:szCs w:val="40"/>
          <w:lang w:val="en-GB" w:eastAsia="en-US"/>
        </w:rPr>
      </w:pPr>
      <w:r>
        <w:rPr>
          <w:caps/>
          <w:color w:val="5F497A" w:themeColor="accent4" w:themeShade="BF"/>
          <w:sz w:val="40"/>
          <w:szCs w:val="40"/>
          <w:lang w:val="en-GB" w:eastAsia="en-US"/>
        </w:rPr>
        <w:br w:type="page"/>
      </w:r>
    </w:p>
    <w:p w:rsidR="00E47462" w:rsidRPr="006C2670" w:rsidRDefault="00E47462" w:rsidP="006C2670">
      <w:pPr>
        <w:pStyle w:val="Heading1"/>
        <w:numPr>
          <w:ilvl w:val="1"/>
          <w:numId w:val="19"/>
        </w:numPr>
        <w:spacing w:before="240" w:after="240"/>
        <w:ind w:left="432"/>
        <w:jc w:val="left"/>
        <w:rPr>
          <w:rFonts w:cs="Times New Roman"/>
          <w:caps w:val="0"/>
          <w:color w:val="5F497A" w:themeColor="accent4" w:themeShade="BF"/>
          <w:sz w:val="40"/>
          <w:szCs w:val="40"/>
          <w:lang w:val="en-GB" w:eastAsia="en-US"/>
        </w:rPr>
      </w:pPr>
      <w:bookmarkStart w:id="77" w:name="_Toc422389635"/>
      <w:r w:rsidRPr="006C2670">
        <w:rPr>
          <w:rFonts w:cs="Times New Roman"/>
          <w:caps w:val="0"/>
          <w:color w:val="5F497A" w:themeColor="accent4" w:themeShade="BF"/>
          <w:sz w:val="40"/>
          <w:szCs w:val="40"/>
          <w:lang w:val="en-GB" w:eastAsia="en-US"/>
        </w:rPr>
        <w:lastRenderedPageBreak/>
        <w:t>Intervention monitoring</w:t>
      </w:r>
      <w:bookmarkEnd w:id="77"/>
    </w:p>
    <w:p w:rsidR="00E47462" w:rsidRDefault="00E47462" w:rsidP="00A13294">
      <w:pPr>
        <w:spacing w:after="240"/>
        <w:jc w:val="left"/>
        <w:rPr>
          <w:rFonts w:ascii="Century Gothic" w:hAnsi="Century Gothic"/>
        </w:rPr>
      </w:pPr>
      <w:r>
        <w:rPr>
          <w:rFonts w:ascii="Century Gothic" w:hAnsi="Century Gothic"/>
        </w:rPr>
        <w:t xml:space="preserve">Intervention monitoring is monitoring </w:t>
      </w:r>
      <w:r w:rsidR="00D11401">
        <w:rPr>
          <w:rFonts w:ascii="Century Gothic" w:hAnsi="Century Gothic"/>
        </w:rPr>
        <w:t>that</w:t>
      </w:r>
      <w:r>
        <w:rPr>
          <w:rFonts w:ascii="Century Gothic" w:hAnsi="Century Gothic"/>
        </w:rPr>
        <w:t xml:space="preserve"> supports an assessment of the ecological response to water use. </w:t>
      </w:r>
      <w:r w:rsidRPr="00A55B12">
        <w:rPr>
          <w:rFonts w:ascii="Century Gothic" w:hAnsi="Century Gothic"/>
        </w:rPr>
        <w:t>The Office commissions intervention monitoring of selected watering actions to:</w:t>
      </w:r>
    </w:p>
    <w:p w:rsidR="00E47462" w:rsidRPr="00A55B12" w:rsidRDefault="00E47462" w:rsidP="00A13294">
      <w:pPr>
        <w:pStyle w:val="ListBullet"/>
        <w:numPr>
          <w:ilvl w:val="0"/>
          <w:numId w:val="8"/>
        </w:numPr>
        <w:spacing w:after="240"/>
        <w:jc w:val="left"/>
        <w:rPr>
          <w:rFonts w:ascii="Century Gothic" w:hAnsi="Century Gothic"/>
        </w:rPr>
      </w:pPr>
      <w:r w:rsidRPr="00A55B12">
        <w:rPr>
          <w:rFonts w:ascii="Century Gothic" w:hAnsi="Century Gothic"/>
        </w:rPr>
        <w:t xml:space="preserve">demonstrate that Commonwealth environmental water is being managed well </w:t>
      </w:r>
    </w:p>
    <w:p w:rsidR="00E47462" w:rsidRPr="00A55B12" w:rsidRDefault="00E47462" w:rsidP="00A13294">
      <w:pPr>
        <w:pStyle w:val="ListBullet"/>
        <w:numPr>
          <w:ilvl w:val="0"/>
          <w:numId w:val="8"/>
        </w:numPr>
        <w:spacing w:after="240"/>
        <w:jc w:val="left"/>
        <w:rPr>
          <w:rFonts w:ascii="Century Gothic" w:hAnsi="Century Gothic"/>
        </w:rPr>
      </w:pPr>
      <w:r w:rsidRPr="00A55B12">
        <w:rPr>
          <w:rFonts w:ascii="Century Gothic" w:hAnsi="Century Gothic"/>
        </w:rPr>
        <w:t>dem</w:t>
      </w:r>
      <w:r>
        <w:rPr>
          <w:rFonts w:ascii="Century Gothic" w:hAnsi="Century Gothic"/>
        </w:rPr>
        <w:t>onstrate environmental outcomes</w:t>
      </w:r>
    </w:p>
    <w:p w:rsidR="00E47462" w:rsidRPr="00A55B12" w:rsidRDefault="00E47462" w:rsidP="00A13294">
      <w:pPr>
        <w:pStyle w:val="ListBullet"/>
        <w:numPr>
          <w:ilvl w:val="0"/>
          <w:numId w:val="8"/>
        </w:numPr>
        <w:spacing w:after="240"/>
        <w:jc w:val="left"/>
        <w:rPr>
          <w:rFonts w:ascii="Century Gothic" w:hAnsi="Century Gothic"/>
        </w:rPr>
      </w:pPr>
      <w:proofErr w:type="gramStart"/>
      <w:r w:rsidRPr="00A55B12">
        <w:rPr>
          <w:rFonts w:ascii="Century Gothic" w:hAnsi="Century Gothic"/>
        </w:rPr>
        <w:t>help</w:t>
      </w:r>
      <w:proofErr w:type="gramEnd"/>
      <w:r w:rsidRPr="00A55B12">
        <w:rPr>
          <w:rFonts w:ascii="Century Gothic" w:hAnsi="Century Gothic"/>
        </w:rPr>
        <w:t xml:space="preserve"> managers of environmental water learn from experience and improve the delivery of water over time. </w:t>
      </w:r>
    </w:p>
    <w:p w:rsidR="00E47462" w:rsidRDefault="00E47462" w:rsidP="00A13294">
      <w:pPr>
        <w:pStyle w:val="ListBullet"/>
        <w:numPr>
          <w:ilvl w:val="0"/>
          <w:numId w:val="0"/>
        </w:numPr>
        <w:spacing w:after="240"/>
        <w:jc w:val="left"/>
        <w:rPr>
          <w:rFonts w:ascii="Century Gothic" w:hAnsi="Century Gothic"/>
        </w:rPr>
      </w:pPr>
      <w:r>
        <w:rPr>
          <w:rFonts w:ascii="Century Gothic" w:hAnsi="Century Gothic"/>
        </w:rPr>
        <w:t>T</w:t>
      </w:r>
      <w:r w:rsidRPr="00A55B12">
        <w:rPr>
          <w:rFonts w:ascii="Century Gothic" w:hAnsi="Century Gothic"/>
        </w:rPr>
        <w:t xml:space="preserve">he focus of monitoring and evaluation </w:t>
      </w:r>
      <w:r w:rsidR="009436E3">
        <w:rPr>
          <w:rFonts w:ascii="Century Gothic" w:hAnsi="Century Gothic"/>
        </w:rPr>
        <w:t>has transitioned</w:t>
      </w:r>
      <w:r>
        <w:rPr>
          <w:rFonts w:ascii="Century Gothic" w:hAnsi="Century Gothic"/>
        </w:rPr>
        <w:t xml:space="preserve"> from short (one</w:t>
      </w:r>
      <w:r w:rsidRPr="00A55B12">
        <w:rPr>
          <w:rFonts w:ascii="Century Gothic" w:hAnsi="Century Gothic"/>
        </w:rPr>
        <w:t xml:space="preserve"> year) to longer term (</w:t>
      </w:r>
      <w:r>
        <w:rPr>
          <w:rFonts w:ascii="Century Gothic" w:hAnsi="Century Gothic"/>
        </w:rPr>
        <w:t>five</w:t>
      </w:r>
      <w:r w:rsidRPr="00A55B12">
        <w:rPr>
          <w:rFonts w:ascii="Century Gothic" w:hAnsi="Century Gothic"/>
        </w:rPr>
        <w:t xml:space="preserve"> year) projects.</w:t>
      </w:r>
    </w:p>
    <w:p w:rsidR="00E47462" w:rsidRDefault="00E47462" w:rsidP="00A13294">
      <w:pPr>
        <w:spacing w:after="240"/>
        <w:jc w:val="left"/>
        <w:rPr>
          <w:rFonts w:ascii="Century Gothic" w:hAnsi="Century Gothic" w:cs="Arial"/>
        </w:rPr>
      </w:pPr>
      <w:r w:rsidRPr="00A55B12">
        <w:rPr>
          <w:rFonts w:ascii="Century Gothic" w:hAnsi="Century Gothic"/>
        </w:rPr>
        <w:t xml:space="preserve">The Office </w:t>
      </w:r>
      <w:r>
        <w:rPr>
          <w:rFonts w:ascii="Century Gothic" w:hAnsi="Century Gothic"/>
        </w:rPr>
        <w:t>has established</w:t>
      </w:r>
      <w:r w:rsidRPr="00A55B12">
        <w:rPr>
          <w:rFonts w:ascii="Century Gothic" w:hAnsi="Century Gothic"/>
        </w:rPr>
        <w:t xml:space="preserve"> long-term intervention monitoring at selected areas within the Murray-Darling Basin</w:t>
      </w:r>
      <w:r>
        <w:rPr>
          <w:rFonts w:ascii="Century Gothic" w:hAnsi="Century Gothic"/>
        </w:rPr>
        <w:t xml:space="preserve"> that commenced in 2014–15</w:t>
      </w:r>
      <w:r w:rsidRPr="00A55B12">
        <w:rPr>
          <w:rFonts w:ascii="Century Gothic" w:hAnsi="Century Gothic"/>
        </w:rPr>
        <w:t xml:space="preserve">. The approach has a sound scientific basis that will allow us to translate the results of monitoring to other areas and identify the contribution to Basin Plan objectives. The </w:t>
      </w:r>
      <w:r w:rsidRPr="00E03D80">
        <w:rPr>
          <w:rFonts w:ascii="Century Gothic" w:hAnsi="Century Gothic"/>
        </w:rPr>
        <w:t xml:space="preserve">seven areas </w:t>
      </w:r>
      <w:r>
        <w:rPr>
          <w:rFonts w:ascii="Century Gothic" w:hAnsi="Century Gothic"/>
        </w:rPr>
        <w:t xml:space="preserve">where monitoring </w:t>
      </w:r>
      <w:r w:rsidR="00385716">
        <w:rPr>
          <w:rFonts w:ascii="Century Gothic" w:hAnsi="Century Gothic"/>
        </w:rPr>
        <w:t>is being</w:t>
      </w:r>
      <w:r>
        <w:rPr>
          <w:rFonts w:ascii="Century Gothic" w:hAnsi="Century Gothic"/>
        </w:rPr>
        <w:t xml:space="preserve"> undertaken are:</w:t>
      </w:r>
      <w:r w:rsidRPr="00A55B12">
        <w:rPr>
          <w:rFonts w:ascii="Century Gothic" w:hAnsi="Century Gothic" w:cs="Arial"/>
        </w:rPr>
        <w:t xml:space="preserve"> </w:t>
      </w:r>
    </w:p>
    <w:p w:rsidR="00E47462" w:rsidRPr="00A55B12" w:rsidRDefault="00E47462" w:rsidP="00A13294">
      <w:pPr>
        <w:pStyle w:val="ListBullet"/>
        <w:numPr>
          <w:ilvl w:val="0"/>
          <w:numId w:val="8"/>
        </w:numPr>
        <w:spacing w:after="240"/>
        <w:jc w:val="left"/>
        <w:rPr>
          <w:rFonts w:ascii="Century Gothic" w:hAnsi="Century Gothic"/>
        </w:rPr>
      </w:pPr>
      <w:r w:rsidRPr="00A55B12">
        <w:rPr>
          <w:rFonts w:ascii="Century Gothic" w:hAnsi="Century Gothic"/>
        </w:rPr>
        <w:t xml:space="preserve">Gwydir </w:t>
      </w:r>
      <w:r>
        <w:rPr>
          <w:rFonts w:ascii="Century Gothic" w:hAnsi="Century Gothic"/>
        </w:rPr>
        <w:t>River system</w:t>
      </w:r>
      <w:r w:rsidRPr="00A55B12">
        <w:rPr>
          <w:rFonts w:ascii="Century Gothic" w:hAnsi="Century Gothic"/>
        </w:rPr>
        <w:t xml:space="preserve"> (wetlands and floodplains) </w:t>
      </w:r>
    </w:p>
    <w:p w:rsidR="00E47462" w:rsidRPr="00A55B12" w:rsidRDefault="00E47462" w:rsidP="00A13294">
      <w:pPr>
        <w:pStyle w:val="ListBullet"/>
        <w:numPr>
          <w:ilvl w:val="0"/>
          <w:numId w:val="8"/>
        </w:numPr>
        <w:spacing w:after="240"/>
        <w:jc w:val="left"/>
        <w:rPr>
          <w:rFonts w:ascii="Century Gothic" w:hAnsi="Century Gothic"/>
        </w:rPr>
      </w:pPr>
      <w:r w:rsidRPr="00A55B12">
        <w:rPr>
          <w:rFonts w:ascii="Century Gothic" w:hAnsi="Century Gothic"/>
        </w:rPr>
        <w:t xml:space="preserve">Lachlan </w:t>
      </w:r>
      <w:r>
        <w:rPr>
          <w:rFonts w:ascii="Century Gothic" w:hAnsi="Century Gothic"/>
        </w:rPr>
        <w:t>R</w:t>
      </w:r>
      <w:r w:rsidRPr="00A55B12">
        <w:rPr>
          <w:rFonts w:ascii="Century Gothic" w:hAnsi="Century Gothic"/>
        </w:rPr>
        <w:t xml:space="preserve">iver system (in-stream and on fringing wetlands) </w:t>
      </w:r>
    </w:p>
    <w:p w:rsidR="00E47462" w:rsidRPr="00A55B12" w:rsidRDefault="00E47462" w:rsidP="00A13294">
      <w:pPr>
        <w:pStyle w:val="ListBullet"/>
        <w:numPr>
          <w:ilvl w:val="0"/>
          <w:numId w:val="8"/>
        </w:numPr>
        <w:spacing w:after="240"/>
        <w:jc w:val="left"/>
        <w:rPr>
          <w:rFonts w:ascii="Century Gothic" w:hAnsi="Century Gothic"/>
        </w:rPr>
      </w:pPr>
      <w:r w:rsidRPr="00A55B12">
        <w:rPr>
          <w:rFonts w:ascii="Century Gothic" w:hAnsi="Century Gothic"/>
        </w:rPr>
        <w:t xml:space="preserve">Murrumbidgee </w:t>
      </w:r>
      <w:r>
        <w:rPr>
          <w:rFonts w:ascii="Century Gothic" w:hAnsi="Century Gothic"/>
        </w:rPr>
        <w:t>River system</w:t>
      </w:r>
      <w:r w:rsidRPr="00A55B12">
        <w:rPr>
          <w:rFonts w:ascii="Century Gothic" w:hAnsi="Century Gothic"/>
        </w:rPr>
        <w:t xml:space="preserve"> (in-stream, on fringing wetlands and floodplains) </w:t>
      </w:r>
    </w:p>
    <w:p w:rsidR="00E47462" w:rsidRPr="00A55B12" w:rsidRDefault="00E47462" w:rsidP="00A13294">
      <w:pPr>
        <w:pStyle w:val="ListBullet"/>
        <w:numPr>
          <w:ilvl w:val="0"/>
          <w:numId w:val="8"/>
        </w:numPr>
        <w:spacing w:after="240"/>
        <w:jc w:val="left"/>
        <w:rPr>
          <w:rFonts w:ascii="Century Gothic" w:hAnsi="Century Gothic"/>
        </w:rPr>
      </w:pPr>
      <w:r w:rsidRPr="00A55B12">
        <w:rPr>
          <w:rFonts w:ascii="Century Gothic" w:hAnsi="Century Gothic"/>
        </w:rPr>
        <w:t xml:space="preserve">Edward-Wakool </w:t>
      </w:r>
      <w:r>
        <w:rPr>
          <w:rFonts w:ascii="Century Gothic" w:hAnsi="Century Gothic"/>
        </w:rPr>
        <w:t>R</w:t>
      </w:r>
      <w:r w:rsidRPr="00A55B12">
        <w:rPr>
          <w:rFonts w:ascii="Century Gothic" w:hAnsi="Century Gothic"/>
        </w:rPr>
        <w:t xml:space="preserve">iver system (in-stream and on fringing wetlands) </w:t>
      </w:r>
    </w:p>
    <w:p w:rsidR="00E47462" w:rsidRPr="00A55B12" w:rsidRDefault="00E47462" w:rsidP="00A13294">
      <w:pPr>
        <w:pStyle w:val="ListBullet"/>
        <w:numPr>
          <w:ilvl w:val="0"/>
          <w:numId w:val="8"/>
        </w:numPr>
        <w:spacing w:after="240"/>
        <w:jc w:val="left"/>
        <w:rPr>
          <w:rFonts w:ascii="Century Gothic" w:hAnsi="Century Gothic"/>
        </w:rPr>
      </w:pPr>
      <w:r>
        <w:rPr>
          <w:rFonts w:ascii="Century Gothic" w:hAnsi="Century Gothic"/>
        </w:rPr>
        <w:t>Goulburn R</w:t>
      </w:r>
      <w:r w:rsidRPr="00A55B12">
        <w:rPr>
          <w:rFonts w:ascii="Century Gothic" w:hAnsi="Century Gothic"/>
        </w:rPr>
        <w:t xml:space="preserve">iver (in-stream) </w:t>
      </w:r>
    </w:p>
    <w:p w:rsidR="00E47462" w:rsidRPr="00A55B12" w:rsidRDefault="00E47462" w:rsidP="00A13294">
      <w:pPr>
        <w:pStyle w:val="ListBullet"/>
        <w:numPr>
          <w:ilvl w:val="0"/>
          <w:numId w:val="8"/>
        </w:numPr>
        <w:spacing w:after="240"/>
        <w:jc w:val="left"/>
        <w:rPr>
          <w:rFonts w:ascii="Century Gothic" w:hAnsi="Century Gothic"/>
        </w:rPr>
      </w:pPr>
      <w:r>
        <w:rPr>
          <w:rFonts w:ascii="Century Gothic" w:hAnsi="Century Gothic"/>
        </w:rPr>
        <w:t xml:space="preserve">Lower </w:t>
      </w:r>
      <w:r w:rsidRPr="00A55B12">
        <w:rPr>
          <w:rFonts w:ascii="Century Gothic" w:hAnsi="Century Gothic"/>
        </w:rPr>
        <w:t xml:space="preserve">Murray River (in-stream) </w:t>
      </w:r>
    </w:p>
    <w:p w:rsidR="00E47462" w:rsidRPr="00A55B12" w:rsidRDefault="00E47462" w:rsidP="00A13294">
      <w:pPr>
        <w:pStyle w:val="ListBullet"/>
        <w:numPr>
          <w:ilvl w:val="0"/>
          <w:numId w:val="8"/>
        </w:numPr>
        <w:spacing w:after="240"/>
        <w:jc w:val="left"/>
        <w:rPr>
          <w:rFonts w:ascii="Century Gothic" w:hAnsi="Century Gothic"/>
        </w:rPr>
      </w:pPr>
      <w:r>
        <w:rPr>
          <w:rFonts w:ascii="Century Gothic" w:hAnsi="Century Gothic"/>
        </w:rPr>
        <w:t>Junction of the Warrego and Darling rivers</w:t>
      </w:r>
      <w:r w:rsidRPr="00A55B12">
        <w:rPr>
          <w:rFonts w:ascii="Century Gothic" w:hAnsi="Century Gothic"/>
        </w:rPr>
        <w:t xml:space="preserve"> (in-stream and floodplains, as well as an indicator of upstream unregulated rivers). </w:t>
      </w:r>
    </w:p>
    <w:p w:rsidR="00E47462" w:rsidRPr="00D22B81" w:rsidRDefault="00E47462" w:rsidP="00A13294">
      <w:pPr>
        <w:spacing w:after="240"/>
        <w:rPr>
          <w:rFonts w:ascii="Century Gothic" w:hAnsi="Century Gothic"/>
        </w:rPr>
      </w:pPr>
      <w:r w:rsidRPr="00D22B81">
        <w:rPr>
          <w:rFonts w:ascii="Century Gothic" w:hAnsi="Century Gothic"/>
        </w:rPr>
        <w:t>These areas have been chosen to be broadly representative of Commonwealth environmental watering, and complement existing monitoring program</w:t>
      </w:r>
      <w:r>
        <w:rPr>
          <w:rFonts w:ascii="Century Gothic" w:hAnsi="Century Gothic"/>
        </w:rPr>
        <w:t>me</w:t>
      </w:r>
      <w:r w:rsidRPr="00D22B81">
        <w:rPr>
          <w:rFonts w:ascii="Century Gothic" w:hAnsi="Century Gothic"/>
        </w:rPr>
        <w:t>s in the Murray-Darling Basin, including The Living Murray program</w:t>
      </w:r>
      <w:r>
        <w:rPr>
          <w:rFonts w:ascii="Century Gothic" w:hAnsi="Century Gothic"/>
        </w:rPr>
        <w:t>me</w:t>
      </w:r>
      <w:r w:rsidRPr="00D22B81">
        <w:rPr>
          <w:rFonts w:ascii="Century Gothic" w:hAnsi="Century Gothic"/>
        </w:rPr>
        <w:t xml:space="preserve"> and Basin </w:t>
      </w:r>
      <w:r>
        <w:rPr>
          <w:rFonts w:ascii="Century Gothic" w:hAnsi="Century Gothic"/>
        </w:rPr>
        <w:t>s</w:t>
      </w:r>
      <w:r w:rsidRPr="00D22B81">
        <w:rPr>
          <w:rFonts w:ascii="Century Gothic" w:hAnsi="Century Gothic"/>
        </w:rPr>
        <w:t>tate monitoring initiatives.</w:t>
      </w:r>
    </w:p>
    <w:p w:rsidR="00E47462" w:rsidRPr="00BE31EB" w:rsidRDefault="00E47462" w:rsidP="00A13294">
      <w:pPr>
        <w:pStyle w:val="ListBullet"/>
        <w:numPr>
          <w:ilvl w:val="0"/>
          <w:numId w:val="0"/>
        </w:numPr>
        <w:spacing w:after="240"/>
        <w:jc w:val="left"/>
        <w:rPr>
          <w:rFonts w:ascii="Century Gothic" w:hAnsi="Century Gothic"/>
        </w:rPr>
      </w:pPr>
      <w:r w:rsidRPr="00A55B12">
        <w:rPr>
          <w:rFonts w:ascii="Century Gothic" w:hAnsi="Century Gothic"/>
        </w:rPr>
        <w:t xml:space="preserve">The Office will continue to publish </w:t>
      </w:r>
      <w:r>
        <w:rPr>
          <w:rFonts w:ascii="Century Gothic" w:hAnsi="Century Gothic"/>
        </w:rPr>
        <w:t>on its website</w:t>
      </w:r>
      <w:r w:rsidRPr="00A55B12">
        <w:rPr>
          <w:rFonts w:ascii="Century Gothic" w:hAnsi="Century Gothic"/>
        </w:rPr>
        <w:t xml:space="preserve"> results from all monitoring and evaluation </w:t>
      </w:r>
      <w:r>
        <w:rPr>
          <w:rFonts w:ascii="Century Gothic" w:hAnsi="Century Gothic"/>
        </w:rPr>
        <w:t>that has been commissioned</w:t>
      </w:r>
      <w:r w:rsidRPr="00A55B12">
        <w:rPr>
          <w:rFonts w:ascii="Century Gothic" w:hAnsi="Century Gothic"/>
        </w:rPr>
        <w:t xml:space="preserve">. This includes </w:t>
      </w:r>
      <w:r w:rsidRPr="00BE31EB">
        <w:rPr>
          <w:rFonts w:ascii="Century Gothic" w:hAnsi="Century Gothic"/>
        </w:rPr>
        <w:t>producing an environmental water outcomes report, which summarises the overall environmental outcomes from Commonwealth environmental water use. Intervention monitoring will play an important role in informing future water use through adaptive management.</w:t>
      </w:r>
    </w:p>
    <w:p w:rsidR="009436E3" w:rsidRDefault="009436E3">
      <w:pPr>
        <w:spacing w:after="0"/>
        <w:jc w:val="left"/>
        <w:rPr>
          <w:b/>
          <w:color w:val="5F497A" w:themeColor="accent4" w:themeShade="BF"/>
          <w:sz w:val="40"/>
          <w:szCs w:val="40"/>
          <w:lang w:val="en-GB" w:eastAsia="en-US"/>
        </w:rPr>
      </w:pPr>
      <w:r>
        <w:rPr>
          <w:caps/>
          <w:color w:val="5F497A" w:themeColor="accent4" w:themeShade="BF"/>
          <w:sz w:val="40"/>
          <w:szCs w:val="40"/>
          <w:lang w:val="en-GB" w:eastAsia="en-US"/>
        </w:rPr>
        <w:br w:type="page"/>
      </w:r>
    </w:p>
    <w:p w:rsidR="00E47462" w:rsidRPr="00EC207E" w:rsidRDefault="00E47462" w:rsidP="00EC207E">
      <w:pPr>
        <w:pStyle w:val="Heading1"/>
        <w:numPr>
          <w:ilvl w:val="0"/>
          <w:numId w:val="20"/>
        </w:numPr>
        <w:spacing w:before="240" w:after="240"/>
        <w:jc w:val="left"/>
        <w:rPr>
          <w:rFonts w:cs="Times New Roman"/>
          <w:caps w:val="0"/>
          <w:color w:val="5F497A" w:themeColor="accent4" w:themeShade="BF"/>
          <w:sz w:val="48"/>
          <w:szCs w:val="48"/>
          <w:lang w:val="en-GB" w:eastAsia="en-US"/>
        </w:rPr>
      </w:pPr>
      <w:bookmarkStart w:id="78" w:name="_Toc422389636"/>
      <w:r w:rsidRPr="00EC207E">
        <w:rPr>
          <w:rFonts w:cs="Times New Roman"/>
          <w:caps w:val="0"/>
          <w:color w:val="5F497A" w:themeColor="accent4" w:themeShade="BF"/>
          <w:sz w:val="48"/>
          <w:szCs w:val="48"/>
          <w:lang w:val="en-GB" w:eastAsia="en-US"/>
        </w:rPr>
        <w:lastRenderedPageBreak/>
        <w:t>Adaptive management</w:t>
      </w:r>
      <w:bookmarkEnd w:id="78"/>
    </w:p>
    <w:p w:rsidR="00E002D3" w:rsidRPr="00576FD5" w:rsidRDefault="003563F2" w:rsidP="00994672">
      <w:pPr>
        <w:pStyle w:val="ListBullet"/>
        <w:numPr>
          <w:ilvl w:val="0"/>
          <w:numId w:val="0"/>
        </w:numPr>
        <w:spacing w:after="160"/>
        <w:jc w:val="left"/>
        <w:rPr>
          <w:rFonts w:ascii="Century Gothic" w:hAnsi="Century Gothic"/>
        </w:rPr>
      </w:pPr>
      <w:r w:rsidRPr="00576FD5">
        <w:rPr>
          <w:rFonts w:ascii="Century Gothic" w:hAnsi="Century Gothic"/>
        </w:rPr>
        <w:t xml:space="preserve">Adaptive management is a </w:t>
      </w:r>
      <w:r w:rsidR="0077794E" w:rsidRPr="0077794E">
        <w:rPr>
          <w:rFonts w:ascii="Century Gothic" w:hAnsi="Century Gothic"/>
        </w:rPr>
        <w:t xml:space="preserve">systematic approach for deliberately learning from </w:t>
      </w:r>
      <w:r w:rsidR="0077794E">
        <w:rPr>
          <w:rFonts w:ascii="Century Gothic" w:hAnsi="Century Gothic"/>
        </w:rPr>
        <w:t>past</w:t>
      </w:r>
      <w:r w:rsidR="0077794E" w:rsidRPr="0077794E">
        <w:rPr>
          <w:rFonts w:ascii="Century Gothic" w:hAnsi="Century Gothic"/>
        </w:rPr>
        <w:t xml:space="preserve"> actions</w:t>
      </w:r>
      <w:r w:rsidR="00127AEC">
        <w:rPr>
          <w:rFonts w:ascii="Century Gothic" w:hAnsi="Century Gothic"/>
        </w:rPr>
        <w:t>,</w:t>
      </w:r>
      <w:r w:rsidR="0077794E" w:rsidRPr="0077794E">
        <w:rPr>
          <w:rFonts w:ascii="Century Gothic" w:hAnsi="Century Gothic"/>
        </w:rPr>
        <w:t xml:space="preserve"> with the intent to</w:t>
      </w:r>
      <w:r w:rsidR="00127AEC">
        <w:rPr>
          <w:rFonts w:ascii="Century Gothic" w:hAnsi="Century Gothic"/>
        </w:rPr>
        <w:t xml:space="preserve"> continually</w:t>
      </w:r>
      <w:r w:rsidR="0077794E" w:rsidRPr="0077794E">
        <w:rPr>
          <w:rFonts w:ascii="Century Gothic" w:hAnsi="Century Gothic"/>
        </w:rPr>
        <w:t xml:space="preserve"> improve </w:t>
      </w:r>
      <w:r w:rsidR="0077794E">
        <w:rPr>
          <w:rFonts w:ascii="Century Gothic" w:hAnsi="Century Gothic"/>
        </w:rPr>
        <w:t>future</w:t>
      </w:r>
      <w:r w:rsidR="0077794E" w:rsidRPr="0077794E">
        <w:rPr>
          <w:rFonts w:ascii="Century Gothic" w:hAnsi="Century Gothic"/>
        </w:rPr>
        <w:t xml:space="preserve"> </w:t>
      </w:r>
      <w:r w:rsidR="0077794E">
        <w:rPr>
          <w:rFonts w:ascii="Century Gothic" w:hAnsi="Century Gothic"/>
        </w:rPr>
        <w:t>planning and actions. It</w:t>
      </w:r>
      <w:r w:rsidRPr="00576FD5">
        <w:rPr>
          <w:rFonts w:ascii="Century Gothic" w:hAnsi="Century Gothic"/>
        </w:rPr>
        <w:t xml:space="preserve"> </w:t>
      </w:r>
      <w:r w:rsidR="00127AEC">
        <w:rPr>
          <w:rFonts w:ascii="Century Gothic" w:hAnsi="Century Gothic"/>
        </w:rPr>
        <w:t>relies</w:t>
      </w:r>
      <w:r w:rsidRPr="00576FD5">
        <w:rPr>
          <w:rFonts w:ascii="Century Gothic" w:hAnsi="Century Gothic"/>
        </w:rPr>
        <w:t xml:space="preserve"> on a combination of the latest information, including best available science</w:t>
      </w:r>
      <w:r w:rsidR="0077794E">
        <w:rPr>
          <w:rFonts w:ascii="Century Gothic" w:hAnsi="Century Gothic"/>
        </w:rPr>
        <w:t xml:space="preserve"> and monitoring outcomes,</w:t>
      </w:r>
      <w:r w:rsidRPr="00576FD5">
        <w:rPr>
          <w:rFonts w:ascii="Century Gothic" w:hAnsi="Century Gothic"/>
        </w:rPr>
        <w:t xml:space="preserve"> and</w:t>
      </w:r>
      <w:r w:rsidR="0077794E">
        <w:rPr>
          <w:rFonts w:ascii="Century Gothic" w:hAnsi="Century Gothic"/>
        </w:rPr>
        <w:t xml:space="preserve"> the</w:t>
      </w:r>
      <w:r w:rsidRPr="00576FD5">
        <w:rPr>
          <w:rFonts w:ascii="Century Gothic" w:hAnsi="Century Gothic"/>
        </w:rPr>
        <w:t xml:space="preserve"> knowledge, insights and experiences of those people living and working in the Basin.</w:t>
      </w:r>
      <w:r w:rsidR="00477FC3" w:rsidRPr="00576FD5">
        <w:rPr>
          <w:rFonts w:ascii="Century Gothic" w:hAnsi="Century Gothic"/>
        </w:rPr>
        <w:t xml:space="preserve"> </w:t>
      </w:r>
      <w:r w:rsidR="0087279F" w:rsidRPr="00576FD5">
        <w:rPr>
          <w:rFonts w:ascii="Century Gothic" w:hAnsi="Century Gothic"/>
        </w:rPr>
        <w:t>As outlined in the Murray-Darling Basin Plan, a</w:t>
      </w:r>
      <w:r w:rsidR="00E002D3" w:rsidRPr="00576FD5">
        <w:rPr>
          <w:rFonts w:ascii="Century Gothic" w:hAnsi="Century Gothic"/>
        </w:rPr>
        <w:t>daptive management involves the following:</w:t>
      </w:r>
    </w:p>
    <w:p w:rsidR="00E002D3" w:rsidRPr="00576FD5" w:rsidRDefault="00E002D3" w:rsidP="00994672">
      <w:pPr>
        <w:pStyle w:val="ListBullet"/>
        <w:spacing w:after="160"/>
        <w:jc w:val="left"/>
        <w:rPr>
          <w:rFonts w:ascii="Century Gothic" w:hAnsi="Century Gothic"/>
        </w:rPr>
      </w:pPr>
      <w:r w:rsidRPr="00576FD5">
        <w:rPr>
          <w:rFonts w:ascii="Century Gothic" w:hAnsi="Century Gothic"/>
        </w:rPr>
        <w:t xml:space="preserve">setting clear objectives </w:t>
      </w:r>
    </w:p>
    <w:p w:rsidR="00E002D3" w:rsidRPr="00576FD5" w:rsidRDefault="00E002D3" w:rsidP="00994672">
      <w:pPr>
        <w:pStyle w:val="ListBullet"/>
        <w:spacing w:after="160"/>
        <w:jc w:val="left"/>
        <w:rPr>
          <w:rFonts w:ascii="Century Gothic" w:hAnsi="Century Gothic"/>
        </w:rPr>
      </w:pPr>
      <w:r w:rsidRPr="00576FD5">
        <w:rPr>
          <w:rFonts w:ascii="Century Gothic" w:hAnsi="Century Gothic"/>
        </w:rPr>
        <w:t>linking knowledge (including local knowledge) management, evaluation and feedback over time</w:t>
      </w:r>
    </w:p>
    <w:p w:rsidR="00E002D3" w:rsidRPr="00576FD5" w:rsidRDefault="00E002D3" w:rsidP="00994672">
      <w:pPr>
        <w:pStyle w:val="ListBullet"/>
        <w:spacing w:after="160"/>
        <w:jc w:val="left"/>
        <w:rPr>
          <w:rFonts w:ascii="Century Gothic" w:hAnsi="Century Gothic"/>
        </w:rPr>
      </w:pPr>
      <w:r w:rsidRPr="00576FD5">
        <w:rPr>
          <w:rFonts w:ascii="Century Gothic" w:hAnsi="Century Gothic"/>
        </w:rPr>
        <w:t>identifying and testing uncertainties</w:t>
      </w:r>
    </w:p>
    <w:p w:rsidR="00E002D3" w:rsidRPr="00576FD5" w:rsidRDefault="00E002D3" w:rsidP="00994672">
      <w:pPr>
        <w:pStyle w:val="ListBullet"/>
        <w:spacing w:after="160"/>
        <w:jc w:val="left"/>
        <w:rPr>
          <w:rFonts w:ascii="Century Gothic" w:hAnsi="Century Gothic"/>
        </w:rPr>
      </w:pPr>
      <w:r w:rsidRPr="00576FD5">
        <w:rPr>
          <w:rFonts w:ascii="Century Gothic" w:hAnsi="Century Gothic"/>
        </w:rPr>
        <w:t>using adaptive management as a tool to learn about the relevant system and change its management</w:t>
      </w:r>
    </w:p>
    <w:p w:rsidR="00E002D3" w:rsidRPr="00576FD5" w:rsidRDefault="00E002D3" w:rsidP="00994672">
      <w:pPr>
        <w:pStyle w:val="ListBullet"/>
        <w:spacing w:after="160"/>
        <w:jc w:val="left"/>
        <w:rPr>
          <w:rFonts w:ascii="Century Gothic" w:hAnsi="Century Gothic"/>
        </w:rPr>
      </w:pPr>
      <w:r w:rsidRPr="00576FD5">
        <w:rPr>
          <w:rFonts w:ascii="Century Gothic" w:hAnsi="Century Gothic"/>
        </w:rPr>
        <w:t>improving knowledge and ongoing implementation</w:t>
      </w:r>
    </w:p>
    <w:p w:rsidR="00E002D3" w:rsidRPr="00576FD5" w:rsidRDefault="00E002D3" w:rsidP="00E002D3">
      <w:pPr>
        <w:pStyle w:val="ListBullet"/>
        <w:spacing w:after="240"/>
        <w:jc w:val="left"/>
        <w:rPr>
          <w:rFonts w:ascii="Century Gothic" w:hAnsi="Century Gothic"/>
        </w:rPr>
      </w:pPr>
      <w:proofErr w:type="gramStart"/>
      <w:r w:rsidRPr="00576FD5">
        <w:rPr>
          <w:rFonts w:ascii="Century Gothic" w:hAnsi="Century Gothic"/>
        </w:rPr>
        <w:t>having</w:t>
      </w:r>
      <w:proofErr w:type="gramEnd"/>
      <w:r w:rsidRPr="00576FD5">
        <w:rPr>
          <w:rFonts w:ascii="Century Gothic" w:hAnsi="Century Gothic"/>
        </w:rPr>
        <w:t xml:space="preserve"> regard to the social, economic and technical aspects of management.</w:t>
      </w:r>
    </w:p>
    <w:p w:rsidR="0087279F" w:rsidRPr="00576FD5" w:rsidRDefault="00133D95" w:rsidP="0087279F">
      <w:pPr>
        <w:pStyle w:val="ListBullet"/>
        <w:numPr>
          <w:ilvl w:val="0"/>
          <w:numId w:val="0"/>
        </w:numPr>
        <w:spacing w:after="240"/>
        <w:jc w:val="left"/>
        <w:rPr>
          <w:rFonts w:ascii="Century Gothic" w:hAnsi="Century Gothic"/>
        </w:rPr>
      </w:pPr>
      <w:r w:rsidRPr="00576FD5">
        <w:rPr>
          <w:rFonts w:ascii="Century Gothic" w:hAnsi="Century Gothic"/>
        </w:rPr>
        <w:t xml:space="preserve">The development of </w:t>
      </w:r>
      <w:r w:rsidR="003563F2" w:rsidRPr="00576FD5">
        <w:rPr>
          <w:rFonts w:ascii="Century Gothic" w:hAnsi="Century Gothic"/>
        </w:rPr>
        <w:t>portfolio management plans</w:t>
      </w:r>
      <w:r w:rsidRPr="00576FD5">
        <w:rPr>
          <w:rFonts w:ascii="Century Gothic" w:hAnsi="Century Gothic"/>
        </w:rPr>
        <w:t xml:space="preserve"> are a critical element of the Office’s adaptive management process</w:t>
      </w:r>
      <w:r w:rsidR="00576FD5" w:rsidRPr="00576FD5">
        <w:rPr>
          <w:rFonts w:ascii="Century Gothic" w:hAnsi="Century Gothic"/>
        </w:rPr>
        <w:t xml:space="preserve"> (see Figure 7)</w:t>
      </w:r>
      <w:r w:rsidR="003563F2" w:rsidRPr="00576FD5">
        <w:rPr>
          <w:rFonts w:ascii="Century Gothic" w:hAnsi="Century Gothic"/>
        </w:rPr>
        <w:t xml:space="preserve">. </w:t>
      </w:r>
      <w:r w:rsidRPr="00576FD5">
        <w:rPr>
          <w:rFonts w:ascii="Century Gothic" w:hAnsi="Century Gothic"/>
        </w:rPr>
        <w:t>The plans set out the objectives and outcomes that environmental water is aiming to contribute</w:t>
      </w:r>
      <w:r w:rsidR="0077794E">
        <w:rPr>
          <w:rFonts w:ascii="Century Gothic" w:hAnsi="Century Gothic"/>
        </w:rPr>
        <w:t xml:space="preserve"> to</w:t>
      </w:r>
      <w:r w:rsidRPr="00576FD5">
        <w:rPr>
          <w:rFonts w:ascii="Century Gothic" w:hAnsi="Century Gothic"/>
        </w:rPr>
        <w:t xml:space="preserve"> </w:t>
      </w:r>
      <w:r w:rsidR="0077794E">
        <w:rPr>
          <w:rFonts w:ascii="Century Gothic" w:hAnsi="Century Gothic"/>
        </w:rPr>
        <w:t>(</w:t>
      </w:r>
      <w:r w:rsidRPr="00576FD5">
        <w:rPr>
          <w:rFonts w:ascii="Century Gothic" w:hAnsi="Century Gothic"/>
        </w:rPr>
        <w:t>based on input from government agencies, communities and scientists</w:t>
      </w:r>
      <w:r w:rsidR="0077794E">
        <w:rPr>
          <w:rFonts w:ascii="Century Gothic" w:hAnsi="Century Gothic"/>
        </w:rPr>
        <w:t>)</w:t>
      </w:r>
      <w:r w:rsidRPr="00576FD5">
        <w:rPr>
          <w:rFonts w:ascii="Century Gothic" w:hAnsi="Century Gothic"/>
        </w:rPr>
        <w:t xml:space="preserve"> and the actions required to achieve these outcomes. These are then updated each year based on </w:t>
      </w:r>
      <w:r w:rsidR="00576FD5">
        <w:rPr>
          <w:rFonts w:ascii="Century Gothic" w:hAnsi="Century Gothic"/>
        </w:rPr>
        <w:t xml:space="preserve">the evaluation of </w:t>
      </w:r>
      <w:r w:rsidR="00477FC3" w:rsidRPr="00576FD5">
        <w:rPr>
          <w:rFonts w:ascii="Century Gothic" w:hAnsi="Century Gothic"/>
        </w:rPr>
        <w:t xml:space="preserve">monitoring </w:t>
      </w:r>
      <w:r w:rsidR="00576FD5">
        <w:rPr>
          <w:rFonts w:ascii="Century Gothic" w:hAnsi="Century Gothic"/>
        </w:rPr>
        <w:t>results</w:t>
      </w:r>
      <w:r w:rsidR="00477FC3" w:rsidRPr="00576FD5">
        <w:rPr>
          <w:rFonts w:ascii="Century Gothic" w:hAnsi="Century Gothic"/>
        </w:rPr>
        <w:t xml:space="preserve"> and </w:t>
      </w:r>
      <w:r w:rsidR="00576FD5">
        <w:rPr>
          <w:rFonts w:ascii="Century Gothic" w:hAnsi="Century Gothic"/>
        </w:rPr>
        <w:t xml:space="preserve">the </w:t>
      </w:r>
      <w:r w:rsidRPr="00576FD5">
        <w:rPr>
          <w:rFonts w:ascii="Century Gothic" w:hAnsi="Century Gothic"/>
        </w:rPr>
        <w:t>exp</w:t>
      </w:r>
      <w:r w:rsidR="00064B86" w:rsidRPr="00576FD5">
        <w:rPr>
          <w:rFonts w:ascii="Century Gothic" w:hAnsi="Century Gothic"/>
        </w:rPr>
        <w:t>erience</w:t>
      </w:r>
      <w:r w:rsidR="00832E07" w:rsidRPr="00576FD5">
        <w:rPr>
          <w:rFonts w:ascii="Century Gothic" w:hAnsi="Century Gothic"/>
        </w:rPr>
        <w:t xml:space="preserve"> of what has worked well and areas that require improvement. </w:t>
      </w:r>
    </w:p>
    <w:p w:rsidR="005A415C" w:rsidRDefault="00576FD5" w:rsidP="00033AD2">
      <w:pPr>
        <w:spacing w:after="0"/>
        <w:jc w:val="center"/>
        <w:rPr>
          <w:rFonts w:ascii="Century Gothic" w:hAnsi="Century Gothic"/>
        </w:rPr>
      </w:pPr>
      <w:r>
        <w:rPr>
          <w:rFonts w:ascii="Century Gothic" w:hAnsi="Century Gothic"/>
          <w:noProof/>
        </w:rPr>
        <w:drawing>
          <wp:inline distT="0" distB="0" distL="0" distR="0">
            <wp:extent cx="4731026" cy="4383958"/>
            <wp:effectExtent l="19050" t="0" r="0" b="0"/>
            <wp:docPr id="86" name="Picture 86" descr="This is a conceptual diagram of the adaptive management cycle. Each stage of the circular diagram represents the cyclical nature of the process that informs adaptive management practices. The stages include planning (to identify priority assets and desired outcomes), design (a program of environmental watering actions), monitoring (the environmental effects of watering), evaluation (of the effectiveness and efficiency), reflection (on what’s working, what’s not and why), reporting (on outcomes and communicate learning) and improvement (of adaptive approach and apply to next watering). All stages of the cycle require continuous participation an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cstate="print"/>
                    <a:srcRect/>
                    <a:stretch>
                      <a:fillRect/>
                    </a:stretch>
                  </pic:blipFill>
                  <pic:spPr bwMode="auto">
                    <a:xfrm>
                      <a:off x="0" y="0"/>
                      <a:ext cx="4733497" cy="4386248"/>
                    </a:xfrm>
                    <a:prstGeom prst="rect">
                      <a:avLst/>
                    </a:prstGeom>
                    <a:noFill/>
                  </pic:spPr>
                </pic:pic>
              </a:graphicData>
            </a:graphic>
          </wp:inline>
        </w:drawing>
      </w:r>
    </w:p>
    <w:p w:rsidR="005A415C" w:rsidRDefault="005A415C">
      <w:pPr>
        <w:spacing w:after="0"/>
        <w:jc w:val="left"/>
        <w:rPr>
          <w:rFonts w:ascii="Century Gothic" w:hAnsi="Century Gothic"/>
        </w:rPr>
      </w:pPr>
    </w:p>
    <w:p w:rsidR="005A415C" w:rsidRDefault="00A65682" w:rsidP="00033AD2">
      <w:pPr>
        <w:spacing w:after="0"/>
        <w:jc w:val="center"/>
        <w:rPr>
          <w:rFonts w:ascii="Century Gothic" w:hAnsi="Century Gothic"/>
        </w:rPr>
      </w:pPr>
      <w:r w:rsidRPr="00A65682">
        <w:rPr>
          <w:rFonts w:ascii="Century Gothic" w:hAnsi="Century Gothic"/>
          <w:b/>
        </w:rPr>
        <w:t>Figure 7:</w:t>
      </w:r>
      <w:r w:rsidR="00477FC3">
        <w:rPr>
          <w:rFonts w:ascii="Century Gothic" w:hAnsi="Century Gothic"/>
        </w:rPr>
        <w:t xml:space="preserve"> The a</w:t>
      </w:r>
      <w:r>
        <w:rPr>
          <w:rFonts w:ascii="Century Gothic" w:hAnsi="Century Gothic"/>
        </w:rPr>
        <w:t>daptive management cycle</w:t>
      </w:r>
    </w:p>
    <w:p w:rsidR="005A415C" w:rsidRDefault="005A415C">
      <w:pPr>
        <w:spacing w:after="0"/>
        <w:jc w:val="left"/>
        <w:rPr>
          <w:rFonts w:ascii="Century Gothic" w:hAnsi="Century Gothic"/>
        </w:rPr>
      </w:pPr>
    </w:p>
    <w:p w:rsidR="005A415C" w:rsidRDefault="005A415C">
      <w:pPr>
        <w:spacing w:after="0"/>
        <w:jc w:val="left"/>
        <w:rPr>
          <w:rFonts w:ascii="Century Gothic" w:hAnsi="Century Gothic"/>
        </w:rPr>
      </w:pPr>
    </w:p>
    <w:p w:rsidR="005A415C" w:rsidRDefault="00477FC3">
      <w:pPr>
        <w:spacing w:after="0"/>
        <w:jc w:val="left"/>
        <w:rPr>
          <w:rFonts w:ascii="Century Gothic" w:hAnsi="Century Gothic"/>
        </w:rPr>
      </w:pPr>
      <w:r w:rsidRPr="00576FD5">
        <w:rPr>
          <w:rFonts w:ascii="Century Gothic" w:hAnsi="Century Gothic"/>
        </w:rPr>
        <w:lastRenderedPageBreak/>
        <w:t>The practice of environmental water management will continue to evolve through the development of innovative and flexible approaches. This will help maximise environmental outcomes despite uncertainty over future conditions and changing circumstances.</w:t>
      </w:r>
    </w:p>
    <w:p w:rsidR="005A415C" w:rsidRDefault="005A415C">
      <w:pPr>
        <w:spacing w:after="0"/>
        <w:jc w:val="left"/>
        <w:rPr>
          <w:rFonts w:ascii="Century Gothic" w:hAnsi="Century Gothic"/>
        </w:rPr>
      </w:pPr>
    </w:p>
    <w:p w:rsidR="005A415C" w:rsidRDefault="005A415C">
      <w:pPr>
        <w:spacing w:after="0"/>
        <w:jc w:val="left"/>
        <w:rPr>
          <w:rFonts w:ascii="Century Gothic" w:hAnsi="Century Gothic"/>
        </w:rPr>
      </w:pPr>
    </w:p>
    <w:p w:rsidR="00C90205" w:rsidRPr="00F41C7A" w:rsidRDefault="00A65682" w:rsidP="005539CE">
      <w:pPr>
        <w:pStyle w:val="Heading2"/>
        <w:numPr>
          <w:ilvl w:val="0"/>
          <w:numId w:val="0"/>
        </w:numPr>
        <w:pBdr>
          <w:top w:val="single" w:sz="4" w:space="1" w:color="auto"/>
          <w:left w:val="single" w:sz="4" w:space="4" w:color="auto"/>
          <w:bottom w:val="single" w:sz="4" w:space="1" w:color="auto"/>
          <w:right w:val="single" w:sz="4" w:space="4" w:color="auto"/>
        </w:pBdr>
        <w:spacing w:after="240"/>
        <w:jc w:val="left"/>
        <w:rPr>
          <w:rFonts w:ascii="Century Gothic" w:hAnsi="Century Gothic" w:cs="Calibri"/>
          <w:noProof/>
          <w:color w:val="5F497A" w:themeColor="accent4" w:themeShade="BF"/>
          <w:sz w:val="24"/>
          <w:szCs w:val="24"/>
          <w:lang w:val="en-GB" w:eastAsia="en-US"/>
        </w:rPr>
      </w:pPr>
      <w:bookmarkStart w:id="79" w:name="_Toc422389637"/>
      <w:r>
        <w:rPr>
          <w:rFonts w:ascii="Century Gothic" w:hAnsi="Century Gothic" w:cs="Calibri"/>
          <w:noProof/>
          <w:color w:val="5F497A" w:themeColor="accent4" w:themeShade="BF"/>
          <w:sz w:val="24"/>
          <w:szCs w:val="24"/>
          <w:lang w:val="en-GB" w:eastAsia="en-US"/>
        </w:rPr>
        <w:t xml:space="preserve">Case Study: </w:t>
      </w:r>
      <w:r w:rsidR="00C90205" w:rsidRPr="00F41C7A">
        <w:rPr>
          <w:rFonts w:ascii="Century Gothic" w:hAnsi="Century Gothic" w:cs="Calibri"/>
          <w:noProof/>
          <w:color w:val="5F497A" w:themeColor="accent4" w:themeShade="BF"/>
          <w:sz w:val="24"/>
          <w:szCs w:val="24"/>
          <w:lang w:val="en-GB" w:eastAsia="en-US"/>
        </w:rPr>
        <w:t>Adaptive management in practice</w:t>
      </w:r>
      <w:r w:rsidR="00984094" w:rsidRPr="00F41C7A">
        <w:rPr>
          <w:rFonts w:ascii="Century Gothic" w:hAnsi="Century Gothic" w:cs="Calibri"/>
          <w:noProof/>
          <w:color w:val="5F497A" w:themeColor="accent4" w:themeShade="BF"/>
          <w:sz w:val="24"/>
          <w:szCs w:val="24"/>
          <w:lang w:val="en-GB" w:eastAsia="en-US"/>
        </w:rPr>
        <w:t xml:space="preserve"> in the Goulburn</w:t>
      </w:r>
      <w:r w:rsidR="00477FC3">
        <w:rPr>
          <w:rFonts w:ascii="Century Gothic" w:hAnsi="Century Gothic" w:cs="Calibri"/>
          <w:noProof/>
          <w:color w:val="5F497A" w:themeColor="accent4" w:themeShade="BF"/>
          <w:sz w:val="24"/>
          <w:szCs w:val="24"/>
          <w:lang w:val="en-GB" w:eastAsia="en-US"/>
        </w:rPr>
        <w:t xml:space="preserve"> River</w:t>
      </w:r>
      <w:bookmarkEnd w:id="79"/>
    </w:p>
    <w:p w:rsidR="00C90205" w:rsidRPr="00832E07" w:rsidRDefault="00C90205" w:rsidP="005539CE">
      <w:pPr>
        <w:pStyle w:val="ListBullet"/>
        <w:numPr>
          <w:ilvl w:val="0"/>
          <w:numId w:val="0"/>
        </w:numPr>
        <w:pBdr>
          <w:top w:val="single" w:sz="4" w:space="1" w:color="auto"/>
          <w:left w:val="single" w:sz="4" w:space="4" w:color="auto"/>
          <w:bottom w:val="single" w:sz="4" w:space="1" w:color="auto"/>
          <w:right w:val="single" w:sz="4" w:space="4" w:color="auto"/>
        </w:pBdr>
        <w:spacing w:after="240"/>
        <w:jc w:val="left"/>
        <w:rPr>
          <w:rFonts w:ascii="Century Gothic" w:hAnsi="Century Gothic"/>
        </w:rPr>
      </w:pPr>
      <w:r w:rsidRPr="00832E07">
        <w:rPr>
          <w:rFonts w:ascii="Century Gothic" w:hAnsi="Century Gothic"/>
        </w:rPr>
        <w:t>After considering results of November 2011, 2012, and 2013 spring environmental flows, the first spring environmental flow in 2014</w:t>
      </w:r>
      <w:r w:rsidR="007A426F">
        <w:rPr>
          <w:rFonts w:ascii="Century Gothic" w:hAnsi="Century Gothic"/>
        </w:rPr>
        <w:t>–</w:t>
      </w:r>
      <w:r w:rsidRPr="00832E07">
        <w:rPr>
          <w:rFonts w:ascii="Century Gothic" w:hAnsi="Century Gothic"/>
        </w:rPr>
        <w:t xml:space="preserve">15 was brought forward to October to benefit recovering bank vegetation (before the hot summer) and a second flow was then provided at a reduced rate, in late November, to allow golden perch fish larvae to develop, which resulted in a successful </w:t>
      </w:r>
      <w:r w:rsidR="005539CE">
        <w:rPr>
          <w:rFonts w:ascii="Century Gothic" w:hAnsi="Century Gothic"/>
        </w:rPr>
        <w:t>g</w:t>
      </w:r>
      <w:r w:rsidRPr="00832E07">
        <w:rPr>
          <w:rFonts w:ascii="Century Gothic" w:hAnsi="Century Gothic"/>
        </w:rPr>
        <w:t>olden perch</w:t>
      </w:r>
      <w:r w:rsidR="005539CE">
        <w:rPr>
          <w:rFonts w:ascii="Century Gothic" w:hAnsi="Century Gothic"/>
        </w:rPr>
        <w:t xml:space="preserve"> </w:t>
      </w:r>
      <w:r w:rsidRPr="00832E07">
        <w:rPr>
          <w:rFonts w:ascii="Century Gothic" w:hAnsi="Century Gothic"/>
        </w:rPr>
        <w:t>breeding event</w:t>
      </w:r>
      <w:r w:rsidR="005539CE">
        <w:rPr>
          <w:rFonts w:ascii="Century Gothic" w:hAnsi="Century Gothic"/>
        </w:rPr>
        <w:t xml:space="preserve"> (Figure 8)</w:t>
      </w:r>
      <w:r w:rsidRPr="00832E07">
        <w:rPr>
          <w:rFonts w:ascii="Century Gothic" w:hAnsi="Century Gothic"/>
        </w:rPr>
        <w:t>.</w:t>
      </w:r>
    </w:p>
    <w:p w:rsidR="00C90205" w:rsidRPr="00832E07" w:rsidRDefault="00C90205" w:rsidP="005539CE">
      <w:pPr>
        <w:pStyle w:val="ListBullet"/>
        <w:numPr>
          <w:ilvl w:val="0"/>
          <w:numId w:val="0"/>
        </w:numPr>
        <w:pBdr>
          <w:top w:val="single" w:sz="4" w:space="1" w:color="auto"/>
          <w:left w:val="single" w:sz="4" w:space="4" w:color="auto"/>
          <w:bottom w:val="single" w:sz="4" w:space="1" w:color="auto"/>
          <w:right w:val="single" w:sz="4" w:space="4" w:color="auto"/>
        </w:pBdr>
        <w:spacing w:after="240"/>
        <w:jc w:val="left"/>
        <w:rPr>
          <w:rFonts w:ascii="Century Gothic" w:hAnsi="Century Gothic"/>
        </w:rPr>
      </w:pPr>
      <w:r w:rsidRPr="00832E07">
        <w:rPr>
          <w:rFonts w:ascii="Century Gothic" w:hAnsi="Century Gothic"/>
        </w:rPr>
        <w:t>The timing of watering actions in 2014</w:t>
      </w:r>
      <w:r w:rsidR="00B4069C">
        <w:rPr>
          <w:rFonts w:ascii="Century Gothic" w:hAnsi="Century Gothic"/>
        </w:rPr>
        <w:t>–</w:t>
      </w:r>
      <w:r w:rsidRPr="00832E07">
        <w:rPr>
          <w:rFonts w:ascii="Century Gothic" w:hAnsi="Century Gothic"/>
        </w:rPr>
        <w:t>15</w:t>
      </w:r>
      <w:r w:rsidR="00984094" w:rsidRPr="00984094">
        <w:rPr>
          <w:rFonts w:ascii="Century Gothic" w:hAnsi="Century Gothic"/>
        </w:rPr>
        <w:t xml:space="preserve"> </w:t>
      </w:r>
      <w:r w:rsidR="00984094">
        <w:rPr>
          <w:rFonts w:ascii="Century Gothic" w:hAnsi="Century Gothic"/>
        </w:rPr>
        <w:t>were</w:t>
      </w:r>
      <w:r w:rsidR="00984094" w:rsidRPr="00832E07">
        <w:rPr>
          <w:rFonts w:ascii="Century Gothic" w:hAnsi="Century Gothic"/>
        </w:rPr>
        <w:t xml:space="preserve"> also modified</w:t>
      </w:r>
      <w:r w:rsidRPr="00832E07">
        <w:rPr>
          <w:rFonts w:ascii="Century Gothic" w:hAnsi="Century Gothic"/>
        </w:rPr>
        <w:t xml:space="preserve"> to ensure environmental watering was completed before the opening of the Murray cod fishing season on 1 December</w:t>
      </w:r>
      <w:r w:rsidR="005539CE">
        <w:rPr>
          <w:rFonts w:ascii="Century Gothic" w:hAnsi="Century Gothic"/>
        </w:rPr>
        <w:t xml:space="preserve"> 2014</w:t>
      </w:r>
      <w:r w:rsidRPr="00832E07">
        <w:rPr>
          <w:rFonts w:ascii="Century Gothic" w:hAnsi="Century Gothic"/>
        </w:rPr>
        <w:t>. This was deliberately arranged to minimise any disruption to angling activities in the area.</w:t>
      </w:r>
    </w:p>
    <w:p w:rsidR="00C90205" w:rsidRDefault="00C90205" w:rsidP="005539CE">
      <w:pPr>
        <w:pStyle w:val="ListBullet"/>
        <w:numPr>
          <w:ilvl w:val="0"/>
          <w:numId w:val="0"/>
        </w:numPr>
        <w:pBdr>
          <w:top w:val="single" w:sz="4" w:space="1" w:color="auto"/>
          <w:left w:val="single" w:sz="4" w:space="4" w:color="auto"/>
          <w:bottom w:val="single" w:sz="4" w:space="1" w:color="auto"/>
          <w:right w:val="single" w:sz="4" w:space="4" w:color="auto"/>
        </w:pBdr>
        <w:spacing w:after="240"/>
        <w:jc w:val="left"/>
        <w:rPr>
          <w:rFonts w:ascii="Century Gothic" w:hAnsi="Century Gothic"/>
        </w:rPr>
      </w:pPr>
      <w:r w:rsidRPr="00832E07">
        <w:rPr>
          <w:rFonts w:ascii="Century Gothic" w:hAnsi="Century Gothic"/>
        </w:rPr>
        <w:t xml:space="preserve">The design of environmental watering actions was </w:t>
      </w:r>
      <w:r w:rsidR="00984094">
        <w:rPr>
          <w:rFonts w:ascii="Century Gothic" w:hAnsi="Century Gothic"/>
        </w:rPr>
        <w:t xml:space="preserve">also </w:t>
      </w:r>
      <w:r w:rsidRPr="00832E07">
        <w:rPr>
          <w:rFonts w:ascii="Century Gothic" w:hAnsi="Century Gothic"/>
        </w:rPr>
        <w:t>adjusted to minimise natural bank erosion processes</w:t>
      </w:r>
      <w:r w:rsidR="00984094">
        <w:rPr>
          <w:rFonts w:ascii="Century Gothic" w:hAnsi="Century Gothic"/>
        </w:rPr>
        <w:t>, which was of concern to members of the local community</w:t>
      </w:r>
      <w:r w:rsidR="00984094" w:rsidRPr="00832E07">
        <w:rPr>
          <w:rFonts w:ascii="Century Gothic" w:hAnsi="Century Gothic"/>
        </w:rPr>
        <w:t xml:space="preserve">. </w:t>
      </w:r>
      <w:r w:rsidR="00477FC3">
        <w:rPr>
          <w:rFonts w:ascii="Century Gothic" w:hAnsi="Century Gothic"/>
        </w:rPr>
        <w:t>T</w:t>
      </w:r>
      <w:r w:rsidRPr="00832E07">
        <w:rPr>
          <w:rFonts w:ascii="Century Gothic" w:hAnsi="Century Gothic"/>
        </w:rPr>
        <w:t>his</w:t>
      </w:r>
      <w:r w:rsidR="00477FC3">
        <w:rPr>
          <w:rFonts w:ascii="Century Gothic" w:hAnsi="Century Gothic"/>
        </w:rPr>
        <w:t xml:space="preserve"> was achieved</w:t>
      </w:r>
      <w:r w:rsidRPr="00832E07">
        <w:rPr>
          <w:rFonts w:ascii="Century Gothic" w:hAnsi="Century Gothic"/>
        </w:rPr>
        <w:t xml:space="preserve"> through delivering a variable water </w:t>
      </w:r>
      <w:r w:rsidR="00984094" w:rsidRPr="00832E07">
        <w:rPr>
          <w:rFonts w:ascii="Century Gothic" w:hAnsi="Century Gothic"/>
        </w:rPr>
        <w:t>flow that</w:t>
      </w:r>
      <w:r w:rsidRPr="00832E07">
        <w:rPr>
          <w:rFonts w:ascii="Century Gothic" w:hAnsi="Century Gothic"/>
        </w:rPr>
        <w:t xml:space="preserve"> reduced more gradually compared with the previous year</w:t>
      </w:r>
      <w:r w:rsidRPr="00984094">
        <w:rPr>
          <w:rFonts w:ascii="Century Gothic" w:hAnsi="Century Gothic"/>
        </w:rPr>
        <w:t xml:space="preserve">. </w:t>
      </w:r>
    </w:p>
    <w:p w:rsidR="00E078BB" w:rsidRPr="00984094" w:rsidRDefault="00E078BB" w:rsidP="005539CE">
      <w:pPr>
        <w:pStyle w:val="ListBullet"/>
        <w:numPr>
          <w:ilvl w:val="0"/>
          <w:numId w:val="0"/>
        </w:numPr>
        <w:pBdr>
          <w:top w:val="single" w:sz="4" w:space="1" w:color="auto"/>
          <w:left w:val="single" w:sz="4" w:space="4" w:color="auto"/>
          <w:bottom w:val="single" w:sz="4" w:space="1" w:color="auto"/>
          <w:right w:val="single" w:sz="4" w:space="4" w:color="auto"/>
        </w:pBdr>
        <w:spacing w:after="240"/>
        <w:jc w:val="left"/>
        <w:rPr>
          <w:rFonts w:ascii="Century Gothic" w:hAnsi="Century Gothic"/>
        </w:rPr>
      </w:pPr>
      <w:r w:rsidRPr="00E078BB">
        <w:rPr>
          <w:rFonts w:ascii="Century Gothic" w:hAnsi="Century Gothic"/>
          <w:noProof/>
        </w:rPr>
        <w:drawing>
          <wp:inline distT="0" distB="0" distL="0" distR="0">
            <wp:extent cx="5705475" cy="3990975"/>
            <wp:effectExtent l="19050" t="0" r="9525" b="0"/>
            <wp:docPr id="11" name="Picture 3" descr="A hydrograph figure showing the contribution of environmental water, including Commonwealth and other partners, to observed river flows in the Goulburn River at McCoys Bridge during 2013–14 and 2014–15. The hydrograph covers the period 1 July 2013 to approximately 15 May 2015. The figure highlights key environmental watering actions implemented during this period including contribution to continuous baseflows throughout each year; two freshes in spring/early summer of each year that targeted native fish breeding and improved vegetation condition and recruitment; and one smaller fresh in autumn of each year targeting vegetation outcomes.&#10;Freshes in spring/early summer reached peak flows of 6500–7500 ML/day while autumn freshes reached peaked at around 3500–4000 ML/d. Freshes targeting native vegetation outcomes were longer in duration than those targeting native fish breeding in line with the current understanding of watering requirements of native fish and riparian vegetation communities in the Goulburn River. The figure also highlights the different timing of spring/early summer freshes between the two years. In 2013–14, the fresh targeting native fish breeding occurred first in late November and was followed by the longer duration fresh targeting vegetation in December. In 2014–15, following feedback from angling groups, the longer duration fresh targeting vegetation was moved earlier in the season to late October to mid November so as to avoid fluctuating water levels during the opening of the Murray cod fishing season on 1 Dec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705475" cy="3990975"/>
                    </a:xfrm>
                    <a:prstGeom prst="rect">
                      <a:avLst/>
                    </a:prstGeom>
                    <a:noFill/>
                  </pic:spPr>
                </pic:pic>
              </a:graphicData>
            </a:graphic>
          </wp:inline>
        </w:drawing>
      </w:r>
    </w:p>
    <w:p w:rsidR="00E078BB" w:rsidRPr="00E078BB" w:rsidRDefault="00E078BB" w:rsidP="005539CE">
      <w:pPr>
        <w:pStyle w:val="ListNumber"/>
        <w:numPr>
          <w:ilvl w:val="0"/>
          <w:numId w:val="0"/>
        </w:numPr>
        <w:pBdr>
          <w:top w:val="single" w:sz="4" w:space="1" w:color="auto"/>
          <w:left w:val="single" w:sz="4" w:space="4" w:color="auto"/>
          <w:bottom w:val="single" w:sz="4" w:space="1" w:color="auto"/>
          <w:right w:val="single" w:sz="4" w:space="4" w:color="auto"/>
        </w:pBdr>
        <w:spacing w:after="120"/>
        <w:jc w:val="left"/>
        <w:rPr>
          <w:rFonts w:ascii="Century Gothic" w:hAnsi="Century Gothic"/>
          <w:b/>
        </w:rPr>
      </w:pPr>
      <w:r w:rsidRPr="00E078BB">
        <w:rPr>
          <w:rFonts w:ascii="Century Gothic" w:hAnsi="Century Gothic"/>
          <w:b/>
        </w:rPr>
        <w:t xml:space="preserve">Figure </w:t>
      </w:r>
      <w:r w:rsidR="0053762F">
        <w:rPr>
          <w:rFonts w:ascii="Century Gothic" w:hAnsi="Century Gothic"/>
          <w:b/>
        </w:rPr>
        <w:t>8</w:t>
      </w:r>
      <w:r w:rsidRPr="00E078BB">
        <w:rPr>
          <w:rFonts w:ascii="Century Gothic" w:hAnsi="Century Gothic"/>
          <w:b/>
        </w:rPr>
        <w:t xml:space="preserve">: </w:t>
      </w:r>
      <w:r w:rsidRPr="00E078BB">
        <w:rPr>
          <w:rFonts w:ascii="Century Gothic" w:hAnsi="Century Gothic"/>
        </w:rPr>
        <w:t>Hydrograph of the flow rate in the Goulburn</w:t>
      </w:r>
      <w:r w:rsidR="00477FC3">
        <w:rPr>
          <w:rFonts w:ascii="Century Gothic" w:hAnsi="Century Gothic"/>
        </w:rPr>
        <w:t xml:space="preserve"> River</w:t>
      </w:r>
      <w:r w:rsidRPr="00E078BB">
        <w:rPr>
          <w:rFonts w:ascii="Century Gothic" w:hAnsi="Century Gothic"/>
        </w:rPr>
        <w:t xml:space="preserve"> at </w:t>
      </w:r>
      <w:proofErr w:type="spellStart"/>
      <w:r w:rsidRPr="00E078BB">
        <w:rPr>
          <w:rFonts w:ascii="Century Gothic" w:hAnsi="Century Gothic"/>
        </w:rPr>
        <w:t>McCoys</w:t>
      </w:r>
      <w:proofErr w:type="spellEnd"/>
      <w:r w:rsidRPr="00E078BB">
        <w:rPr>
          <w:rFonts w:ascii="Century Gothic" w:hAnsi="Century Gothic"/>
        </w:rPr>
        <w:t xml:space="preserve"> Bridge, showing the contribution of Commonwealth environmental water and partners, and the timing and duration of flows</w:t>
      </w:r>
    </w:p>
    <w:p w:rsidR="00C90205" w:rsidRDefault="00C90205" w:rsidP="00590E52">
      <w:pPr>
        <w:spacing w:after="0"/>
        <w:jc w:val="left"/>
        <w:rPr>
          <w:rFonts w:ascii="Century Gothic" w:hAnsi="Century Gothic" w:cs="Arial"/>
          <w:b/>
        </w:rPr>
      </w:pPr>
    </w:p>
    <w:p w:rsidR="00C90205" w:rsidRDefault="00C90205">
      <w:pPr>
        <w:spacing w:after="0"/>
        <w:jc w:val="left"/>
        <w:rPr>
          <w:rFonts w:ascii="Century Gothic" w:hAnsi="Century Gothic" w:cs="Arial"/>
          <w:b/>
        </w:rPr>
      </w:pPr>
      <w:r>
        <w:rPr>
          <w:rFonts w:ascii="Century Gothic" w:hAnsi="Century Gothic" w:cs="Arial"/>
          <w:b/>
        </w:rPr>
        <w:br w:type="page"/>
      </w:r>
    </w:p>
    <w:p w:rsidR="0097035C" w:rsidRDefault="00E47462" w:rsidP="005539CE">
      <w:pPr>
        <w:pStyle w:val="Heading1"/>
        <w:numPr>
          <w:ilvl w:val="0"/>
          <w:numId w:val="0"/>
        </w:numPr>
        <w:spacing w:before="240" w:after="240"/>
        <w:jc w:val="left"/>
        <w:rPr>
          <w:rFonts w:cs="Times New Roman"/>
          <w:caps w:val="0"/>
          <w:color w:val="5F497A" w:themeColor="accent4" w:themeShade="BF"/>
          <w:sz w:val="40"/>
          <w:szCs w:val="40"/>
          <w:lang w:val="en-GB" w:eastAsia="en-US"/>
        </w:rPr>
      </w:pPr>
      <w:bookmarkStart w:id="80" w:name="_Toc422389638"/>
      <w:r w:rsidRPr="005539CE">
        <w:rPr>
          <w:rFonts w:cs="Times New Roman"/>
          <w:caps w:val="0"/>
          <w:color w:val="5F497A" w:themeColor="accent4" w:themeShade="BF"/>
          <w:sz w:val="40"/>
          <w:szCs w:val="40"/>
          <w:lang w:val="en-GB" w:eastAsia="en-US"/>
        </w:rPr>
        <w:lastRenderedPageBreak/>
        <w:t>Attachment A</w:t>
      </w:r>
      <w:r w:rsidR="005539CE">
        <w:rPr>
          <w:rFonts w:cs="Times New Roman"/>
          <w:caps w:val="0"/>
          <w:color w:val="5F497A" w:themeColor="accent4" w:themeShade="BF"/>
          <w:sz w:val="40"/>
          <w:szCs w:val="40"/>
          <w:lang w:val="en-GB" w:eastAsia="en-US"/>
        </w:rPr>
        <w:t>:</w:t>
      </w:r>
      <w:r w:rsidRPr="005539CE">
        <w:rPr>
          <w:rFonts w:cs="Times New Roman"/>
          <w:caps w:val="0"/>
          <w:color w:val="5F497A" w:themeColor="accent4" w:themeShade="BF"/>
          <w:sz w:val="40"/>
          <w:szCs w:val="40"/>
          <w:lang w:val="en-GB" w:eastAsia="en-US"/>
        </w:rPr>
        <w:t xml:space="preserve"> </w:t>
      </w:r>
      <w:r w:rsidR="0097035C">
        <w:rPr>
          <w:rFonts w:cs="Times New Roman"/>
          <w:caps w:val="0"/>
          <w:color w:val="5F497A" w:themeColor="accent4" w:themeShade="BF"/>
          <w:sz w:val="40"/>
          <w:szCs w:val="40"/>
          <w:lang w:val="en-GB" w:eastAsia="en-US"/>
        </w:rPr>
        <w:t>Basin–wide environmental watering strategy</w:t>
      </w:r>
      <w:bookmarkEnd w:id="80"/>
    </w:p>
    <w:p w:rsidR="00E47462" w:rsidRPr="0097035C" w:rsidRDefault="0097035C" w:rsidP="0097035C">
      <w:pPr>
        <w:pStyle w:val="ListBullet"/>
        <w:numPr>
          <w:ilvl w:val="0"/>
          <w:numId w:val="0"/>
        </w:numPr>
        <w:spacing w:after="240"/>
        <w:jc w:val="left"/>
        <w:rPr>
          <w:rFonts w:ascii="Century Gothic" w:hAnsi="Century Gothic"/>
        </w:rPr>
      </w:pPr>
      <w:r w:rsidRPr="0097035C">
        <w:rPr>
          <w:rFonts w:ascii="Century Gothic" w:hAnsi="Century Gothic"/>
        </w:rPr>
        <w:t>The MDBA has identified the below list</w:t>
      </w:r>
      <w:r w:rsidR="00E47462" w:rsidRPr="0097035C">
        <w:rPr>
          <w:rFonts w:ascii="Century Gothic" w:hAnsi="Century Gothic"/>
        </w:rPr>
        <w:t xml:space="preserve"> of quantified environmental expected outcomes that can be achieved beyond 2019 </w:t>
      </w:r>
      <w:r w:rsidRPr="0097035C">
        <w:rPr>
          <w:rFonts w:ascii="Century Gothic" w:hAnsi="Century Gothic"/>
        </w:rPr>
        <w:t>through the Basin-wide environmental watering strategy</w:t>
      </w:r>
      <w:r w:rsidR="00913135">
        <w:rPr>
          <w:rFonts w:ascii="Century Gothic" w:hAnsi="Century Gothic"/>
        </w:rPr>
        <w:t xml:space="preserve"> (</w:t>
      </w:r>
      <w:hyperlink r:id="rId36" w:history="1">
        <w:r w:rsidR="00913135" w:rsidRPr="002B6397">
          <w:rPr>
            <w:rStyle w:val="Hyperlink"/>
            <w:rFonts w:ascii="Century Gothic" w:hAnsi="Century Gothic"/>
          </w:rPr>
          <w:t>http://www.mdba.gov.au/media-pubs/publications/basin-wide-environmental-watering-strategy</w:t>
        </w:r>
      </w:hyperlink>
      <w:r w:rsidR="00913135">
        <w:rPr>
          <w:rFonts w:ascii="Century Gothic" w:hAnsi="Century Gothic"/>
        </w:rPr>
        <w:t>)</w:t>
      </w:r>
      <w:r w:rsidR="00033AD2">
        <w:rPr>
          <w:rFonts w:ascii="Century Gothic" w:hAnsi="Century Gothic"/>
        </w:rPr>
        <w:t>.</w:t>
      </w:r>
    </w:p>
    <w:tbl>
      <w:tblPr>
        <w:tblStyle w:val="TableGrid"/>
        <w:tblW w:w="10349" w:type="dxa"/>
        <w:tblInd w:w="-176" w:type="dxa"/>
        <w:tblCellMar>
          <w:top w:w="85" w:type="dxa"/>
          <w:bottom w:w="85" w:type="dxa"/>
        </w:tblCellMar>
        <w:tblLook w:val="04A0"/>
      </w:tblPr>
      <w:tblGrid>
        <w:gridCol w:w="2587"/>
        <w:gridCol w:w="2587"/>
        <w:gridCol w:w="2587"/>
        <w:gridCol w:w="2588"/>
      </w:tblGrid>
      <w:tr w:rsidR="00E47462" w:rsidRPr="0097035C" w:rsidTr="00033AD2">
        <w:trPr>
          <w:cnfStyle w:val="100000000000"/>
          <w:trHeight w:val="651"/>
          <w:tblHeader/>
        </w:trPr>
        <w:tc>
          <w:tcPr>
            <w:tcW w:w="2587" w:type="dxa"/>
            <w:shd w:val="clear" w:color="auto" w:fill="B2A1C7" w:themeFill="accent4" w:themeFillTint="99"/>
            <w:vAlign w:val="center"/>
          </w:tcPr>
          <w:p w:rsidR="00E47462" w:rsidRPr="0097035C" w:rsidRDefault="00E47462" w:rsidP="005539CE">
            <w:pPr>
              <w:spacing w:before="80" w:after="80"/>
              <w:jc w:val="left"/>
              <w:rPr>
                <w:rFonts w:ascii="Century Gothic" w:hAnsi="Century Gothic" w:cs="Arial"/>
                <w:b/>
                <w:sz w:val="18"/>
                <w:szCs w:val="18"/>
              </w:rPr>
            </w:pPr>
            <w:r w:rsidRPr="0097035C">
              <w:rPr>
                <w:rFonts w:ascii="Century Gothic" w:hAnsi="Century Gothic" w:cs="Arial"/>
                <w:b/>
                <w:sz w:val="18"/>
                <w:szCs w:val="18"/>
              </w:rPr>
              <w:t>River flows and connectivity</w:t>
            </w:r>
          </w:p>
        </w:tc>
        <w:tc>
          <w:tcPr>
            <w:tcW w:w="2587" w:type="dxa"/>
            <w:shd w:val="clear" w:color="auto" w:fill="B2A1C7" w:themeFill="accent4" w:themeFillTint="99"/>
            <w:vAlign w:val="center"/>
          </w:tcPr>
          <w:p w:rsidR="00E47462" w:rsidRPr="0097035C" w:rsidRDefault="00E47462" w:rsidP="005539CE">
            <w:pPr>
              <w:spacing w:before="80" w:after="80"/>
              <w:jc w:val="left"/>
              <w:rPr>
                <w:rFonts w:ascii="Century Gothic" w:hAnsi="Century Gothic" w:cs="Arial"/>
                <w:b/>
                <w:sz w:val="18"/>
                <w:szCs w:val="18"/>
              </w:rPr>
            </w:pPr>
            <w:r w:rsidRPr="0097035C">
              <w:rPr>
                <w:rFonts w:ascii="Century Gothic" w:hAnsi="Century Gothic" w:cs="Arial"/>
                <w:b/>
                <w:sz w:val="18"/>
                <w:szCs w:val="18"/>
              </w:rPr>
              <w:t xml:space="preserve">Vegetation </w:t>
            </w:r>
          </w:p>
        </w:tc>
        <w:tc>
          <w:tcPr>
            <w:tcW w:w="2587" w:type="dxa"/>
            <w:shd w:val="clear" w:color="auto" w:fill="B2A1C7" w:themeFill="accent4" w:themeFillTint="99"/>
            <w:vAlign w:val="center"/>
          </w:tcPr>
          <w:p w:rsidR="00E47462" w:rsidRPr="0097035C" w:rsidRDefault="00E47462" w:rsidP="005539CE">
            <w:pPr>
              <w:spacing w:before="80" w:after="80"/>
              <w:jc w:val="left"/>
              <w:rPr>
                <w:rFonts w:ascii="Century Gothic" w:hAnsi="Century Gothic" w:cs="Arial"/>
                <w:b/>
                <w:sz w:val="18"/>
                <w:szCs w:val="18"/>
              </w:rPr>
            </w:pPr>
            <w:r w:rsidRPr="0097035C">
              <w:rPr>
                <w:rFonts w:ascii="Century Gothic" w:hAnsi="Century Gothic" w:cs="Arial"/>
                <w:b/>
                <w:sz w:val="18"/>
                <w:szCs w:val="18"/>
              </w:rPr>
              <w:t xml:space="preserve">Waterbirds </w:t>
            </w:r>
          </w:p>
        </w:tc>
        <w:tc>
          <w:tcPr>
            <w:tcW w:w="2588" w:type="dxa"/>
            <w:shd w:val="clear" w:color="auto" w:fill="B2A1C7" w:themeFill="accent4" w:themeFillTint="99"/>
            <w:vAlign w:val="center"/>
          </w:tcPr>
          <w:p w:rsidR="00E47462" w:rsidRPr="0097035C" w:rsidRDefault="00E47462" w:rsidP="005539CE">
            <w:pPr>
              <w:spacing w:before="80" w:after="80"/>
              <w:jc w:val="left"/>
              <w:rPr>
                <w:rFonts w:ascii="Century Gothic" w:hAnsi="Century Gothic" w:cs="Arial"/>
                <w:b/>
                <w:sz w:val="18"/>
                <w:szCs w:val="18"/>
              </w:rPr>
            </w:pPr>
            <w:r w:rsidRPr="0097035C">
              <w:rPr>
                <w:rFonts w:ascii="Century Gothic" w:hAnsi="Century Gothic" w:cs="Arial"/>
                <w:b/>
                <w:sz w:val="18"/>
                <w:szCs w:val="18"/>
              </w:rPr>
              <w:t xml:space="preserve">Fish </w:t>
            </w:r>
          </w:p>
        </w:tc>
      </w:tr>
      <w:tr w:rsidR="00E47462" w:rsidRPr="0097035C" w:rsidTr="00033AD2">
        <w:trPr>
          <w:cnfStyle w:val="000000100000"/>
          <w:trHeight w:val="1326"/>
        </w:trPr>
        <w:tc>
          <w:tcPr>
            <w:tcW w:w="2587" w:type="dxa"/>
            <w:shd w:val="clear" w:color="auto" w:fill="B2A1C7" w:themeFill="accent4" w:themeFillTint="99"/>
            <w:vAlign w:val="center"/>
          </w:tcPr>
          <w:p w:rsidR="00E47462" w:rsidRPr="0097035C" w:rsidRDefault="00E47462" w:rsidP="005539CE">
            <w:pPr>
              <w:spacing w:before="80" w:after="80"/>
              <w:jc w:val="left"/>
              <w:rPr>
                <w:rFonts w:ascii="Century Gothic" w:hAnsi="Century Gothic" w:cs="Arial"/>
                <w:b/>
                <w:sz w:val="18"/>
                <w:szCs w:val="18"/>
              </w:rPr>
            </w:pPr>
            <w:r w:rsidRPr="0097035C">
              <w:rPr>
                <w:rFonts w:ascii="Century Gothic" w:hAnsi="Century Gothic" w:cs="Arial"/>
                <w:b/>
                <w:sz w:val="18"/>
                <w:szCs w:val="18"/>
              </w:rPr>
              <w:t xml:space="preserve">Improve connections along rivers and between rivers and their floodplains </w:t>
            </w:r>
          </w:p>
        </w:tc>
        <w:tc>
          <w:tcPr>
            <w:tcW w:w="2587" w:type="dxa"/>
            <w:shd w:val="clear" w:color="auto" w:fill="B2A1C7" w:themeFill="accent4" w:themeFillTint="99"/>
            <w:vAlign w:val="center"/>
          </w:tcPr>
          <w:p w:rsidR="00E47462" w:rsidRPr="0097035C" w:rsidRDefault="00E47462" w:rsidP="005539CE">
            <w:pPr>
              <w:spacing w:before="80" w:after="80"/>
              <w:jc w:val="left"/>
              <w:rPr>
                <w:rFonts w:ascii="Century Gothic" w:hAnsi="Century Gothic" w:cs="Arial"/>
                <w:b/>
                <w:sz w:val="18"/>
                <w:szCs w:val="18"/>
              </w:rPr>
            </w:pPr>
            <w:r w:rsidRPr="0097035C">
              <w:rPr>
                <w:rFonts w:ascii="Century Gothic" w:hAnsi="Century Gothic" w:cs="Arial"/>
                <w:b/>
                <w:sz w:val="18"/>
                <w:szCs w:val="18"/>
              </w:rPr>
              <w:t xml:space="preserve">Maintain the extent and improve the condition </w:t>
            </w:r>
          </w:p>
        </w:tc>
        <w:tc>
          <w:tcPr>
            <w:tcW w:w="2587" w:type="dxa"/>
            <w:shd w:val="clear" w:color="auto" w:fill="B2A1C7" w:themeFill="accent4" w:themeFillTint="99"/>
            <w:vAlign w:val="center"/>
          </w:tcPr>
          <w:p w:rsidR="00E47462" w:rsidRPr="0097035C" w:rsidRDefault="00E47462" w:rsidP="005539CE">
            <w:pPr>
              <w:spacing w:before="80" w:after="80"/>
              <w:jc w:val="left"/>
              <w:rPr>
                <w:rFonts w:ascii="Century Gothic" w:hAnsi="Century Gothic" w:cs="Arial"/>
                <w:b/>
                <w:sz w:val="18"/>
                <w:szCs w:val="18"/>
              </w:rPr>
            </w:pPr>
            <w:r w:rsidRPr="0097035C">
              <w:rPr>
                <w:rStyle w:val="Strong"/>
                <w:rFonts w:ascii="Century Gothic" w:hAnsi="Century Gothic"/>
                <w:sz w:val="18"/>
                <w:szCs w:val="18"/>
              </w:rPr>
              <w:t xml:space="preserve">Maintain current species diversity, improve breeding success and numbers </w:t>
            </w:r>
          </w:p>
        </w:tc>
        <w:tc>
          <w:tcPr>
            <w:tcW w:w="2588" w:type="dxa"/>
            <w:shd w:val="clear" w:color="auto" w:fill="B2A1C7" w:themeFill="accent4" w:themeFillTint="99"/>
            <w:vAlign w:val="center"/>
          </w:tcPr>
          <w:p w:rsidR="00E47462" w:rsidRPr="0097035C" w:rsidRDefault="00E47462" w:rsidP="005539CE">
            <w:pPr>
              <w:spacing w:before="80" w:after="80"/>
              <w:jc w:val="left"/>
              <w:rPr>
                <w:rFonts w:ascii="Century Gothic" w:hAnsi="Century Gothic" w:cs="Arial"/>
                <w:b/>
                <w:sz w:val="18"/>
                <w:szCs w:val="18"/>
              </w:rPr>
            </w:pPr>
            <w:r w:rsidRPr="0097035C">
              <w:rPr>
                <w:rFonts w:ascii="Century Gothic" w:hAnsi="Century Gothic" w:cs="Arial"/>
                <w:b/>
                <w:sz w:val="18"/>
                <w:szCs w:val="18"/>
              </w:rPr>
              <w:t>Maintain current species diversity, extend distributions, improve breeding success and numbers</w:t>
            </w:r>
          </w:p>
        </w:tc>
      </w:tr>
      <w:tr w:rsidR="00E47462" w:rsidRPr="0097035C" w:rsidTr="00033AD2">
        <w:trPr>
          <w:cnfStyle w:val="000000010000"/>
          <w:trHeight w:val="8387"/>
        </w:trPr>
        <w:tc>
          <w:tcPr>
            <w:tcW w:w="2587" w:type="dxa"/>
          </w:tcPr>
          <w:p w:rsidR="00E47462" w:rsidRPr="0097035C" w:rsidRDefault="00E47462" w:rsidP="005539CE">
            <w:pPr>
              <w:spacing w:before="40" w:after="40"/>
              <w:jc w:val="left"/>
              <w:rPr>
                <w:rFonts w:ascii="Century Gothic" w:hAnsi="Century Gothic"/>
                <w:b/>
                <w:sz w:val="18"/>
                <w:szCs w:val="18"/>
                <w:lang w:val="en-GB"/>
              </w:rPr>
            </w:pPr>
            <w:r w:rsidRPr="0097035C">
              <w:rPr>
                <w:rFonts w:ascii="Century Gothic" w:hAnsi="Century Gothic"/>
                <w:b/>
                <w:sz w:val="18"/>
                <w:szCs w:val="18"/>
                <w:lang w:val="en-GB"/>
              </w:rPr>
              <w:t>Maintained base flows:</w:t>
            </w:r>
          </w:p>
          <w:p w:rsidR="00E47462" w:rsidRPr="0097035C" w:rsidRDefault="00E47462" w:rsidP="005539CE">
            <w:pPr>
              <w:pStyle w:val="Tablebullet"/>
              <w:spacing w:before="40" w:after="40"/>
              <w:rPr>
                <w:rFonts w:ascii="Century Gothic" w:hAnsi="Century Gothic"/>
                <w:sz w:val="18"/>
                <w:szCs w:val="18"/>
              </w:rPr>
            </w:pPr>
            <w:r w:rsidRPr="0097035C">
              <w:rPr>
                <w:rFonts w:ascii="Century Gothic" w:hAnsi="Century Gothic"/>
                <w:sz w:val="18"/>
                <w:szCs w:val="18"/>
              </w:rPr>
              <w:t>at least 60</w:t>
            </w:r>
            <w:r w:rsidR="005539CE" w:rsidRPr="0097035C">
              <w:rPr>
                <w:rFonts w:ascii="Century Gothic" w:hAnsi="Century Gothic"/>
                <w:sz w:val="18"/>
                <w:szCs w:val="18"/>
              </w:rPr>
              <w:t xml:space="preserve"> per cent</w:t>
            </w:r>
            <w:r w:rsidRPr="0097035C">
              <w:rPr>
                <w:rFonts w:ascii="Century Gothic" w:hAnsi="Century Gothic"/>
                <w:sz w:val="18"/>
                <w:szCs w:val="18"/>
              </w:rPr>
              <w:t xml:space="preserve"> of natural levels</w:t>
            </w:r>
          </w:p>
          <w:p w:rsidR="00E47462" w:rsidRPr="0097035C" w:rsidRDefault="00E47462" w:rsidP="005539CE">
            <w:pPr>
              <w:spacing w:before="40" w:after="40"/>
              <w:jc w:val="left"/>
              <w:rPr>
                <w:rFonts w:ascii="Century Gothic" w:hAnsi="Century Gothic"/>
                <w:b/>
                <w:sz w:val="18"/>
                <w:szCs w:val="18"/>
              </w:rPr>
            </w:pPr>
          </w:p>
          <w:p w:rsidR="00E47462" w:rsidRPr="0097035C" w:rsidRDefault="00E47462" w:rsidP="005539CE">
            <w:pPr>
              <w:spacing w:before="40" w:after="40"/>
              <w:jc w:val="left"/>
              <w:rPr>
                <w:rFonts w:ascii="Century Gothic" w:hAnsi="Century Gothic"/>
                <w:b/>
                <w:sz w:val="18"/>
                <w:szCs w:val="18"/>
              </w:rPr>
            </w:pPr>
            <w:r w:rsidRPr="0097035C">
              <w:rPr>
                <w:rFonts w:ascii="Century Gothic" w:hAnsi="Century Gothic"/>
                <w:b/>
                <w:sz w:val="18"/>
                <w:szCs w:val="18"/>
              </w:rPr>
              <w:t>Improved overall flow:</w:t>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10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more into the Barwon–Darling</w:t>
            </w:r>
            <w:r w:rsidRPr="0097035C">
              <w:rPr>
                <w:rFonts w:ascii="Century Gothic" w:hAnsi="Century Gothic"/>
                <w:sz w:val="18"/>
                <w:szCs w:val="18"/>
                <w:vertAlign w:val="superscript"/>
              </w:rPr>
              <w:footnoteReference w:id="2"/>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30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more into the River Murray</w:t>
            </w:r>
            <w:r w:rsidRPr="0097035C">
              <w:rPr>
                <w:rFonts w:ascii="Century Gothic" w:hAnsi="Century Gothic"/>
                <w:sz w:val="18"/>
                <w:szCs w:val="18"/>
                <w:vertAlign w:val="superscript"/>
              </w:rPr>
              <w:footnoteReference w:id="3"/>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30–40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more to the Murray mouth (and it open to the sea 90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of the time)</w:t>
            </w:r>
          </w:p>
          <w:p w:rsidR="00E47462" w:rsidRPr="0097035C" w:rsidRDefault="00E47462" w:rsidP="005539CE">
            <w:pPr>
              <w:pStyle w:val="Tablebullet"/>
              <w:numPr>
                <w:ilvl w:val="0"/>
                <w:numId w:val="0"/>
              </w:numPr>
              <w:spacing w:before="40" w:after="40"/>
              <w:ind w:left="176"/>
              <w:rPr>
                <w:rFonts w:ascii="Century Gothic" w:hAnsi="Century Gothic"/>
                <w:sz w:val="18"/>
                <w:szCs w:val="18"/>
                <w:lang w:val="en-GB"/>
              </w:rPr>
            </w:pPr>
          </w:p>
          <w:p w:rsidR="00E47462" w:rsidRPr="0097035C" w:rsidRDefault="00E47462" w:rsidP="005539CE">
            <w:pPr>
              <w:spacing w:before="40" w:after="40"/>
              <w:jc w:val="left"/>
              <w:rPr>
                <w:rFonts w:ascii="Century Gothic" w:hAnsi="Century Gothic"/>
                <w:b/>
                <w:sz w:val="18"/>
                <w:szCs w:val="18"/>
              </w:rPr>
            </w:pPr>
            <w:r w:rsidRPr="0097035C">
              <w:rPr>
                <w:rFonts w:ascii="Century Gothic" w:hAnsi="Century Gothic"/>
                <w:b/>
                <w:sz w:val="18"/>
                <w:szCs w:val="18"/>
              </w:rPr>
              <w:t>Maintained connectivity in areas where it is relatively unaffected:</w:t>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 xml:space="preserve">between rivers and floodplains in the </w:t>
            </w:r>
            <w:proofErr w:type="spellStart"/>
            <w:r w:rsidRPr="0097035C">
              <w:rPr>
                <w:rFonts w:ascii="Century Gothic" w:hAnsi="Century Gothic"/>
                <w:sz w:val="18"/>
                <w:szCs w:val="18"/>
                <w:lang w:val="en-GB"/>
              </w:rPr>
              <w:t>Paroo</w:t>
            </w:r>
            <w:proofErr w:type="spellEnd"/>
            <w:r w:rsidRPr="0097035C">
              <w:rPr>
                <w:rFonts w:ascii="Century Gothic" w:hAnsi="Century Gothic"/>
                <w:sz w:val="18"/>
                <w:szCs w:val="18"/>
                <w:lang w:val="en-GB"/>
              </w:rPr>
              <w:t xml:space="preserve">, Moonie, </w:t>
            </w:r>
            <w:proofErr w:type="spellStart"/>
            <w:r w:rsidRPr="0097035C">
              <w:rPr>
                <w:rFonts w:ascii="Century Gothic" w:hAnsi="Century Gothic"/>
                <w:sz w:val="18"/>
                <w:szCs w:val="18"/>
                <w:lang w:val="en-GB"/>
              </w:rPr>
              <w:t>Nebine</w:t>
            </w:r>
            <w:proofErr w:type="spellEnd"/>
            <w:r w:rsidRPr="0097035C">
              <w:rPr>
                <w:rFonts w:ascii="Century Gothic" w:hAnsi="Century Gothic"/>
                <w:sz w:val="18"/>
                <w:szCs w:val="18"/>
                <w:lang w:val="en-GB"/>
              </w:rPr>
              <w:t xml:space="preserve">, </w:t>
            </w:r>
            <w:proofErr w:type="spellStart"/>
            <w:r w:rsidRPr="0097035C">
              <w:rPr>
                <w:rFonts w:ascii="Century Gothic" w:hAnsi="Century Gothic"/>
                <w:sz w:val="18"/>
                <w:szCs w:val="18"/>
                <w:lang w:val="en-GB"/>
              </w:rPr>
              <w:t>Warrego</w:t>
            </w:r>
            <w:proofErr w:type="spellEnd"/>
            <w:r w:rsidRPr="0097035C">
              <w:rPr>
                <w:rFonts w:ascii="Century Gothic" w:hAnsi="Century Gothic"/>
                <w:sz w:val="18"/>
                <w:szCs w:val="18"/>
                <w:lang w:val="en-GB"/>
              </w:rPr>
              <w:t xml:space="preserve"> and Ovens</w:t>
            </w:r>
          </w:p>
          <w:p w:rsidR="00E47462" w:rsidRPr="0097035C" w:rsidRDefault="00E47462" w:rsidP="005539CE">
            <w:pPr>
              <w:pStyle w:val="Tablebullet"/>
              <w:numPr>
                <w:ilvl w:val="0"/>
                <w:numId w:val="0"/>
              </w:numPr>
              <w:spacing w:before="40" w:after="40"/>
              <w:ind w:left="176"/>
              <w:rPr>
                <w:rFonts w:ascii="Century Gothic" w:hAnsi="Century Gothic"/>
                <w:sz w:val="18"/>
                <w:szCs w:val="18"/>
                <w:lang w:val="en-GB"/>
              </w:rPr>
            </w:pPr>
          </w:p>
          <w:p w:rsidR="00E47462" w:rsidRPr="0097035C" w:rsidRDefault="00E47462" w:rsidP="005539CE">
            <w:pPr>
              <w:spacing w:before="40" w:after="40"/>
              <w:jc w:val="left"/>
              <w:rPr>
                <w:rFonts w:ascii="Century Gothic" w:hAnsi="Century Gothic"/>
                <w:b/>
                <w:sz w:val="18"/>
                <w:szCs w:val="18"/>
              </w:rPr>
            </w:pPr>
            <w:r w:rsidRPr="0097035C">
              <w:rPr>
                <w:rFonts w:ascii="Century Gothic" w:hAnsi="Century Gothic"/>
                <w:b/>
                <w:sz w:val="18"/>
                <w:szCs w:val="18"/>
              </w:rPr>
              <w:t xml:space="preserve">Improved connectivity with bank-full and/or low floodplain flows: </w:t>
            </w:r>
          </w:p>
          <w:p w:rsidR="00E47462" w:rsidRPr="0097035C" w:rsidRDefault="00E47462" w:rsidP="005539CE">
            <w:pPr>
              <w:pStyle w:val="Tablebullet"/>
              <w:spacing w:before="40" w:after="40"/>
              <w:rPr>
                <w:rFonts w:ascii="Century Gothic" w:hAnsi="Century Gothic"/>
                <w:sz w:val="18"/>
                <w:szCs w:val="18"/>
              </w:rPr>
            </w:pPr>
            <w:r w:rsidRPr="0097035C">
              <w:rPr>
                <w:rFonts w:ascii="Century Gothic" w:hAnsi="Century Gothic"/>
                <w:sz w:val="18"/>
                <w:szCs w:val="18"/>
                <w:lang w:val="en-GB"/>
              </w:rPr>
              <w:t>by 30–60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in the Murray, </w:t>
            </w:r>
            <w:proofErr w:type="spellStart"/>
            <w:r w:rsidRPr="0097035C">
              <w:rPr>
                <w:rFonts w:ascii="Century Gothic" w:hAnsi="Century Gothic"/>
                <w:sz w:val="18"/>
                <w:szCs w:val="18"/>
                <w:lang w:val="en-GB"/>
              </w:rPr>
              <w:t>Murrumbidgee</w:t>
            </w:r>
            <w:proofErr w:type="spellEnd"/>
            <w:r w:rsidRPr="0097035C">
              <w:rPr>
                <w:rFonts w:ascii="Century Gothic" w:hAnsi="Century Gothic"/>
                <w:sz w:val="18"/>
                <w:szCs w:val="18"/>
                <w:lang w:val="en-GB"/>
              </w:rPr>
              <w:t xml:space="preserve">, </w:t>
            </w:r>
            <w:proofErr w:type="spellStart"/>
            <w:r w:rsidRPr="0097035C">
              <w:rPr>
                <w:rFonts w:ascii="Century Gothic" w:hAnsi="Century Gothic"/>
                <w:sz w:val="18"/>
                <w:szCs w:val="18"/>
                <w:lang w:val="en-GB"/>
              </w:rPr>
              <w:t>Goulburn</w:t>
            </w:r>
            <w:proofErr w:type="spellEnd"/>
            <w:r w:rsidRPr="0097035C">
              <w:rPr>
                <w:rFonts w:ascii="Century Gothic" w:hAnsi="Century Gothic"/>
                <w:sz w:val="18"/>
                <w:szCs w:val="18"/>
                <w:lang w:val="en-GB"/>
              </w:rPr>
              <w:t xml:space="preserve"> and </w:t>
            </w:r>
            <w:proofErr w:type="spellStart"/>
            <w:r w:rsidRPr="0097035C">
              <w:rPr>
                <w:rFonts w:ascii="Century Gothic" w:hAnsi="Century Gothic"/>
                <w:sz w:val="18"/>
                <w:szCs w:val="18"/>
                <w:lang w:val="en-GB"/>
              </w:rPr>
              <w:t>Condamine–Balonne</w:t>
            </w:r>
            <w:proofErr w:type="spellEnd"/>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by 10–20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in remaining catchments</w:t>
            </w:r>
            <w:r w:rsidRPr="0097035C">
              <w:rPr>
                <w:rFonts w:ascii="Century Gothic" w:hAnsi="Century Gothic"/>
                <w:sz w:val="18"/>
                <w:szCs w:val="18"/>
                <w:vertAlign w:val="superscript"/>
              </w:rPr>
              <w:footnoteReference w:id="4"/>
            </w:r>
          </w:p>
          <w:p w:rsidR="00E47462" w:rsidRPr="0097035C" w:rsidRDefault="00E47462" w:rsidP="005539CE">
            <w:pPr>
              <w:spacing w:before="40" w:after="40"/>
              <w:jc w:val="left"/>
              <w:rPr>
                <w:rFonts w:ascii="Century Gothic" w:hAnsi="Century Gothic"/>
                <w:b/>
                <w:sz w:val="18"/>
                <w:szCs w:val="18"/>
                <w:lang w:val="en-GB"/>
              </w:rPr>
            </w:pPr>
          </w:p>
          <w:p w:rsidR="00E47462" w:rsidRPr="0097035C" w:rsidRDefault="00E47462" w:rsidP="005539CE">
            <w:pPr>
              <w:spacing w:before="40" w:after="40"/>
              <w:jc w:val="left"/>
              <w:rPr>
                <w:rFonts w:ascii="Century Gothic" w:hAnsi="Century Gothic"/>
                <w:b/>
                <w:sz w:val="18"/>
                <w:szCs w:val="18"/>
                <w:lang w:val="en-GB"/>
              </w:rPr>
            </w:pPr>
            <w:r w:rsidRPr="0097035C">
              <w:rPr>
                <w:rFonts w:ascii="Century Gothic" w:hAnsi="Century Gothic"/>
                <w:b/>
                <w:sz w:val="18"/>
                <w:szCs w:val="18"/>
                <w:lang w:val="en-GB"/>
              </w:rPr>
              <w:t xml:space="preserve">Maintain the Lower Lakes above sea level </w:t>
            </w:r>
          </w:p>
        </w:tc>
        <w:tc>
          <w:tcPr>
            <w:tcW w:w="2587" w:type="dxa"/>
          </w:tcPr>
          <w:p w:rsidR="00E47462" w:rsidRPr="0097035C" w:rsidRDefault="00E47462" w:rsidP="005539CE">
            <w:pPr>
              <w:spacing w:before="40" w:after="40"/>
              <w:jc w:val="left"/>
              <w:rPr>
                <w:rFonts w:ascii="Century Gothic" w:hAnsi="Century Gothic"/>
                <w:b/>
                <w:sz w:val="18"/>
                <w:szCs w:val="18"/>
                <w:lang w:val="en-GB"/>
              </w:rPr>
            </w:pPr>
            <w:r w:rsidRPr="0097035C">
              <w:rPr>
                <w:rFonts w:ascii="Century Gothic" w:hAnsi="Century Gothic"/>
                <w:b/>
                <w:sz w:val="18"/>
                <w:szCs w:val="18"/>
                <w:lang w:val="en-GB"/>
              </w:rPr>
              <w:t>Maintenance of the current extent of:</w:t>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about 360,000 hectares of river red gum; 409,000 ha of black box; 310,000 ha of coolibah forest and woodlands; and existing large communities of lignum</w:t>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non-woody communities near or in wetlands, streams and on low-lying floodplains</w:t>
            </w:r>
          </w:p>
          <w:p w:rsidR="00E47462" w:rsidRPr="0097035C" w:rsidRDefault="00E47462" w:rsidP="005539CE">
            <w:pPr>
              <w:spacing w:before="40" w:after="40"/>
              <w:jc w:val="left"/>
              <w:rPr>
                <w:rFonts w:ascii="Century Gothic" w:hAnsi="Century Gothic"/>
                <w:b/>
                <w:sz w:val="18"/>
                <w:szCs w:val="18"/>
                <w:lang w:val="en-GB"/>
              </w:rPr>
            </w:pPr>
          </w:p>
          <w:p w:rsidR="00E47462" w:rsidRPr="0097035C" w:rsidRDefault="00E47462" w:rsidP="005539CE">
            <w:pPr>
              <w:spacing w:before="40" w:after="40"/>
              <w:jc w:val="left"/>
              <w:rPr>
                <w:rFonts w:ascii="Century Gothic" w:hAnsi="Century Gothic"/>
                <w:sz w:val="18"/>
                <w:szCs w:val="18"/>
                <w:lang w:val="en-GB"/>
              </w:rPr>
            </w:pPr>
            <w:r w:rsidRPr="0097035C">
              <w:rPr>
                <w:rFonts w:ascii="Century Gothic" w:hAnsi="Century Gothic"/>
                <w:b/>
                <w:sz w:val="18"/>
                <w:szCs w:val="18"/>
                <w:lang w:val="en-GB"/>
              </w:rPr>
              <w:t>Maintain the current condition of lowland floodplain forests and woodlands of</w:t>
            </w:r>
            <w:r w:rsidRPr="0097035C">
              <w:rPr>
                <w:rFonts w:ascii="Century Gothic" w:hAnsi="Century Gothic"/>
                <w:sz w:val="18"/>
                <w:szCs w:val="18"/>
                <w:lang w:val="en-GB"/>
              </w:rPr>
              <w:t xml:space="preserve">: </w:t>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river red gum</w:t>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 xml:space="preserve">black box </w:t>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 xml:space="preserve">coolibah </w:t>
            </w:r>
          </w:p>
          <w:p w:rsidR="00E47462" w:rsidRPr="0097035C" w:rsidRDefault="00E47462" w:rsidP="005539CE">
            <w:pPr>
              <w:spacing w:before="40" w:after="40"/>
              <w:jc w:val="left"/>
              <w:rPr>
                <w:rFonts w:ascii="Century Gothic" w:hAnsi="Century Gothic"/>
                <w:b/>
                <w:sz w:val="18"/>
                <w:szCs w:val="18"/>
                <w:lang w:val="en-GB"/>
              </w:rPr>
            </w:pPr>
          </w:p>
          <w:p w:rsidR="00E47462" w:rsidRPr="0097035C" w:rsidRDefault="00E47462" w:rsidP="005539CE">
            <w:pPr>
              <w:spacing w:before="40" w:after="40"/>
              <w:jc w:val="left"/>
              <w:rPr>
                <w:rFonts w:ascii="Century Gothic" w:hAnsi="Century Gothic"/>
                <w:b/>
                <w:sz w:val="18"/>
                <w:szCs w:val="18"/>
                <w:lang w:val="en-GB"/>
              </w:rPr>
            </w:pPr>
            <w:r w:rsidRPr="0097035C">
              <w:rPr>
                <w:rFonts w:ascii="Century Gothic" w:hAnsi="Century Gothic"/>
                <w:b/>
                <w:sz w:val="18"/>
                <w:szCs w:val="18"/>
                <w:lang w:val="en-GB"/>
              </w:rPr>
              <w:t>Improved condition</w:t>
            </w:r>
            <w:r w:rsidRPr="0097035C">
              <w:rPr>
                <w:rFonts w:ascii="Century Gothic" w:hAnsi="Century Gothic"/>
                <w:sz w:val="18"/>
                <w:szCs w:val="18"/>
                <w:lang w:val="en-GB"/>
              </w:rPr>
              <w:t xml:space="preserve"> </w:t>
            </w:r>
            <w:r w:rsidRPr="0097035C">
              <w:rPr>
                <w:rFonts w:ascii="Century Gothic" w:hAnsi="Century Gothic"/>
                <w:b/>
                <w:sz w:val="18"/>
                <w:szCs w:val="18"/>
                <w:lang w:val="en-GB"/>
              </w:rPr>
              <w:t>of:</w:t>
            </w:r>
          </w:p>
          <w:p w:rsidR="00E47462" w:rsidRPr="0097035C" w:rsidRDefault="00E47462" w:rsidP="005539CE">
            <w:pPr>
              <w:pStyle w:val="Tablebullet"/>
              <w:spacing w:before="40" w:after="40"/>
              <w:rPr>
                <w:rFonts w:ascii="Century Gothic" w:hAnsi="Century Gothic"/>
                <w:sz w:val="18"/>
                <w:szCs w:val="18"/>
              </w:rPr>
            </w:pPr>
            <w:r w:rsidRPr="0097035C">
              <w:rPr>
                <w:rFonts w:ascii="Century Gothic" w:hAnsi="Century Gothic"/>
                <w:sz w:val="18"/>
                <w:szCs w:val="18"/>
                <w:lang w:val="en-GB"/>
              </w:rPr>
              <w:t>southern river red gum</w:t>
            </w:r>
          </w:p>
        </w:tc>
        <w:tc>
          <w:tcPr>
            <w:tcW w:w="2587" w:type="dxa"/>
          </w:tcPr>
          <w:p w:rsidR="00E47462" w:rsidRPr="0097035C" w:rsidRDefault="00E47462" w:rsidP="005539CE">
            <w:pPr>
              <w:spacing w:before="40" w:after="40"/>
              <w:jc w:val="left"/>
              <w:rPr>
                <w:rFonts w:ascii="Century Gothic" w:hAnsi="Century Gothic"/>
                <w:b/>
                <w:sz w:val="18"/>
                <w:szCs w:val="18"/>
                <w:lang w:val="en-GB"/>
              </w:rPr>
            </w:pPr>
            <w:r w:rsidRPr="0097035C">
              <w:rPr>
                <w:rFonts w:ascii="Century Gothic" w:hAnsi="Century Gothic"/>
                <w:b/>
                <w:sz w:val="18"/>
                <w:szCs w:val="18"/>
                <w:lang w:val="en-GB"/>
              </w:rPr>
              <w:t>Maintained current species diversity of:</w:t>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 xml:space="preserve">all current Basin waterbirds </w:t>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current migratory shorebirds at the Coorong</w:t>
            </w:r>
          </w:p>
          <w:p w:rsidR="00E47462" w:rsidRPr="0097035C" w:rsidRDefault="00E47462" w:rsidP="005539CE">
            <w:pPr>
              <w:pStyle w:val="Tablebullet"/>
              <w:numPr>
                <w:ilvl w:val="0"/>
                <w:numId w:val="0"/>
              </w:numPr>
              <w:spacing w:before="40" w:after="40"/>
              <w:ind w:left="175"/>
              <w:rPr>
                <w:rFonts w:ascii="Century Gothic" w:hAnsi="Century Gothic"/>
                <w:sz w:val="18"/>
                <w:szCs w:val="18"/>
                <w:lang w:val="en-GB"/>
              </w:rPr>
            </w:pPr>
          </w:p>
          <w:p w:rsidR="00E47462" w:rsidRPr="0097035C" w:rsidRDefault="00E47462" w:rsidP="005539CE">
            <w:pPr>
              <w:spacing w:before="40" w:after="40"/>
              <w:jc w:val="left"/>
              <w:rPr>
                <w:rFonts w:ascii="Century Gothic" w:hAnsi="Century Gothic"/>
                <w:b/>
                <w:sz w:val="18"/>
                <w:szCs w:val="18"/>
                <w:lang w:val="en-GB"/>
              </w:rPr>
            </w:pPr>
            <w:r w:rsidRPr="0097035C">
              <w:rPr>
                <w:rFonts w:ascii="Century Gothic" w:hAnsi="Century Gothic"/>
                <w:b/>
                <w:sz w:val="18"/>
                <w:szCs w:val="18"/>
                <w:lang w:val="en-GB"/>
              </w:rPr>
              <w:t>Increased abundance:</w:t>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20–25</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increase in waterbirds by 2024</w:t>
            </w:r>
          </w:p>
          <w:p w:rsidR="00E47462" w:rsidRPr="0097035C" w:rsidRDefault="00E47462" w:rsidP="005539CE">
            <w:pPr>
              <w:pStyle w:val="Tablebullet"/>
              <w:numPr>
                <w:ilvl w:val="0"/>
                <w:numId w:val="0"/>
              </w:numPr>
              <w:spacing w:before="40" w:after="40"/>
              <w:ind w:left="176"/>
              <w:rPr>
                <w:rFonts w:ascii="Century Gothic" w:hAnsi="Century Gothic"/>
                <w:sz w:val="18"/>
                <w:szCs w:val="18"/>
              </w:rPr>
            </w:pPr>
          </w:p>
          <w:p w:rsidR="00E47462" w:rsidRPr="0097035C" w:rsidRDefault="00E47462" w:rsidP="005539CE">
            <w:pPr>
              <w:spacing w:before="40" w:after="40"/>
              <w:jc w:val="left"/>
              <w:rPr>
                <w:rFonts w:ascii="Century Gothic" w:hAnsi="Century Gothic"/>
                <w:b/>
                <w:sz w:val="18"/>
                <w:szCs w:val="18"/>
              </w:rPr>
            </w:pPr>
            <w:r w:rsidRPr="0097035C">
              <w:rPr>
                <w:rFonts w:ascii="Century Gothic" w:hAnsi="Century Gothic"/>
                <w:b/>
                <w:sz w:val="18"/>
                <w:szCs w:val="18"/>
              </w:rPr>
              <w:t xml:space="preserve">Improved </w:t>
            </w:r>
            <w:r w:rsidRPr="0097035C">
              <w:rPr>
                <w:rFonts w:ascii="Century Gothic" w:hAnsi="Century Gothic"/>
                <w:b/>
                <w:sz w:val="18"/>
                <w:szCs w:val="18"/>
                <w:lang w:val="en-GB"/>
              </w:rPr>
              <w:t>breeding:</w:t>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up to 50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more breeding events for colonial nesting waterbird species</w:t>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a 30–40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increase in nests and broods for other waterbirds</w:t>
            </w:r>
          </w:p>
        </w:tc>
        <w:tc>
          <w:tcPr>
            <w:tcW w:w="2588" w:type="dxa"/>
          </w:tcPr>
          <w:p w:rsidR="00E47462" w:rsidRPr="0097035C" w:rsidRDefault="00E47462" w:rsidP="005539CE">
            <w:pPr>
              <w:spacing w:before="40" w:after="40"/>
              <w:jc w:val="left"/>
              <w:rPr>
                <w:rFonts w:ascii="Century Gothic" w:hAnsi="Century Gothic"/>
                <w:b/>
                <w:sz w:val="18"/>
                <w:szCs w:val="18"/>
              </w:rPr>
            </w:pPr>
            <w:r w:rsidRPr="0097035C">
              <w:rPr>
                <w:rFonts w:ascii="Century Gothic" w:hAnsi="Century Gothic"/>
                <w:b/>
                <w:sz w:val="18"/>
                <w:szCs w:val="18"/>
              </w:rPr>
              <w:t>Improved distribution:</w:t>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of key short and long-lived fish species across the Basin</w:t>
            </w:r>
          </w:p>
          <w:p w:rsidR="00E47462" w:rsidRPr="0097035C" w:rsidRDefault="00E47462" w:rsidP="005539CE">
            <w:pPr>
              <w:pStyle w:val="Tablebullet"/>
              <w:numPr>
                <w:ilvl w:val="0"/>
                <w:numId w:val="0"/>
              </w:numPr>
              <w:spacing w:before="40" w:after="40"/>
              <w:ind w:left="176"/>
              <w:rPr>
                <w:rFonts w:ascii="Century Gothic" w:hAnsi="Century Gothic"/>
                <w:sz w:val="18"/>
                <w:szCs w:val="18"/>
                <w:lang w:val="en-GB"/>
              </w:rPr>
            </w:pPr>
          </w:p>
          <w:p w:rsidR="00E47462" w:rsidRPr="0097035C" w:rsidRDefault="00E47462" w:rsidP="005539CE">
            <w:pPr>
              <w:spacing w:before="40" w:after="40"/>
              <w:jc w:val="left"/>
              <w:rPr>
                <w:rFonts w:ascii="Century Gothic" w:hAnsi="Century Gothic"/>
                <w:b/>
                <w:sz w:val="18"/>
                <w:szCs w:val="18"/>
              </w:rPr>
            </w:pPr>
            <w:r w:rsidRPr="0097035C">
              <w:rPr>
                <w:rFonts w:ascii="Century Gothic" w:hAnsi="Century Gothic"/>
                <w:b/>
                <w:sz w:val="18"/>
                <w:szCs w:val="18"/>
              </w:rPr>
              <w:t>Improved breeding success for:</w:t>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short-lived species (every 1–2 years)</w:t>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long-lived species in at least 8/10 years at 80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of key sites </w:t>
            </w:r>
          </w:p>
          <w:p w:rsidR="00E47462" w:rsidRPr="0097035C" w:rsidRDefault="00E47462" w:rsidP="005539CE">
            <w:pPr>
              <w:pStyle w:val="Tablebullet"/>
              <w:spacing w:before="40" w:after="40"/>
              <w:rPr>
                <w:rFonts w:ascii="Century Gothic" w:hAnsi="Century Gothic"/>
                <w:sz w:val="18"/>
                <w:szCs w:val="18"/>
                <w:lang w:val="en-GB"/>
              </w:rPr>
            </w:pPr>
            <w:proofErr w:type="spellStart"/>
            <w:r w:rsidRPr="0097035C">
              <w:rPr>
                <w:rFonts w:ascii="Century Gothic" w:hAnsi="Century Gothic"/>
                <w:sz w:val="18"/>
                <w:szCs w:val="18"/>
                <w:lang w:val="en-GB"/>
              </w:rPr>
              <w:t>mulloway</w:t>
            </w:r>
            <w:proofErr w:type="spellEnd"/>
            <w:r w:rsidRPr="0097035C">
              <w:rPr>
                <w:rFonts w:ascii="Century Gothic" w:hAnsi="Century Gothic"/>
                <w:sz w:val="18"/>
                <w:szCs w:val="18"/>
                <w:lang w:val="en-GB"/>
              </w:rPr>
              <w:t xml:space="preserve"> in at least 5/10 years</w:t>
            </w:r>
          </w:p>
          <w:p w:rsidR="00E47462" w:rsidRPr="0097035C" w:rsidRDefault="00E47462" w:rsidP="005539CE">
            <w:pPr>
              <w:pStyle w:val="Tablebullet"/>
              <w:numPr>
                <w:ilvl w:val="0"/>
                <w:numId w:val="0"/>
              </w:numPr>
              <w:spacing w:before="40" w:after="40"/>
              <w:ind w:left="176"/>
              <w:rPr>
                <w:rFonts w:ascii="Century Gothic" w:hAnsi="Century Gothic"/>
                <w:sz w:val="18"/>
                <w:szCs w:val="18"/>
                <w:lang w:val="en-GB"/>
              </w:rPr>
            </w:pPr>
          </w:p>
          <w:p w:rsidR="00E47462" w:rsidRPr="0097035C" w:rsidRDefault="00E47462" w:rsidP="005539CE">
            <w:pPr>
              <w:spacing w:before="40" w:after="40"/>
              <w:jc w:val="left"/>
              <w:rPr>
                <w:rFonts w:ascii="Century Gothic" w:hAnsi="Century Gothic"/>
                <w:b/>
                <w:sz w:val="18"/>
                <w:szCs w:val="18"/>
              </w:rPr>
            </w:pPr>
            <w:r w:rsidRPr="0097035C">
              <w:rPr>
                <w:rFonts w:ascii="Century Gothic" w:hAnsi="Century Gothic"/>
                <w:b/>
                <w:sz w:val="18"/>
                <w:szCs w:val="18"/>
              </w:rPr>
              <w:t>Improved populations of:</w:t>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short-lived species (numbers at pre-2007 levels)</w:t>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long-lived species (with a spread of age classes represented)</w:t>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Murray cod and golden perch (10–15</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more mature fish at key sites)</w:t>
            </w:r>
          </w:p>
          <w:p w:rsidR="00E47462" w:rsidRPr="0097035C" w:rsidRDefault="00E47462" w:rsidP="005539CE">
            <w:pPr>
              <w:spacing w:before="40" w:after="40"/>
              <w:jc w:val="left"/>
              <w:rPr>
                <w:rFonts w:ascii="Century Gothic" w:hAnsi="Century Gothic"/>
                <w:b/>
                <w:sz w:val="18"/>
                <w:szCs w:val="18"/>
                <w:lang w:val="en-GB"/>
              </w:rPr>
            </w:pPr>
          </w:p>
          <w:p w:rsidR="00E47462" w:rsidRPr="0097035C" w:rsidRDefault="00E47462" w:rsidP="005539CE">
            <w:pPr>
              <w:spacing w:before="40" w:after="40"/>
              <w:jc w:val="left"/>
              <w:rPr>
                <w:rFonts w:ascii="Century Gothic" w:hAnsi="Century Gothic"/>
                <w:sz w:val="18"/>
                <w:szCs w:val="18"/>
              </w:rPr>
            </w:pPr>
            <w:r w:rsidRPr="0097035C">
              <w:rPr>
                <w:rFonts w:ascii="Century Gothic" w:hAnsi="Century Gothic"/>
                <w:b/>
                <w:sz w:val="18"/>
                <w:szCs w:val="18"/>
                <w:lang w:val="en-GB"/>
              </w:rPr>
              <w:t>Improved movement:</w:t>
            </w:r>
          </w:p>
          <w:p w:rsidR="00E47462" w:rsidRPr="0097035C" w:rsidRDefault="00E47462" w:rsidP="005539CE">
            <w:pPr>
              <w:pStyle w:val="Tablebullet"/>
              <w:spacing w:before="40" w:after="40"/>
              <w:rPr>
                <w:rFonts w:ascii="Century Gothic" w:hAnsi="Century Gothic"/>
                <w:sz w:val="18"/>
                <w:szCs w:val="18"/>
                <w:lang w:val="en-GB"/>
              </w:rPr>
            </w:pPr>
            <w:r w:rsidRPr="0097035C">
              <w:rPr>
                <w:rFonts w:ascii="Century Gothic" w:hAnsi="Century Gothic"/>
                <w:sz w:val="18"/>
                <w:szCs w:val="18"/>
                <w:lang w:val="en-GB"/>
              </w:rPr>
              <w:t xml:space="preserve">more native fish using fish passages </w:t>
            </w:r>
          </w:p>
          <w:p w:rsidR="00E47462" w:rsidRPr="0097035C" w:rsidRDefault="00E47462" w:rsidP="005539CE">
            <w:pPr>
              <w:spacing w:before="40" w:after="40"/>
              <w:jc w:val="left"/>
              <w:rPr>
                <w:rFonts w:ascii="Century Gothic" w:hAnsi="Century Gothic"/>
                <w:sz w:val="18"/>
                <w:szCs w:val="18"/>
              </w:rPr>
            </w:pPr>
          </w:p>
        </w:tc>
      </w:tr>
    </w:tbl>
    <w:p w:rsidR="00FF0E84" w:rsidRPr="000553B3" w:rsidRDefault="00FF0E84" w:rsidP="005459C8">
      <w:pPr>
        <w:ind w:hanging="1418"/>
      </w:pPr>
    </w:p>
    <w:sectPr w:rsidR="00FF0E84" w:rsidRPr="000553B3" w:rsidSect="005C7253">
      <w:footerReference w:type="first" r:id="rId37"/>
      <w:pgSz w:w="11906" w:h="16838"/>
      <w:pgMar w:top="1077" w:right="1077" w:bottom="851" w:left="1077" w:header="425"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AD2" w:rsidRDefault="00033AD2" w:rsidP="00A60185">
      <w:pPr>
        <w:spacing w:after="0"/>
      </w:pPr>
      <w:r>
        <w:separator/>
      </w:r>
    </w:p>
  </w:endnote>
  <w:endnote w:type="continuationSeparator" w:id="0">
    <w:p w:rsidR="00033AD2" w:rsidRDefault="00033AD2" w:rsidP="00A6018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kkoPro-Regular">
    <w:altName w:val="Akko Pro Regular"/>
    <w:panose1 w:val="00000000000000000000"/>
    <w:charset w:val="4D"/>
    <w:family w:val="auto"/>
    <w:notTrueType/>
    <w:pitch w:val="default"/>
    <w:sig w:usb0="00000003" w:usb1="00000000" w:usb2="00000000" w:usb3="00000000" w:csb0="00000001" w:csb1="00000000"/>
  </w:font>
  <w:font w:name="AkkoPro-Light">
    <w:altName w:val="Akko Pro Light"/>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911009"/>
      <w:docPartObj>
        <w:docPartGallery w:val="Page Numbers (Bottom of Page)"/>
        <w:docPartUnique/>
      </w:docPartObj>
    </w:sdtPr>
    <w:sdtContent>
      <w:p w:rsidR="00033AD2" w:rsidRDefault="00D44173">
        <w:pPr>
          <w:pStyle w:val="Footer"/>
          <w:jc w:val="center"/>
        </w:pPr>
        <w:fldSimple w:instr=" PAGE   \* MERGEFORMAT ">
          <w:r w:rsidR="005B5EE3">
            <w:rPr>
              <w:noProof/>
            </w:rPr>
            <w:t>5</w:t>
          </w:r>
        </w:fldSimple>
      </w:p>
    </w:sdtContent>
  </w:sdt>
  <w:p w:rsidR="00033AD2" w:rsidRDefault="00033AD2">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AD2" w:rsidRDefault="00033AD2">
    <w:pPr>
      <w:pStyle w:val="Footer"/>
      <w:jc w:val="center"/>
    </w:pPr>
  </w:p>
  <w:p w:rsidR="00033AD2" w:rsidRDefault="00033AD2" w:rsidP="00B25195">
    <w:pPr>
      <w:pStyle w:val="Footer"/>
      <w:tabs>
        <w:tab w:val="clear" w:pos="4513"/>
        <w:tab w:val="clear" w:pos="9026"/>
        <w:tab w:val="left" w:pos="7245"/>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593611"/>
      <w:docPartObj>
        <w:docPartGallery w:val="Page Numbers (Bottom of Page)"/>
        <w:docPartUnique/>
      </w:docPartObj>
    </w:sdtPr>
    <w:sdtContent>
      <w:p w:rsidR="00033AD2" w:rsidRDefault="00D44173">
        <w:pPr>
          <w:pStyle w:val="Footer"/>
          <w:jc w:val="center"/>
        </w:pPr>
      </w:p>
    </w:sdtContent>
  </w:sdt>
  <w:p w:rsidR="00033AD2" w:rsidRDefault="00033AD2" w:rsidP="00B25195">
    <w:pPr>
      <w:pStyle w:val="Footer"/>
      <w:tabs>
        <w:tab w:val="clear" w:pos="4513"/>
        <w:tab w:val="clear" w:pos="9026"/>
        <w:tab w:val="left" w:pos="724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AD2" w:rsidRDefault="00033AD2" w:rsidP="00A60185">
      <w:pPr>
        <w:spacing w:after="0"/>
      </w:pPr>
      <w:r>
        <w:separator/>
      </w:r>
    </w:p>
  </w:footnote>
  <w:footnote w:type="continuationSeparator" w:id="0">
    <w:p w:rsidR="00033AD2" w:rsidRDefault="00033AD2" w:rsidP="00A60185">
      <w:pPr>
        <w:spacing w:after="0"/>
      </w:pPr>
      <w:r>
        <w:continuationSeparator/>
      </w:r>
    </w:p>
  </w:footnote>
  <w:footnote w:id="1">
    <w:p w:rsidR="00033AD2" w:rsidRPr="007358BA" w:rsidRDefault="00033AD2" w:rsidP="00675265">
      <w:pPr>
        <w:pStyle w:val="FootnoteText"/>
        <w:rPr>
          <w:rFonts w:ascii="Century Gothic" w:hAnsi="Century Gothic"/>
          <w:sz w:val="16"/>
        </w:rPr>
      </w:pPr>
      <w:r w:rsidRPr="0093430A">
        <w:rPr>
          <w:rStyle w:val="FootnoteReference"/>
          <w:rFonts w:ascii="Century Gothic" w:hAnsi="Century Gothic"/>
          <w:sz w:val="16"/>
        </w:rPr>
        <w:footnoteRef/>
      </w:r>
      <w:r w:rsidRPr="0093430A">
        <w:rPr>
          <w:rFonts w:ascii="Century Gothic" w:hAnsi="Century Gothic"/>
          <w:sz w:val="16"/>
        </w:rPr>
        <w:t xml:space="preserve"> </w:t>
      </w:r>
      <w:r w:rsidRPr="0093430A">
        <w:rPr>
          <w:rFonts w:ascii="Century Gothic" w:hAnsi="Century Gothic"/>
          <w:i/>
          <w:iCs/>
          <w:sz w:val="16"/>
        </w:rPr>
        <w:t>Echuca Declaration</w:t>
      </w:r>
      <w:r w:rsidRPr="0093430A">
        <w:rPr>
          <w:rFonts w:ascii="Century Gothic" w:hAnsi="Century Gothic"/>
          <w:sz w:val="16"/>
        </w:rPr>
        <w:t>, as adopted by Northern Murray-Darling Basin Aboriginal Nations and the Murray Lower Darling Rivers Indigenous Nations on 19 May 2010.</w:t>
      </w:r>
    </w:p>
  </w:footnote>
  <w:footnote w:id="2">
    <w:p w:rsidR="00033AD2" w:rsidRPr="009117C9" w:rsidRDefault="00033AD2" w:rsidP="009117C9">
      <w:pPr>
        <w:pStyle w:val="FootnoteText"/>
        <w:jc w:val="left"/>
        <w:rPr>
          <w:rFonts w:ascii="Century Gothic" w:hAnsi="Century Gothic"/>
          <w:sz w:val="16"/>
          <w:szCs w:val="16"/>
        </w:rPr>
      </w:pPr>
      <w:r w:rsidRPr="009117C9">
        <w:rPr>
          <w:rStyle w:val="FootnoteReference"/>
          <w:rFonts w:ascii="Century Gothic" w:hAnsi="Century Gothic"/>
          <w:sz w:val="16"/>
          <w:szCs w:val="16"/>
        </w:rPr>
        <w:footnoteRef/>
      </w:r>
      <w:r w:rsidRPr="009117C9">
        <w:rPr>
          <w:rFonts w:ascii="Century Gothic" w:hAnsi="Century Gothic"/>
          <w:sz w:val="16"/>
          <w:szCs w:val="16"/>
        </w:rPr>
        <w:t xml:space="preserve"> Comprising tributary contributions from: Condamine–Balonne, Border Rivers, Gwydir, Namoi and Macquarie–Castlereagh</w:t>
      </w:r>
    </w:p>
  </w:footnote>
  <w:footnote w:id="3">
    <w:p w:rsidR="00033AD2" w:rsidRPr="009117C9" w:rsidRDefault="00033AD2" w:rsidP="009117C9">
      <w:pPr>
        <w:pStyle w:val="FootnoteText"/>
        <w:jc w:val="left"/>
        <w:rPr>
          <w:rFonts w:ascii="Century Gothic" w:hAnsi="Century Gothic"/>
          <w:sz w:val="16"/>
          <w:szCs w:val="16"/>
        </w:rPr>
      </w:pPr>
      <w:r w:rsidRPr="009117C9">
        <w:rPr>
          <w:rStyle w:val="FootnoteReference"/>
          <w:rFonts w:ascii="Century Gothic" w:hAnsi="Century Gothic"/>
          <w:sz w:val="16"/>
          <w:szCs w:val="16"/>
        </w:rPr>
        <w:footnoteRef/>
      </w:r>
      <w:r w:rsidRPr="009117C9">
        <w:rPr>
          <w:rFonts w:ascii="Century Gothic" w:hAnsi="Century Gothic"/>
          <w:sz w:val="16"/>
          <w:szCs w:val="16"/>
        </w:rPr>
        <w:t xml:space="preserve"> Comprising tributary contributions from: Murrumbidgee, Goulburn</w:t>
      </w:r>
      <w:r w:rsidRPr="009117C9">
        <w:rPr>
          <w:rFonts w:ascii="Century Gothic" w:hAnsi="Century Gothic" w:cs="Arial"/>
          <w:sz w:val="16"/>
          <w:szCs w:val="16"/>
        </w:rPr>
        <w:t>–</w:t>
      </w:r>
      <w:r w:rsidRPr="009117C9">
        <w:rPr>
          <w:rFonts w:ascii="Century Gothic" w:hAnsi="Century Gothic"/>
          <w:sz w:val="16"/>
          <w:szCs w:val="16"/>
        </w:rPr>
        <w:t>Broken, Campaspe, Loddon and Lower Darling</w:t>
      </w:r>
    </w:p>
  </w:footnote>
  <w:footnote w:id="4">
    <w:p w:rsidR="00033AD2" w:rsidRDefault="00033AD2" w:rsidP="009117C9">
      <w:pPr>
        <w:pStyle w:val="FootnoteText"/>
        <w:jc w:val="left"/>
      </w:pPr>
      <w:r w:rsidRPr="009117C9">
        <w:rPr>
          <w:rStyle w:val="FootnoteReference"/>
          <w:rFonts w:ascii="Century Gothic" w:hAnsi="Century Gothic"/>
          <w:sz w:val="16"/>
          <w:szCs w:val="16"/>
        </w:rPr>
        <w:footnoteRef/>
      </w:r>
      <w:r w:rsidRPr="009117C9">
        <w:rPr>
          <w:rFonts w:ascii="Century Gothic" w:hAnsi="Century Gothic"/>
          <w:sz w:val="16"/>
          <w:szCs w:val="16"/>
        </w:rPr>
        <w:t xml:space="preserve"> Border Rivers, Gwydir, Namoi, Macquarie–Castlereagh, Barwon–Darling, Lachlan, Campaspe, Loddon and Wimmera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AD2" w:rsidRDefault="00D44173" w:rsidP="00E45765">
    <w:pPr>
      <w:pStyle w:val="Classification"/>
    </w:pPr>
    <w:r>
      <w:fldChar w:fldCharType="begin"/>
    </w:r>
    <w:r w:rsidR="00033AD2">
      <w:instrText xml:space="preserve"> DOCPROPERTY SecurityClassification \* MERGEFORMAT </w:instrText>
    </w:r>
    <w:r>
      <w:fldChar w:fldCharType="separate"/>
    </w:r>
    <w:r w:rsidR="00033AD2">
      <w:rPr>
        <w:b/>
        <w:bCs/>
        <w:lang w:val="en-US"/>
      </w:rPr>
      <w:t>Error! Unknown document property name.</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232E6C0"/>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051A5DEA"/>
    <w:multiLevelType w:val="multilevel"/>
    <w:tmpl w:val="97B0C790"/>
    <w:styleLink w:val="Style2"/>
    <w:lvl w:ilvl="0">
      <w:start w:val="1"/>
      <w:numFmt w:val="decimal"/>
      <w:suff w:val="space"/>
      <w:lvlText w:val="Table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79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117A171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9452F64"/>
    <w:multiLevelType w:val="hybridMultilevel"/>
    <w:tmpl w:val="A2288A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1F745BC2"/>
    <w:multiLevelType w:val="multilevel"/>
    <w:tmpl w:val="E5E89F92"/>
    <w:numStyleLink w:val="BulletList"/>
  </w:abstractNum>
  <w:abstractNum w:abstractNumId="8">
    <w:nsid w:val="23826FB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43723538"/>
    <w:multiLevelType w:val="hybridMultilevel"/>
    <w:tmpl w:val="22462D5E"/>
    <w:lvl w:ilvl="0" w:tplc="CF3EFF5C">
      <w:start w:val="1"/>
      <w:numFmt w:val="bullet"/>
      <w:pStyle w:val="Tablebullet"/>
      <w:lvlText w:val=""/>
      <w:lvlJc w:val="left"/>
      <w:pPr>
        <w:ind w:left="754" w:hanging="360"/>
      </w:pPr>
      <w:rPr>
        <w:rFonts w:ascii="Symbol" w:hAnsi="Symbol" w:hint="default"/>
        <w:sz w:val="22"/>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2">
    <w:nsid w:val="44D303EA"/>
    <w:multiLevelType w:val="multilevel"/>
    <w:tmpl w:val="C36A4EB0"/>
    <w:styleLink w:val="Style3"/>
    <w:lvl w:ilvl="0">
      <w:start w:val="1"/>
      <w:numFmt w:val="decimal"/>
      <w:suff w:val="space"/>
      <w:lvlText w:val="Figure %1: "/>
      <w:lvlJc w:val="left"/>
      <w:pPr>
        <w:ind w:left="1021" w:hanging="102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4EA67FEE"/>
    <w:multiLevelType w:val="hybridMultilevel"/>
    <w:tmpl w:val="6E4A7B9C"/>
    <w:lvl w:ilvl="0" w:tplc="4482AF1A">
      <w:start w:val="1"/>
      <w:numFmt w:val="bullet"/>
      <w:pStyle w:val="Bullet1"/>
      <w:lvlText w:val=""/>
      <w:lvlJc w:val="left"/>
      <w:pPr>
        <w:ind w:left="720" w:hanging="360"/>
      </w:pPr>
      <w:rPr>
        <w:rFonts w:ascii="Symbol" w:hAnsi="Symbol" w:hint="default"/>
      </w:rPr>
    </w:lvl>
    <w:lvl w:ilvl="1" w:tplc="24867C52">
      <w:start w:val="1"/>
      <w:numFmt w:val="bullet"/>
      <w:lvlText w:val="o"/>
      <w:lvlJc w:val="left"/>
      <w:pPr>
        <w:ind w:left="1440" w:hanging="360"/>
      </w:pPr>
      <w:rPr>
        <w:rFonts w:ascii="Courier New" w:hAnsi="Courier New" w:cs="Courier New" w:hint="default"/>
      </w:rPr>
    </w:lvl>
    <w:lvl w:ilvl="2" w:tplc="F100177E" w:tentative="1">
      <w:start w:val="1"/>
      <w:numFmt w:val="bullet"/>
      <w:lvlText w:val=""/>
      <w:lvlJc w:val="left"/>
      <w:pPr>
        <w:ind w:left="2160" w:hanging="360"/>
      </w:pPr>
      <w:rPr>
        <w:rFonts w:ascii="Wingdings" w:hAnsi="Wingdings" w:hint="default"/>
      </w:rPr>
    </w:lvl>
    <w:lvl w:ilvl="3" w:tplc="86AACE5C" w:tentative="1">
      <w:start w:val="1"/>
      <w:numFmt w:val="bullet"/>
      <w:lvlText w:val=""/>
      <w:lvlJc w:val="left"/>
      <w:pPr>
        <w:ind w:left="2880" w:hanging="360"/>
      </w:pPr>
      <w:rPr>
        <w:rFonts w:ascii="Symbol" w:hAnsi="Symbol" w:hint="default"/>
      </w:rPr>
    </w:lvl>
    <w:lvl w:ilvl="4" w:tplc="2CAAF45A" w:tentative="1">
      <w:start w:val="1"/>
      <w:numFmt w:val="bullet"/>
      <w:lvlText w:val="o"/>
      <w:lvlJc w:val="left"/>
      <w:pPr>
        <w:ind w:left="3600" w:hanging="360"/>
      </w:pPr>
      <w:rPr>
        <w:rFonts w:ascii="Courier New" w:hAnsi="Courier New" w:cs="Courier New" w:hint="default"/>
      </w:rPr>
    </w:lvl>
    <w:lvl w:ilvl="5" w:tplc="A2004C5E" w:tentative="1">
      <w:start w:val="1"/>
      <w:numFmt w:val="bullet"/>
      <w:lvlText w:val=""/>
      <w:lvlJc w:val="left"/>
      <w:pPr>
        <w:ind w:left="4320" w:hanging="360"/>
      </w:pPr>
      <w:rPr>
        <w:rFonts w:ascii="Wingdings" w:hAnsi="Wingdings" w:hint="default"/>
      </w:rPr>
    </w:lvl>
    <w:lvl w:ilvl="6" w:tplc="014C2E10" w:tentative="1">
      <w:start w:val="1"/>
      <w:numFmt w:val="bullet"/>
      <w:lvlText w:val=""/>
      <w:lvlJc w:val="left"/>
      <w:pPr>
        <w:ind w:left="5040" w:hanging="360"/>
      </w:pPr>
      <w:rPr>
        <w:rFonts w:ascii="Symbol" w:hAnsi="Symbol" w:hint="default"/>
      </w:rPr>
    </w:lvl>
    <w:lvl w:ilvl="7" w:tplc="749033F6" w:tentative="1">
      <w:start w:val="1"/>
      <w:numFmt w:val="bullet"/>
      <w:lvlText w:val="o"/>
      <w:lvlJc w:val="left"/>
      <w:pPr>
        <w:ind w:left="5760" w:hanging="360"/>
      </w:pPr>
      <w:rPr>
        <w:rFonts w:ascii="Courier New" w:hAnsi="Courier New" w:cs="Courier New" w:hint="default"/>
      </w:rPr>
    </w:lvl>
    <w:lvl w:ilvl="8" w:tplc="CE8EC26A" w:tentative="1">
      <w:start w:val="1"/>
      <w:numFmt w:val="bullet"/>
      <w:lvlText w:val=""/>
      <w:lvlJc w:val="left"/>
      <w:pPr>
        <w:ind w:left="6480" w:hanging="360"/>
      </w:pPr>
      <w:rPr>
        <w:rFonts w:ascii="Wingdings" w:hAnsi="Wingdings" w:hint="default"/>
      </w:rPr>
    </w:lvl>
  </w:abstractNum>
  <w:abstractNum w:abstractNumId="14">
    <w:nsid w:val="51840174"/>
    <w:multiLevelType w:val="hybridMultilevel"/>
    <w:tmpl w:val="EABCEBD4"/>
    <w:lvl w:ilvl="0" w:tplc="0AEC48D2">
      <w:start w:val="1"/>
      <w:numFmt w:val="bullet"/>
      <w:lvlText w:val=""/>
      <w:lvlJc w:val="left"/>
      <w:pPr>
        <w:ind w:left="720" w:hanging="360"/>
      </w:pPr>
      <w:rPr>
        <w:rFonts w:ascii="Symbol" w:hAnsi="Symbol" w:hint="default"/>
      </w:rPr>
    </w:lvl>
    <w:lvl w:ilvl="1" w:tplc="2088863E" w:tentative="1">
      <w:start w:val="1"/>
      <w:numFmt w:val="bullet"/>
      <w:lvlText w:val="o"/>
      <w:lvlJc w:val="left"/>
      <w:pPr>
        <w:ind w:left="1440" w:hanging="360"/>
      </w:pPr>
      <w:rPr>
        <w:rFonts w:ascii="Courier New" w:hAnsi="Courier New" w:cs="Courier New" w:hint="default"/>
      </w:rPr>
    </w:lvl>
    <w:lvl w:ilvl="2" w:tplc="7CF4342C" w:tentative="1">
      <w:start w:val="1"/>
      <w:numFmt w:val="bullet"/>
      <w:lvlText w:val=""/>
      <w:lvlJc w:val="left"/>
      <w:pPr>
        <w:ind w:left="2160" w:hanging="360"/>
      </w:pPr>
      <w:rPr>
        <w:rFonts w:ascii="Wingdings" w:hAnsi="Wingdings" w:hint="default"/>
      </w:rPr>
    </w:lvl>
    <w:lvl w:ilvl="3" w:tplc="C2BC30D6" w:tentative="1">
      <w:start w:val="1"/>
      <w:numFmt w:val="bullet"/>
      <w:lvlText w:val=""/>
      <w:lvlJc w:val="left"/>
      <w:pPr>
        <w:ind w:left="2880" w:hanging="360"/>
      </w:pPr>
      <w:rPr>
        <w:rFonts w:ascii="Symbol" w:hAnsi="Symbol" w:hint="default"/>
      </w:rPr>
    </w:lvl>
    <w:lvl w:ilvl="4" w:tplc="03F8B7DC" w:tentative="1">
      <w:start w:val="1"/>
      <w:numFmt w:val="bullet"/>
      <w:lvlText w:val="o"/>
      <w:lvlJc w:val="left"/>
      <w:pPr>
        <w:ind w:left="3600" w:hanging="360"/>
      </w:pPr>
      <w:rPr>
        <w:rFonts w:ascii="Courier New" w:hAnsi="Courier New" w:cs="Courier New" w:hint="default"/>
      </w:rPr>
    </w:lvl>
    <w:lvl w:ilvl="5" w:tplc="03EA9806" w:tentative="1">
      <w:start w:val="1"/>
      <w:numFmt w:val="bullet"/>
      <w:lvlText w:val=""/>
      <w:lvlJc w:val="left"/>
      <w:pPr>
        <w:ind w:left="4320" w:hanging="360"/>
      </w:pPr>
      <w:rPr>
        <w:rFonts w:ascii="Wingdings" w:hAnsi="Wingdings" w:hint="default"/>
      </w:rPr>
    </w:lvl>
    <w:lvl w:ilvl="6" w:tplc="A47842CA" w:tentative="1">
      <w:start w:val="1"/>
      <w:numFmt w:val="bullet"/>
      <w:lvlText w:val=""/>
      <w:lvlJc w:val="left"/>
      <w:pPr>
        <w:ind w:left="5040" w:hanging="360"/>
      </w:pPr>
      <w:rPr>
        <w:rFonts w:ascii="Symbol" w:hAnsi="Symbol" w:hint="default"/>
      </w:rPr>
    </w:lvl>
    <w:lvl w:ilvl="7" w:tplc="C3F06130" w:tentative="1">
      <w:start w:val="1"/>
      <w:numFmt w:val="bullet"/>
      <w:lvlText w:val="o"/>
      <w:lvlJc w:val="left"/>
      <w:pPr>
        <w:ind w:left="5760" w:hanging="360"/>
      </w:pPr>
      <w:rPr>
        <w:rFonts w:ascii="Courier New" w:hAnsi="Courier New" w:cs="Courier New" w:hint="default"/>
      </w:rPr>
    </w:lvl>
    <w:lvl w:ilvl="8" w:tplc="DA78CA70" w:tentative="1">
      <w:start w:val="1"/>
      <w:numFmt w:val="bullet"/>
      <w:lvlText w:val=""/>
      <w:lvlJc w:val="left"/>
      <w:pPr>
        <w:ind w:left="6480" w:hanging="360"/>
      </w:pPr>
      <w:rPr>
        <w:rFonts w:ascii="Wingdings" w:hAnsi="Wingdings" w:hint="default"/>
      </w:rPr>
    </w:lvl>
  </w:abstractNum>
  <w:abstractNum w:abstractNumId="15">
    <w:nsid w:val="5942792B"/>
    <w:multiLevelType w:val="multilevel"/>
    <w:tmpl w:val="516A9FEE"/>
    <w:lvl w:ilvl="0">
      <w:start w:val="1"/>
      <w:numFmt w:val="bullet"/>
      <w:lvlText w:val="o"/>
      <w:lvlJc w:val="left"/>
      <w:pPr>
        <w:ind w:left="652" w:hanging="369"/>
      </w:pPr>
      <w:rPr>
        <w:rFonts w:ascii="Courier New" w:hAnsi="Courier New" w:cs="Courier New" w:hint="default"/>
        <w:sz w:val="22"/>
      </w:rPr>
    </w:lvl>
    <w:lvl w:ilvl="1">
      <w:start w:val="1"/>
      <w:numFmt w:val="lowerLetter"/>
      <w:lvlText w:val="%2."/>
      <w:lvlJc w:val="left"/>
      <w:pPr>
        <w:ind w:left="1021" w:hanging="369"/>
      </w:pPr>
      <w:rPr>
        <w:rFonts w:hint="default"/>
      </w:rPr>
    </w:lvl>
    <w:lvl w:ilvl="2">
      <w:start w:val="1"/>
      <w:numFmt w:val="lowerRoman"/>
      <w:lvlText w:val="%3."/>
      <w:lvlJc w:val="left"/>
      <w:pPr>
        <w:ind w:left="1390" w:hanging="369"/>
      </w:pPr>
      <w:rPr>
        <w:rFonts w:hint="default"/>
      </w:rPr>
    </w:lvl>
    <w:lvl w:ilvl="3">
      <w:start w:val="1"/>
      <w:numFmt w:val="none"/>
      <w:lvlText w:val="%4"/>
      <w:lvlJc w:val="left"/>
      <w:pPr>
        <w:ind w:left="1759" w:hanging="369"/>
      </w:pPr>
      <w:rPr>
        <w:rFonts w:hint="default"/>
      </w:rPr>
    </w:lvl>
    <w:lvl w:ilvl="4">
      <w:start w:val="1"/>
      <w:numFmt w:val="none"/>
      <w:lvlText w:val=""/>
      <w:lvlJc w:val="left"/>
      <w:pPr>
        <w:ind w:left="2128" w:hanging="369"/>
      </w:pPr>
      <w:rPr>
        <w:rFonts w:hint="default"/>
      </w:rPr>
    </w:lvl>
    <w:lvl w:ilvl="5">
      <w:start w:val="1"/>
      <w:numFmt w:val="none"/>
      <w:lvlText w:val=""/>
      <w:lvlJc w:val="left"/>
      <w:pPr>
        <w:ind w:left="2497" w:hanging="369"/>
      </w:pPr>
      <w:rPr>
        <w:rFonts w:hint="default"/>
      </w:rPr>
    </w:lvl>
    <w:lvl w:ilvl="6">
      <w:start w:val="1"/>
      <w:numFmt w:val="none"/>
      <w:lvlText w:val=""/>
      <w:lvlJc w:val="left"/>
      <w:pPr>
        <w:ind w:left="2866" w:hanging="369"/>
      </w:pPr>
      <w:rPr>
        <w:rFonts w:hint="default"/>
      </w:rPr>
    </w:lvl>
    <w:lvl w:ilvl="7">
      <w:start w:val="1"/>
      <w:numFmt w:val="none"/>
      <w:lvlText w:val=""/>
      <w:lvlJc w:val="left"/>
      <w:pPr>
        <w:ind w:left="3235" w:hanging="369"/>
      </w:pPr>
      <w:rPr>
        <w:rFonts w:hint="default"/>
      </w:rPr>
    </w:lvl>
    <w:lvl w:ilvl="8">
      <w:start w:val="1"/>
      <w:numFmt w:val="none"/>
      <w:lvlText w:val=""/>
      <w:lvlJc w:val="left"/>
      <w:pPr>
        <w:ind w:left="3604" w:hanging="369"/>
      </w:pPr>
      <w:rPr>
        <w:rFonts w:hint="default"/>
      </w:rPr>
    </w:lvl>
  </w:abstractNum>
  <w:abstractNum w:abstractNumId="16">
    <w:nsid w:val="65456429"/>
    <w:multiLevelType w:val="multilevel"/>
    <w:tmpl w:val="E898CC72"/>
    <w:numStyleLink w:val="KeyPoints"/>
  </w:abstractNum>
  <w:abstractNum w:abstractNumId="17">
    <w:nsid w:val="6B3D5593"/>
    <w:multiLevelType w:val="multilevel"/>
    <w:tmpl w:val="3CCCC3B6"/>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8">
    <w:nsid w:val="7391566E"/>
    <w:multiLevelType w:val="multilevel"/>
    <w:tmpl w:val="D57CA3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4B92D98"/>
    <w:multiLevelType w:val="hybridMultilevel"/>
    <w:tmpl w:val="C9403332"/>
    <w:lvl w:ilvl="0" w:tplc="32EC1378">
      <w:start w:val="1"/>
      <w:numFmt w:val="bullet"/>
      <w:lvlText w:val=""/>
      <w:lvlJc w:val="left"/>
      <w:pPr>
        <w:tabs>
          <w:tab w:val="num" w:pos="360"/>
        </w:tabs>
        <w:ind w:left="360" w:hanging="360"/>
      </w:pPr>
      <w:rPr>
        <w:rFonts w:ascii="Symbol" w:hAnsi="Symbol" w:hint="default"/>
      </w:rPr>
    </w:lvl>
    <w:lvl w:ilvl="1" w:tplc="5582D450">
      <w:start w:val="1"/>
      <w:numFmt w:val="bullet"/>
      <w:lvlText w:val="•"/>
      <w:lvlJc w:val="left"/>
      <w:pPr>
        <w:tabs>
          <w:tab w:val="num" w:pos="1080"/>
        </w:tabs>
        <w:ind w:left="1080" w:hanging="360"/>
      </w:pPr>
      <w:rPr>
        <w:rFonts w:ascii="Arial" w:hAnsi="Arial" w:hint="default"/>
      </w:rPr>
    </w:lvl>
    <w:lvl w:ilvl="2" w:tplc="78D2B034" w:tentative="1">
      <w:start w:val="1"/>
      <w:numFmt w:val="bullet"/>
      <w:lvlText w:val="•"/>
      <w:lvlJc w:val="left"/>
      <w:pPr>
        <w:tabs>
          <w:tab w:val="num" w:pos="1800"/>
        </w:tabs>
        <w:ind w:left="1800" w:hanging="360"/>
      </w:pPr>
      <w:rPr>
        <w:rFonts w:ascii="Arial" w:hAnsi="Arial" w:hint="default"/>
      </w:rPr>
    </w:lvl>
    <w:lvl w:ilvl="3" w:tplc="6B307ECC" w:tentative="1">
      <w:start w:val="1"/>
      <w:numFmt w:val="bullet"/>
      <w:lvlText w:val="•"/>
      <w:lvlJc w:val="left"/>
      <w:pPr>
        <w:tabs>
          <w:tab w:val="num" w:pos="2520"/>
        </w:tabs>
        <w:ind w:left="2520" w:hanging="360"/>
      </w:pPr>
      <w:rPr>
        <w:rFonts w:ascii="Arial" w:hAnsi="Arial" w:hint="default"/>
      </w:rPr>
    </w:lvl>
    <w:lvl w:ilvl="4" w:tplc="FBDE304A" w:tentative="1">
      <w:start w:val="1"/>
      <w:numFmt w:val="bullet"/>
      <w:lvlText w:val="•"/>
      <w:lvlJc w:val="left"/>
      <w:pPr>
        <w:tabs>
          <w:tab w:val="num" w:pos="3240"/>
        </w:tabs>
        <w:ind w:left="3240" w:hanging="360"/>
      </w:pPr>
      <w:rPr>
        <w:rFonts w:ascii="Arial" w:hAnsi="Arial" w:hint="default"/>
      </w:rPr>
    </w:lvl>
    <w:lvl w:ilvl="5" w:tplc="EE281564" w:tentative="1">
      <w:start w:val="1"/>
      <w:numFmt w:val="bullet"/>
      <w:lvlText w:val="•"/>
      <w:lvlJc w:val="left"/>
      <w:pPr>
        <w:tabs>
          <w:tab w:val="num" w:pos="3960"/>
        </w:tabs>
        <w:ind w:left="3960" w:hanging="360"/>
      </w:pPr>
      <w:rPr>
        <w:rFonts w:ascii="Arial" w:hAnsi="Arial" w:hint="default"/>
      </w:rPr>
    </w:lvl>
    <w:lvl w:ilvl="6" w:tplc="FD5E9A64" w:tentative="1">
      <w:start w:val="1"/>
      <w:numFmt w:val="bullet"/>
      <w:lvlText w:val="•"/>
      <w:lvlJc w:val="left"/>
      <w:pPr>
        <w:tabs>
          <w:tab w:val="num" w:pos="4680"/>
        </w:tabs>
        <w:ind w:left="4680" w:hanging="360"/>
      </w:pPr>
      <w:rPr>
        <w:rFonts w:ascii="Arial" w:hAnsi="Arial" w:hint="default"/>
      </w:rPr>
    </w:lvl>
    <w:lvl w:ilvl="7" w:tplc="59BAA85A" w:tentative="1">
      <w:start w:val="1"/>
      <w:numFmt w:val="bullet"/>
      <w:lvlText w:val="•"/>
      <w:lvlJc w:val="left"/>
      <w:pPr>
        <w:tabs>
          <w:tab w:val="num" w:pos="5400"/>
        </w:tabs>
        <w:ind w:left="5400" w:hanging="360"/>
      </w:pPr>
      <w:rPr>
        <w:rFonts w:ascii="Arial" w:hAnsi="Arial" w:hint="default"/>
      </w:rPr>
    </w:lvl>
    <w:lvl w:ilvl="8" w:tplc="2CBCA6A4" w:tentative="1">
      <w:start w:val="1"/>
      <w:numFmt w:val="bullet"/>
      <w:lvlText w:val="•"/>
      <w:lvlJc w:val="left"/>
      <w:pPr>
        <w:tabs>
          <w:tab w:val="num" w:pos="6120"/>
        </w:tabs>
        <w:ind w:left="6120" w:hanging="360"/>
      </w:pPr>
      <w:rPr>
        <w:rFonts w:ascii="Arial" w:hAnsi="Arial" w:hint="default"/>
      </w:rPr>
    </w:lvl>
  </w:abstractNum>
  <w:abstractNum w:abstractNumId="2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1">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21"/>
  </w:num>
  <w:num w:numId="2">
    <w:abstractNumId w:val="1"/>
  </w:num>
  <w:num w:numId="3">
    <w:abstractNumId w:val="10"/>
  </w:num>
  <w:num w:numId="4">
    <w:abstractNumId w:val="9"/>
  </w:num>
  <w:num w:numId="5">
    <w:abstractNumId w:val="16"/>
  </w:num>
  <w:num w:numId="6">
    <w:abstractNumId w:val="7"/>
  </w:num>
  <w:num w:numId="7">
    <w:abstractNumId w:val="6"/>
  </w:num>
  <w:num w:numId="8">
    <w:abstractNumId w:val="5"/>
  </w:num>
  <w:num w:numId="9">
    <w:abstractNumId w:val="19"/>
  </w:num>
  <w:num w:numId="10">
    <w:abstractNumId w:val="17"/>
  </w:num>
  <w:num w:numId="11">
    <w:abstractNumId w:val="15"/>
  </w:num>
  <w:num w:numId="12">
    <w:abstractNumId w:val="13"/>
  </w:num>
  <w:num w:numId="13">
    <w:abstractNumId w:val="2"/>
  </w:num>
  <w:num w:numId="14">
    <w:abstractNumId w:val="12"/>
  </w:num>
  <w:num w:numId="15">
    <w:abstractNumId w:val="11"/>
  </w:num>
  <w:num w:numId="16">
    <w:abstractNumId w:val="20"/>
  </w:num>
  <w:num w:numId="17">
    <w:abstractNumId w:val="14"/>
  </w:num>
  <w:num w:numId="18">
    <w:abstractNumId w:val="3"/>
  </w:num>
  <w:num w:numId="19">
    <w:abstractNumId w:val="8"/>
  </w:num>
  <w:num w:numId="20">
    <w:abstractNumId w:val="18"/>
  </w:num>
  <w:num w:numId="21">
    <w:abstractNumId w:val="4"/>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3"/>
  </w:num>
  <w:num w:numId="30">
    <w:abstractNumId w:val="7"/>
  </w:num>
  <w:num w:numId="31">
    <w:abstractNumId w:val="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docVars>
    <w:docVar w:name="SecurityClassificationInHeader" w:val="False"/>
  </w:docVars>
  <w:rsids>
    <w:rsidRoot w:val="00E84CFF"/>
    <w:rsid w:val="00001811"/>
    <w:rsid w:val="00004AEE"/>
    <w:rsid w:val="00005CAA"/>
    <w:rsid w:val="00010210"/>
    <w:rsid w:val="000116B3"/>
    <w:rsid w:val="00012D66"/>
    <w:rsid w:val="00013501"/>
    <w:rsid w:val="00015ADA"/>
    <w:rsid w:val="00016992"/>
    <w:rsid w:val="00020C99"/>
    <w:rsid w:val="000212F5"/>
    <w:rsid w:val="0002707B"/>
    <w:rsid w:val="0003384D"/>
    <w:rsid w:val="00033AD2"/>
    <w:rsid w:val="00042D65"/>
    <w:rsid w:val="00043D4B"/>
    <w:rsid w:val="000441B3"/>
    <w:rsid w:val="00044BD8"/>
    <w:rsid w:val="00046F6F"/>
    <w:rsid w:val="0005088B"/>
    <w:rsid w:val="0005148E"/>
    <w:rsid w:val="00051DAE"/>
    <w:rsid w:val="000553B3"/>
    <w:rsid w:val="00064B86"/>
    <w:rsid w:val="00070356"/>
    <w:rsid w:val="00070D2B"/>
    <w:rsid w:val="00072C5A"/>
    <w:rsid w:val="00073B45"/>
    <w:rsid w:val="000759E5"/>
    <w:rsid w:val="00081397"/>
    <w:rsid w:val="00084AC6"/>
    <w:rsid w:val="0009013A"/>
    <w:rsid w:val="000909D4"/>
    <w:rsid w:val="00091608"/>
    <w:rsid w:val="00092DA6"/>
    <w:rsid w:val="0009333C"/>
    <w:rsid w:val="00096462"/>
    <w:rsid w:val="0009704F"/>
    <w:rsid w:val="000A0F11"/>
    <w:rsid w:val="000A125A"/>
    <w:rsid w:val="000A57CD"/>
    <w:rsid w:val="000B3758"/>
    <w:rsid w:val="000B3C56"/>
    <w:rsid w:val="000B4639"/>
    <w:rsid w:val="000B67A5"/>
    <w:rsid w:val="000B7681"/>
    <w:rsid w:val="000B7B42"/>
    <w:rsid w:val="000C02B7"/>
    <w:rsid w:val="000C0F9B"/>
    <w:rsid w:val="000C4962"/>
    <w:rsid w:val="000C5100"/>
    <w:rsid w:val="000C52B0"/>
    <w:rsid w:val="000C5342"/>
    <w:rsid w:val="000C706A"/>
    <w:rsid w:val="000D1B30"/>
    <w:rsid w:val="000D2887"/>
    <w:rsid w:val="000D6A37"/>
    <w:rsid w:val="000D6D63"/>
    <w:rsid w:val="000E0081"/>
    <w:rsid w:val="000E07CF"/>
    <w:rsid w:val="000E31C1"/>
    <w:rsid w:val="000E5012"/>
    <w:rsid w:val="000E5D39"/>
    <w:rsid w:val="000E745B"/>
    <w:rsid w:val="000F2CF2"/>
    <w:rsid w:val="00100BEF"/>
    <w:rsid w:val="00111326"/>
    <w:rsid w:val="0011498E"/>
    <w:rsid w:val="001167F3"/>
    <w:rsid w:val="00117844"/>
    <w:rsid w:val="00117A45"/>
    <w:rsid w:val="00121888"/>
    <w:rsid w:val="001224AE"/>
    <w:rsid w:val="00122785"/>
    <w:rsid w:val="0012467B"/>
    <w:rsid w:val="001272BF"/>
    <w:rsid w:val="00127AEC"/>
    <w:rsid w:val="00127B84"/>
    <w:rsid w:val="00127F79"/>
    <w:rsid w:val="00131F36"/>
    <w:rsid w:val="001337D4"/>
    <w:rsid w:val="0013386D"/>
    <w:rsid w:val="00133D95"/>
    <w:rsid w:val="0013717F"/>
    <w:rsid w:val="0013797B"/>
    <w:rsid w:val="00147BF3"/>
    <w:rsid w:val="00147C12"/>
    <w:rsid w:val="00150118"/>
    <w:rsid w:val="001527A1"/>
    <w:rsid w:val="001530DC"/>
    <w:rsid w:val="00154989"/>
    <w:rsid w:val="00155A9F"/>
    <w:rsid w:val="00160262"/>
    <w:rsid w:val="0016780A"/>
    <w:rsid w:val="001713FA"/>
    <w:rsid w:val="00173EBF"/>
    <w:rsid w:val="00175ED3"/>
    <w:rsid w:val="001765FA"/>
    <w:rsid w:val="00180697"/>
    <w:rsid w:val="00181191"/>
    <w:rsid w:val="00183C6C"/>
    <w:rsid w:val="001842A2"/>
    <w:rsid w:val="00184473"/>
    <w:rsid w:val="00185C54"/>
    <w:rsid w:val="00187511"/>
    <w:rsid w:val="00187FA8"/>
    <w:rsid w:val="001902DE"/>
    <w:rsid w:val="00192F5E"/>
    <w:rsid w:val="00195698"/>
    <w:rsid w:val="00197772"/>
    <w:rsid w:val="001A4B14"/>
    <w:rsid w:val="001A51C8"/>
    <w:rsid w:val="001B0489"/>
    <w:rsid w:val="001B134F"/>
    <w:rsid w:val="001B406B"/>
    <w:rsid w:val="001B4CA8"/>
    <w:rsid w:val="001B5EA1"/>
    <w:rsid w:val="001B60BF"/>
    <w:rsid w:val="001B717B"/>
    <w:rsid w:val="001C4F3D"/>
    <w:rsid w:val="001C7258"/>
    <w:rsid w:val="001D04AC"/>
    <w:rsid w:val="001D0CDC"/>
    <w:rsid w:val="001D1330"/>
    <w:rsid w:val="001D1D82"/>
    <w:rsid w:val="001D2E17"/>
    <w:rsid w:val="001D5634"/>
    <w:rsid w:val="001D6223"/>
    <w:rsid w:val="001E1182"/>
    <w:rsid w:val="001E3B33"/>
    <w:rsid w:val="001F1BE6"/>
    <w:rsid w:val="001F355B"/>
    <w:rsid w:val="001F7ACC"/>
    <w:rsid w:val="00201611"/>
    <w:rsid w:val="00202C90"/>
    <w:rsid w:val="00206858"/>
    <w:rsid w:val="0021001E"/>
    <w:rsid w:val="00212C8B"/>
    <w:rsid w:val="00213DE8"/>
    <w:rsid w:val="00216118"/>
    <w:rsid w:val="002209AB"/>
    <w:rsid w:val="002251E3"/>
    <w:rsid w:val="00226177"/>
    <w:rsid w:val="00227A95"/>
    <w:rsid w:val="002316BD"/>
    <w:rsid w:val="002336D5"/>
    <w:rsid w:val="00234AD4"/>
    <w:rsid w:val="00235285"/>
    <w:rsid w:val="00236798"/>
    <w:rsid w:val="002377E0"/>
    <w:rsid w:val="00242E19"/>
    <w:rsid w:val="002473FC"/>
    <w:rsid w:val="0025024D"/>
    <w:rsid w:val="00252E3C"/>
    <w:rsid w:val="00252EF4"/>
    <w:rsid w:val="002542CC"/>
    <w:rsid w:val="00262198"/>
    <w:rsid w:val="00273B89"/>
    <w:rsid w:val="00281DEF"/>
    <w:rsid w:val="00285F1B"/>
    <w:rsid w:val="00292B81"/>
    <w:rsid w:val="0029504A"/>
    <w:rsid w:val="002A4DDD"/>
    <w:rsid w:val="002A65CE"/>
    <w:rsid w:val="002B0247"/>
    <w:rsid w:val="002B18AE"/>
    <w:rsid w:val="002C04FC"/>
    <w:rsid w:val="002C1C93"/>
    <w:rsid w:val="002C1CF5"/>
    <w:rsid w:val="002C5066"/>
    <w:rsid w:val="002C5813"/>
    <w:rsid w:val="002D2B6D"/>
    <w:rsid w:val="002D4AAC"/>
    <w:rsid w:val="002D7BD0"/>
    <w:rsid w:val="002E745C"/>
    <w:rsid w:val="002F045A"/>
    <w:rsid w:val="002F5C66"/>
    <w:rsid w:val="002F78F1"/>
    <w:rsid w:val="0030039D"/>
    <w:rsid w:val="003005AA"/>
    <w:rsid w:val="00300FC3"/>
    <w:rsid w:val="0030326F"/>
    <w:rsid w:val="00306E0D"/>
    <w:rsid w:val="00310701"/>
    <w:rsid w:val="00315980"/>
    <w:rsid w:val="00315C25"/>
    <w:rsid w:val="00316171"/>
    <w:rsid w:val="00316F7F"/>
    <w:rsid w:val="003218E8"/>
    <w:rsid w:val="00323005"/>
    <w:rsid w:val="00325E34"/>
    <w:rsid w:val="00326C56"/>
    <w:rsid w:val="00326CE1"/>
    <w:rsid w:val="00330DCE"/>
    <w:rsid w:val="0033130A"/>
    <w:rsid w:val="00331E11"/>
    <w:rsid w:val="00334761"/>
    <w:rsid w:val="0033533E"/>
    <w:rsid w:val="00337EBC"/>
    <w:rsid w:val="00341917"/>
    <w:rsid w:val="00341DCD"/>
    <w:rsid w:val="00343912"/>
    <w:rsid w:val="0034563E"/>
    <w:rsid w:val="003518D6"/>
    <w:rsid w:val="0035460C"/>
    <w:rsid w:val="003556BD"/>
    <w:rsid w:val="003563F2"/>
    <w:rsid w:val="00363F51"/>
    <w:rsid w:val="00364767"/>
    <w:rsid w:val="00364D54"/>
    <w:rsid w:val="00364E67"/>
    <w:rsid w:val="00365147"/>
    <w:rsid w:val="0037016E"/>
    <w:rsid w:val="00370E38"/>
    <w:rsid w:val="003710C7"/>
    <w:rsid w:val="003720A9"/>
    <w:rsid w:val="00372908"/>
    <w:rsid w:val="003737A2"/>
    <w:rsid w:val="003743BC"/>
    <w:rsid w:val="00374DB6"/>
    <w:rsid w:val="00383020"/>
    <w:rsid w:val="00384203"/>
    <w:rsid w:val="00384BE1"/>
    <w:rsid w:val="00384CA7"/>
    <w:rsid w:val="00385716"/>
    <w:rsid w:val="0038659E"/>
    <w:rsid w:val="0039170E"/>
    <w:rsid w:val="00392B56"/>
    <w:rsid w:val="00394D7E"/>
    <w:rsid w:val="003969EB"/>
    <w:rsid w:val="00397306"/>
    <w:rsid w:val="003975FD"/>
    <w:rsid w:val="003A1F4F"/>
    <w:rsid w:val="003B057D"/>
    <w:rsid w:val="003B0DE8"/>
    <w:rsid w:val="003B60CC"/>
    <w:rsid w:val="003C1B25"/>
    <w:rsid w:val="003C1ED6"/>
    <w:rsid w:val="003C2443"/>
    <w:rsid w:val="003C30F8"/>
    <w:rsid w:val="003C5168"/>
    <w:rsid w:val="003C5DA3"/>
    <w:rsid w:val="003C7B4D"/>
    <w:rsid w:val="003D16BD"/>
    <w:rsid w:val="003D2B9A"/>
    <w:rsid w:val="003D4BCD"/>
    <w:rsid w:val="003D685E"/>
    <w:rsid w:val="003D6C2B"/>
    <w:rsid w:val="003E01D8"/>
    <w:rsid w:val="003E1D82"/>
    <w:rsid w:val="003E2100"/>
    <w:rsid w:val="003E3BB9"/>
    <w:rsid w:val="003F1C8E"/>
    <w:rsid w:val="003F6037"/>
    <w:rsid w:val="003F6F5B"/>
    <w:rsid w:val="0040342D"/>
    <w:rsid w:val="0041192D"/>
    <w:rsid w:val="00413EE1"/>
    <w:rsid w:val="0041493B"/>
    <w:rsid w:val="0042128E"/>
    <w:rsid w:val="00427644"/>
    <w:rsid w:val="00430114"/>
    <w:rsid w:val="00432B60"/>
    <w:rsid w:val="00432D99"/>
    <w:rsid w:val="0043324B"/>
    <w:rsid w:val="00434DA1"/>
    <w:rsid w:val="00435157"/>
    <w:rsid w:val="00440698"/>
    <w:rsid w:val="00443E23"/>
    <w:rsid w:val="00445C9E"/>
    <w:rsid w:val="00450FF5"/>
    <w:rsid w:val="004540E2"/>
    <w:rsid w:val="00454454"/>
    <w:rsid w:val="00454AC8"/>
    <w:rsid w:val="00454C65"/>
    <w:rsid w:val="00460605"/>
    <w:rsid w:val="004624C6"/>
    <w:rsid w:val="00465ABE"/>
    <w:rsid w:val="004661C2"/>
    <w:rsid w:val="00467924"/>
    <w:rsid w:val="004712A5"/>
    <w:rsid w:val="0047266F"/>
    <w:rsid w:val="0047599E"/>
    <w:rsid w:val="00476D6B"/>
    <w:rsid w:val="00477FC3"/>
    <w:rsid w:val="00483A69"/>
    <w:rsid w:val="00487E31"/>
    <w:rsid w:val="00487F96"/>
    <w:rsid w:val="00490C73"/>
    <w:rsid w:val="00492C16"/>
    <w:rsid w:val="004931D9"/>
    <w:rsid w:val="00495422"/>
    <w:rsid w:val="00495648"/>
    <w:rsid w:val="00495D3C"/>
    <w:rsid w:val="004A0678"/>
    <w:rsid w:val="004A0A0D"/>
    <w:rsid w:val="004A123E"/>
    <w:rsid w:val="004A145F"/>
    <w:rsid w:val="004A1BF3"/>
    <w:rsid w:val="004A33B9"/>
    <w:rsid w:val="004A48A3"/>
    <w:rsid w:val="004B0D92"/>
    <w:rsid w:val="004B0EC0"/>
    <w:rsid w:val="004B59FE"/>
    <w:rsid w:val="004B5F50"/>
    <w:rsid w:val="004B608C"/>
    <w:rsid w:val="004B61FF"/>
    <w:rsid w:val="004B66F1"/>
    <w:rsid w:val="004C3EA0"/>
    <w:rsid w:val="004C3F5C"/>
    <w:rsid w:val="004C4314"/>
    <w:rsid w:val="004C7B8D"/>
    <w:rsid w:val="004D0ED7"/>
    <w:rsid w:val="004E1A02"/>
    <w:rsid w:val="004F7169"/>
    <w:rsid w:val="00500D66"/>
    <w:rsid w:val="00500F8C"/>
    <w:rsid w:val="00501FED"/>
    <w:rsid w:val="00505D4A"/>
    <w:rsid w:val="00507E58"/>
    <w:rsid w:val="0051045D"/>
    <w:rsid w:val="005134E0"/>
    <w:rsid w:val="00514C8E"/>
    <w:rsid w:val="00515447"/>
    <w:rsid w:val="00515653"/>
    <w:rsid w:val="00525899"/>
    <w:rsid w:val="00530D84"/>
    <w:rsid w:val="00531B53"/>
    <w:rsid w:val="00531DBF"/>
    <w:rsid w:val="00532182"/>
    <w:rsid w:val="0053762F"/>
    <w:rsid w:val="00537D87"/>
    <w:rsid w:val="00540914"/>
    <w:rsid w:val="00545759"/>
    <w:rsid w:val="005459C8"/>
    <w:rsid w:val="00545BE0"/>
    <w:rsid w:val="00546930"/>
    <w:rsid w:val="00550BD9"/>
    <w:rsid w:val="005539CE"/>
    <w:rsid w:val="00553B2D"/>
    <w:rsid w:val="00554C6A"/>
    <w:rsid w:val="00555378"/>
    <w:rsid w:val="00560528"/>
    <w:rsid w:val="00560998"/>
    <w:rsid w:val="00562E85"/>
    <w:rsid w:val="0056332F"/>
    <w:rsid w:val="00564485"/>
    <w:rsid w:val="00566506"/>
    <w:rsid w:val="00567E98"/>
    <w:rsid w:val="005719B3"/>
    <w:rsid w:val="0057257A"/>
    <w:rsid w:val="0057295E"/>
    <w:rsid w:val="00574C03"/>
    <w:rsid w:val="00576FD5"/>
    <w:rsid w:val="00581C39"/>
    <w:rsid w:val="005837F4"/>
    <w:rsid w:val="005903B6"/>
    <w:rsid w:val="00590E52"/>
    <w:rsid w:val="005A0247"/>
    <w:rsid w:val="005A126E"/>
    <w:rsid w:val="005A1FC5"/>
    <w:rsid w:val="005A2251"/>
    <w:rsid w:val="005A415C"/>
    <w:rsid w:val="005A452F"/>
    <w:rsid w:val="005A47E1"/>
    <w:rsid w:val="005A53D7"/>
    <w:rsid w:val="005A6FF7"/>
    <w:rsid w:val="005B140D"/>
    <w:rsid w:val="005B42CB"/>
    <w:rsid w:val="005B4A47"/>
    <w:rsid w:val="005B5EE3"/>
    <w:rsid w:val="005B61FA"/>
    <w:rsid w:val="005C1FEA"/>
    <w:rsid w:val="005C3495"/>
    <w:rsid w:val="005C7253"/>
    <w:rsid w:val="005D329F"/>
    <w:rsid w:val="005D416E"/>
    <w:rsid w:val="005E25BA"/>
    <w:rsid w:val="005E27D8"/>
    <w:rsid w:val="005E2948"/>
    <w:rsid w:val="005E3DFC"/>
    <w:rsid w:val="005E4A17"/>
    <w:rsid w:val="005E5942"/>
    <w:rsid w:val="005E60AF"/>
    <w:rsid w:val="005F031B"/>
    <w:rsid w:val="005F1DEA"/>
    <w:rsid w:val="005F3554"/>
    <w:rsid w:val="00600AB7"/>
    <w:rsid w:val="00601DC7"/>
    <w:rsid w:val="00602667"/>
    <w:rsid w:val="0060424C"/>
    <w:rsid w:val="00604482"/>
    <w:rsid w:val="00607FC9"/>
    <w:rsid w:val="0062198A"/>
    <w:rsid w:val="00621E3A"/>
    <w:rsid w:val="00622FE1"/>
    <w:rsid w:val="00623152"/>
    <w:rsid w:val="00623DEC"/>
    <w:rsid w:val="0062521C"/>
    <w:rsid w:val="0062564E"/>
    <w:rsid w:val="0062683F"/>
    <w:rsid w:val="00630A2B"/>
    <w:rsid w:val="00632DC7"/>
    <w:rsid w:val="00634852"/>
    <w:rsid w:val="00634A38"/>
    <w:rsid w:val="00635311"/>
    <w:rsid w:val="006357FB"/>
    <w:rsid w:val="00636F43"/>
    <w:rsid w:val="00637039"/>
    <w:rsid w:val="006406FC"/>
    <w:rsid w:val="00640E57"/>
    <w:rsid w:val="00641278"/>
    <w:rsid w:val="006417CF"/>
    <w:rsid w:val="00646122"/>
    <w:rsid w:val="00647C53"/>
    <w:rsid w:val="00647D10"/>
    <w:rsid w:val="00651422"/>
    <w:rsid w:val="00653339"/>
    <w:rsid w:val="00653E16"/>
    <w:rsid w:val="00655DED"/>
    <w:rsid w:val="00657220"/>
    <w:rsid w:val="00657362"/>
    <w:rsid w:val="0066104B"/>
    <w:rsid w:val="0066209B"/>
    <w:rsid w:val="006655EE"/>
    <w:rsid w:val="00667C10"/>
    <w:rsid w:val="00667EF4"/>
    <w:rsid w:val="00675265"/>
    <w:rsid w:val="00676FCA"/>
    <w:rsid w:val="00677177"/>
    <w:rsid w:val="00680385"/>
    <w:rsid w:val="0068093B"/>
    <w:rsid w:val="0068612E"/>
    <w:rsid w:val="00687C92"/>
    <w:rsid w:val="0069534E"/>
    <w:rsid w:val="0069669C"/>
    <w:rsid w:val="00697322"/>
    <w:rsid w:val="006A1200"/>
    <w:rsid w:val="006A4F4E"/>
    <w:rsid w:val="006A6C23"/>
    <w:rsid w:val="006B14DB"/>
    <w:rsid w:val="006B21C4"/>
    <w:rsid w:val="006B58B8"/>
    <w:rsid w:val="006B6289"/>
    <w:rsid w:val="006B79FD"/>
    <w:rsid w:val="006C0439"/>
    <w:rsid w:val="006C2670"/>
    <w:rsid w:val="006C4A1A"/>
    <w:rsid w:val="006D0393"/>
    <w:rsid w:val="006D060D"/>
    <w:rsid w:val="006D1A83"/>
    <w:rsid w:val="006D4F1B"/>
    <w:rsid w:val="006D4FBC"/>
    <w:rsid w:val="006D6670"/>
    <w:rsid w:val="006E1CFE"/>
    <w:rsid w:val="006E43DA"/>
    <w:rsid w:val="006E7DEE"/>
    <w:rsid w:val="006F02A4"/>
    <w:rsid w:val="006F03B8"/>
    <w:rsid w:val="006F10C4"/>
    <w:rsid w:val="006F1432"/>
    <w:rsid w:val="006F3197"/>
    <w:rsid w:val="006F40E9"/>
    <w:rsid w:val="006F5603"/>
    <w:rsid w:val="006F5972"/>
    <w:rsid w:val="006F7B87"/>
    <w:rsid w:val="00701400"/>
    <w:rsid w:val="007019F4"/>
    <w:rsid w:val="007037CF"/>
    <w:rsid w:val="00704F5E"/>
    <w:rsid w:val="007167C0"/>
    <w:rsid w:val="00720481"/>
    <w:rsid w:val="00721105"/>
    <w:rsid w:val="00721ECC"/>
    <w:rsid w:val="00733193"/>
    <w:rsid w:val="0073461A"/>
    <w:rsid w:val="007412B1"/>
    <w:rsid w:val="00742386"/>
    <w:rsid w:val="00744DDA"/>
    <w:rsid w:val="00745A15"/>
    <w:rsid w:val="00745E03"/>
    <w:rsid w:val="00746309"/>
    <w:rsid w:val="0074645A"/>
    <w:rsid w:val="007472DC"/>
    <w:rsid w:val="007525F2"/>
    <w:rsid w:val="00755723"/>
    <w:rsid w:val="0075732A"/>
    <w:rsid w:val="007600F8"/>
    <w:rsid w:val="00760124"/>
    <w:rsid w:val="00760262"/>
    <w:rsid w:val="0076310C"/>
    <w:rsid w:val="00766220"/>
    <w:rsid w:val="0076744F"/>
    <w:rsid w:val="007678B3"/>
    <w:rsid w:val="00767BCE"/>
    <w:rsid w:val="00767EFC"/>
    <w:rsid w:val="007707DE"/>
    <w:rsid w:val="00770B5D"/>
    <w:rsid w:val="00771FDF"/>
    <w:rsid w:val="00773D47"/>
    <w:rsid w:val="00774686"/>
    <w:rsid w:val="007752F1"/>
    <w:rsid w:val="00775B3B"/>
    <w:rsid w:val="00776768"/>
    <w:rsid w:val="00776F17"/>
    <w:rsid w:val="007770D5"/>
    <w:rsid w:val="0077794E"/>
    <w:rsid w:val="0078187A"/>
    <w:rsid w:val="00787113"/>
    <w:rsid w:val="0079257F"/>
    <w:rsid w:val="00794ED8"/>
    <w:rsid w:val="00795FF9"/>
    <w:rsid w:val="007A2573"/>
    <w:rsid w:val="007A36F9"/>
    <w:rsid w:val="007A426F"/>
    <w:rsid w:val="007B106C"/>
    <w:rsid w:val="007B1A4E"/>
    <w:rsid w:val="007B3BE5"/>
    <w:rsid w:val="007B3D05"/>
    <w:rsid w:val="007B5503"/>
    <w:rsid w:val="007B7017"/>
    <w:rsid w:val="007C179C"/>
    <w:rsid w:val="007C4583"/>
    <w:rsid w:val="007C6BB3"/>
    <w:rsid w:val="007D14B4"/>
    <w:rsid w:val="007D3AD7"/>
    <w:rsid w:val="007D4961"/>
    <w:rsid w:val="007D55A4"/>
    <w:rsid w:val="007D6696"/>
    <w:rsid w:val="007D76E4"/>
    <w:rsid w:val="007E0563"/>
    <w:rsid w:val="007E1547"/>
    <w:rsid w:val="007E24F6"/>
    <w:rsid w:val="007E3416"/>
    <w:rsid w:val="007E7578"/>
    <w:rsid w:val="007F5F74"/>
    <w:rsid w:val="00800E58"/>
    <w:rsid w:val="00800F64"/>
    <w:rsid w:val="00801050"/>
    <w:rsid w:val="0080132D"/>
    <w:rsid w:val="00802F0B"/>
    <w:rsid w:val="00805FEE"/>
    <w:rsid w:val="00810345"/>
    <w:rsid w:val="00810A67"/>
    <w:rsid w:val="00812931"/>
    <w:rsid w:val="00814D71"/>
    <w:rsid w:val="00815820"/>
    <w:rsid w:val="00821241"/>
    <w:rsid w:val="0083156F"/>
    <w:rsid w:val="00832E07"/>
    <w:rsid w:val="00833CF7"/>
    <w:rsid w:val="00834CDE"/>
    <w:rsid w:val="00842464"/>
    <w:rsid w:val="008450E5"/>
    <w:rsid w:val="00845601"/>
    <w:rsid w:val="00855C5C"/>
    <w:rsid w:val="00856D61"/>
    <w:rsid w:val="008625CC"/>
    <w:rsid w:val="00866046"/>
    <w:rsid w:val="0087279F"/>
    <w:rsid w:val="00875147"/>
    <w:rsid w:val="008757BD"/>
    <w:rsid w:val="00877902"/>
    <w:rsid w:val="00877A37"/>
    <w:rsid w:val="008810B4"/>
    <w:rsid w:val="00886D66"/>
    <w:rsid w:val="00890280"/>
    <w:rsid w:val="0089088C"/>
    <w:rsid w:val="00895346"/>
    <w:rsid w:val="008A3C96"/>
    <w:rsid w:val="008B4019"/>
    <w:rsid w:val="008B5C6D"/>
    <w:rsid w:val="008B65C9"/>
    <w:rsid w:val="008B7D33"/>
    <w:rsid w:val="008B7E5D"/>
    <w:rsid w:val="008C0108"/>
    <w:rsid w:val="008C1228"/>
    <w:rsid w:val="008C248B"/>
    <w:rsid w:val="008C2923"/>
    <w:rsid w:val="008C2D4A"/>
    <w:rsid w:val="008C314C"/>
    <w:rsid w:val="008D1B2C"/>
    <w:rsid w:val="008D3900"/>
    <w:rsid w:val="008D64E6"/>
    <w:rsid w:val="008D6E1D"/>
    <w:rsid w:val="008D750A"/>
    <w:rsid w:val="008E60E0"/>
    <w:rsid w:val="008F39B4"/>
    <w:rsid w:val="008F4162"/>
    <w:rsid w:val="008F7615"/>
    <w:rsid w:val="00900348"/>
    <w:rsid w:val="00903E02"/>
    <w:rsid w:val="00907713"/>
    <w:rsid w:val="009102C9"/>
    <w:rsid w:val="009117C9"/>
    <w:rsid w:val="00911FA0"/>
    <w:rsid w:val="00913135"/>
    <w:rsid w:val="00913175"/>
    <w:rsid w:val="00914D09"/>
    <w:rsid w:val="009150F9"/>
    <w:rsid w:val="00916EDB"/>
    <w:rsid w:val="009204A3"/>
    <w:rsid w:val="00920861"/>
    <w:rsid w:val="00921DEE"/>
    <w:rsid w:val="00922B13"/>
    <w:rsid w:val="009242EF"/>
    <w:rsid w:val="00926AA1"/>
    <w:rsid w:val="00931A4F"/>
    <w:rsid w:val="00932291"/>
    <w:rsid w:val="00932836"/>
    <w:rsid w:val="00932861"/>
    <w:rsid w:val="009328DC"/>
    <w:rsid w:val="0093408E"/>
    <w:rsid w:val="009358C6"/>
    <w:rsid w:val="00940242"/>
    <w:rsid w:val="00940958"/>
    <w:rsid w:val="009436E3"/>
    <w:rsid w:val="00943A6E"/>
    <w:rsid w:val="009440F9"/>
    <w:rsid w:val="00950A81"/>
    <w:rsid w:val="00952DDF"/>
    <w:rsid w:val="00953B4A"/>
    <w:rsid w:val="00955752"/>
    <w:rsid w:val="009610A3"/>
    <w:rsid w:val="00963B6A"/>
    <w:rsid w:val="00963C8F"/>
    <w:rsid w:val="00970132"/>
    <w:rsid w:val="0097035C"/>
    <w:rsid w:val="00970950"/>
    <w:rsid w:val="009712D9"/>
    <w:rsid w:val="00972813"/>
    <w:rsid w:val="00976C8F"/>
    <w:rsid w:val="009812D4"/>
    <w:rsid w:val="00984094"/>
    <w:rsid w:val="0099087C"/>
    <w:rsid w:val="009910D3"/>
    <w:rsid w:val="009920D8"/>
    <w:rsid w:val="00994672"/>
    <w:rsid w:val="009952F5"/>
    <w:rsid w:val="00995707"/>
    <w:rsid w:val="00996101"/>
    <w:rsid w:val="009A2935"/>
    <w:rsid w:val="009A6254"/>
    <w:rsid w:val="009B38BE"/>
    <w:rsid w:val="009B4EDC"/>
    <w:rsid w:val="009B6488"/>
    <w:rsid w:val="009C3D0F"/>
    <w:rsid w:val="009C503F"/>
    <w:rsid w:val="009C5A51"/>
    <w:rsid w:val="009C6358"/>
    <w:rsid w:val="009D0B87"/>
    <w:rsid w:val="009E1B19"/>
    <w:rsid w:val="009E4CA0"/>
    <w:rsid w:val="009E564C"/>
    <w:rsid w:val="009E622F"/>
    <w:rsid w:val="009F0485"/>
    <w:rsid w:val="009F35E2"/>
    <w:rsid w:val="009F5285"/>
    <w:rsid w:val="009F65F9"/>
    <w:rsid w:val="009F68BA"/>
    <w:rsid w:val="009F7A28"/>
    <w:rsid w:val="00A00964"/>
    <w:rsid w:val="00A05D5E"/>
    <w:rsid w:val="00A06277"/>
    <w:rsid w:val="00A079DC"/>
    <w:rsid w:val="00A108B5"/>
    <w:rsid w:val="00A111C2"/>
    <w:rsid w:val="00A13294"/>
    <w:rsid w:val="00A1513F"/>
    <w:rsid w:val="00A1562A"/>
    <w:rsid w:val="00A16042"/>
    <w:rsid w:val="00A2000A"/>
    <w:rsid w:val="00A20B8E"/>
    <w:rsid w:val="00A22406"/>
    <w:rsid w:val="00A32B66"/>
    <w:rsid w:val="00A338E7"/>
    <w:rsid w:val="00A35CAA"/>
    <w:rsid w:val="00A36E7F"/>
    <w:rsid w:val="00A40098"/>
    <w:rsid w:val="00A41E65"/>
    <w:rsid w:val="00A43E0A"/>
    <w:rsid w:val="00A4409E"/>
    <w:rsid w:val="00A530C7"/>
    <w:rsid w:val="00A5429A"/>
    <w:rsid w:val="00A55E49"/>
    <w:rsid w:val="00A55F5B"/>
    <w:rsid w:val="00A60185"/>
    <w:rsid w:val="00A65682"/>
    <w:rsid w:val="00A661EA"/>
    <w:rsid w:val="00A66BF9"/>
    <w:rsid w:val="00A7310D"/>
    <w:rsid w:val="00A7409A"/>
    <w:rsid w:val="00A76661"/>
    <w:rsid w:val="00A830E5"/>
    <w:rsid w:val="00A83B75"/>
    <w:rsid w:val="00A87135"/>
    <w:rsid w:val="00A92206"/>
    <w:rsid w:val="00A93280"/>
    <w:rsid w:val="00A93D9A"/>
    <w:rsid w:val="00A94BCD"/>
    <w:rsid w:val="00A951EA"/>
    <w:rsid w:val="00A96066"/>
    <w:rsid w:val="00AA2548"/>
    <w:rsid w:val="00AA58C4"/>
    <w:rsid w:val="00AA7003"/>
    <w:rsid w:val="00AB11C8"/>
    <w:rsid w:val="00AC08A8"/>
    <w:rsid w:val="00AC6DF4"/>
    <w:rsid w:val="00AD2B78"/>
    <w:rsid w:val="00AD32AD"/>
    <w:rsid w:val="00AD56C8"/>
    <w:rsid w:val="00AD58F2"/>
    <w:rsid w:val="00AD5B34"/>
    <w:rsid w:val="00AD63F1"/>
    <w:rsid w:val="00AE055A"/>
    <w:rsid w:val="00AE0E57"/>
    <w:rsid w:val="00AE6A0D"/>
    <w:rsid w:val="00B010D0"/>
    <w:rsid w:val="00B04F5E"/>
    <w:rsid w:val="00B0512A"/>
    <w:rsid w:val="00B0529F"/>
    <w:rsid w:val="00B10EE9"/>
    <w:rsid w:val="00B116DE"/>
    <w:rsid w:val="00B11E78"/>
    <w:rsid w:val="00B1418B"/>
    <w:rsid w:val="00B174C7"/>
    <w:rsid w:val="00B21195"/>
    <w:rsid w:val="00B24B22"/>
    <w:rsid w:val="00B25195"/>
    <w:rsid w:val="00B25310"/>
    <w:rsid w:val="00B31DEC"/>
    <w:rsid w:val="00B32F8F"/>
    <w:rsid w:val="00B3492A"/>
    <w:rsid w:val="00B4069C"/>
    <w:rsid w:val="00B40D43"/>
    <w:rsid w:val="00B416C9"/>
    <w:rsid w:val="00B43A53"/>
    <w:rsid w:val="00B459A7"/>
    <w:rsid w:val="00B516F3"/>
    <w:rsid w:val="00B54DE9"/>
    <w:rsid w:val="00B553EC"/>
    <w:rsid w:val="00B55E3F"/>
    <w:rsid w:val="00B63C1E"/>
    <w:rsid w:val="00B64A2C"/>
    <w:rsid w:val="00B65FA7"/>
    <w:rsid w:val="00B714DD"/>
    <w:rsid w:val="00B74068"/>
    <w:rsid w:val="00B838CE"/>
    <w:rsid w:val="00B87D9B"/>
    <w:rsid w:val="00B92EB8"/>
    <w:rsid w:val="00B93440"/>
    <w:rsid w:val="00B93DD0"/>
    <w:rsid w:val="00B97732"/>
    <w:rsid w:val="00B9787E"/>
    <w:rsid w:val="00BA2EBF"/>
    <w:rsid w:val="00BA5E36"/>
    <w:rsid w:val="00BA65A8"/>
    <w:rsid w:val="00BA6D19"/>
    <w:rsid w:val="00BA6DCE"/>
    <w:rsid w:val="00BA7461"/>
    <w:rsid w:val="00BA7DA9"/>
    <w:rsid w:val="00BC4215"/>
    <w:rsid w:val="00BC6CDE"/>
    <w:rsid w:val="00BC7659"/>
    <w:rsid w:val="00BD122C"/>
    <w:rsid w:val="00BD1A6F"/>
    <w:rsid w:val="00BD2F79"/>
    <w:rsid w:val="00BD4000"/>
    <w:rsid w:val="00BD4ECD"/>
    <w:rsid w:val="00BD521F"/>
    <w:rsid w:val="00BD5CB1"/>
    <w:rsid w:val="00BE2BCE"/>
    <w:rsid w:val="00BE5BE2"/>
    <w:rsid w:val="00BE6D3C"/>
    <w:rsid w:val="00BE7852"/>
    <w:rsid w:val="00BF0A4B"/>
    <w:rsid w:val="00BF2A65"/>
    <w:rsid w:val="00BF7923"/>
    <w:rsid w:val="00BF7CEE"/>
    <w:rsid w:val="00C01737"/>
    <w:rsid w:val="00C03880"/>
    <w:rsid w:val="00C03993"/>
    <w:rsid w:val="00C04741"/>
    <w:rsid w:val="00C04E8B"/>
    <w:rsid w:val="00C05F1E"/>
    <w:rsid w:val="00C07CF5"/>
    <w:rsid w:val="00C135CF"/>
    <w:rsid w:val="00C2446B"/>
    <w:rsid w:val="00C2683F"/>
    <w:rsid w:val="00C3054C"/>
    <w:rsid w:val="00C3184D"/>
    <w:rsid w:val="00C43D79"/>
    <w:rsid w:val="00C4714E"/>
    <w:rsid w:val="00C51CCA"/>
    <w:rsid w:val="00C54EF8"/>
    <w:rsid w:val="00C5504F"/>
    <w:rsid w:val="00C567DB"/>
    <w:rsid w:val="00C57B55"/>
    <w:rsid w:val="00C63376"/>
    <w:rsid w:val="00C633A8"/>
    <w:rsid w:val="00C74F97"/>
    <w:rsid w:val="00C766A1"/>
    <w:rsid w:val="00C8276E"/>
    <w:rsid w:val="00C82EA4"/>
    <w:rsid w:val="00C8413D"/>
    <w:rsid w:val="00C842AC"/>
    <w:rsid w:val="00C8535C"/>
    <w:rsid w:val="00C90205"/>
    <w:rsid w:val="00C93532"/>
    <w:rsid w:val="00C9498D"/>
    <w:rsid w:val="00C96688"/>
    <w:rsid w:val="00C96AFC"/>
    <w:rsid w:val="00CA0723"/>
    <w:rsid w:val="00CA4BC2"/>
    <w:rsid w:val="00CB1690"/>
    <w:rsid w:val="00CB49A3"/>
    <w:rsid w:val="00CC02F0"/>
    <w:rsid w:val="00CC0C6C"/>
    <w:rsid w:val="00CC4365"/>
    <w:rsid w:val="00CD0060"/>
    <w:rsid w:val="00CD098F"/>
    <w:rsid w:val="00CD0EED"/>
    <w:rsid w:val="00CD10DD"/>
    <w:rsid w:val="00CD11B0"/>
    <w:rsid w:val="00CD3F6C"/>
    <w:rsid w:val="00CD61FD"/>
    <w:rsid w:val="00CE3D04"/>
    <w:rsid w:val="00CE71C2"/>
    <w:rsid w:val="00CF0DDD"/>
    <w:rsid w:val="00CF178F"/>
    <w:rsid w:val="00CF188B"/>
    <w:rsid w:val="00CF34E9"/>
    <w:rsid w:val="00CF3D09"/>
    <w:rsid w:val="00CF42D5"/>
    <w:rsid w:val="00CF4EDA"/>
    <w:rsid w:val="00CF5754"/>
    <w:rsid w:val="00D00A19"/>
    <w:rsid w:val="00D021CB"/>
    <w:rsid w:val="00D10F1A"/>
    <w:rsid w:val="00D11401"/>
    <w:rsid w:val="00D116F8"/>
    <w:rsid w:val="00D130EF"/>
    <w:rsid w:val="00D170BC"/>
    <w:rsid w:val="00D17596"/>
    <w:rsid w:val="00D20B62"/>
    <w:rsid w:val="00D21D54"/>
    <w:rsid w:val="00D22640"/>
    <w:rsid w:val="00D25C97"/>
    <w:rsid w:val="00D25CC3"/>
    <w:rsid w:val="00D26D3A"/>
    <w:rsid w:val="00D31E40"/>
    <w:rsid w:val="00D334E0"/>
    <w:rsid w:val="00D44173"/>
    <w:rsid w:val="00D45EE3"/>
    <w:rsid w:val="00D46609"/>
    <w:rsid w:val="00D4707E"/>
    <w:rsid w:val="00D50618"/>
    <w:rsid w:val="00D509E9"/>
    <w:rsid w:val="00D5182D"/>
    <w:rsid w:val="00D53B1C"/>
    <w:rsid w:val="00D55F05"/>
    <w:rsid w:val="00D57DF8"/>
    <w:rsid w:val="00D677C0"/>
    <w:rsid w:val="00D742F7"/>
    <w:rsid w:val="00D75717"/>
    <w:rsid w:val="00D80C11"/>
    <w:rsid w:val="00D80C55"/>
    <w:rsid w:val="00D86706"/>
    <w:rsid w:val="00D90115"/>
    <w:rsid w:val="00D90E9C"/>
    <w:rsid w:val="00D914A2"/>
    <w:rsid w:val="00D9551D"/>
    <w:rsid w:val="00D97DE6"/>
    <w:rsid w:val="00DA09DD"/>
    <w:rsid w:val="00DA0BE1"/>
    <w:rsid w:val="00DA1B12"/>
    <w:rsid w:val="00DA23A1"/>
    <w:rsid w:val="00DA3D69"/>
    <w:rsid w:val="00DA4BB2"/>
    <w:rsid w:val="00DA54C9"/>
    <w:rsid w:val="00DA6739"/>
    <w:rsid w:val="00DA6CAE"/>
    <w:rsid w:val="00DB1A9E"/>
    <w:rsid w:val="00DB31D6"/>
    <w:rsid w:val="00DB4005"/>
    <w:rsid w:val="00DB7C2E"/>
    <w:rsid w:val="00DC0C5B"/>
    <w:rsid w:val="00DC13FD"/>
    <w:rsid w:val="00DC1ACF"/>
    <w:rsid w:val="00DC34EB"/>
    <w:rsid w:val="00DC3FA0"/>
    <w:rsid w:val="00DC7158"/>
    <w:rsid w:val="00DC795C"/>
    <w:rsid w:val="00DE0161"/>
    <w:rsid w:val="00DF0E4F"/>
    <w:rsid w:val="00DF1550"/>
    <w:rsid w:val="00DF1617"/>
    <w:rsid w:val="00DF1E5B"/>
    <w:rsid w:val="00DF2275"/>
    <w:rsid w:val="00DF37DE"/>
    <w:rsid w:val="00DF3F5E"/>
    <w:rsid w:val="00DF42DB"/>
    <w:rsid w:val="00DF5653"/>
    <w:rsid w:val="00DF6C3A"/>
    <w:rsid w:val="00E002D3"/>
    <w:rsid w:val="00E0129F"/>
    <w:rsid w:val="00E01CA4"/>
    <w:rsid w:val="00E049A2"/>
    <w:rsid w:val="00E0596E"/>
    <w:rsid w:val="00E06F66"/>
    <w:rsid w:val="00E07698"/>
    <w:rsid w:val="00E078BB"/>
    <w:rsid w:val="00E12C2F"/>
    <w:rsid w:val="00E15F1E"/>
    <w:rsid w:val="00E206E8"/>
    <w:rsid w:val="00E218BF"/>
    <w:rsid w:val="00E228B3"/>
    <w:rsid w:val="00E2467F"/>
    <w:rsid w:val="00E356E5"/>
    <w:rsid w:val="00E36F81"/>
    <w:rsid w:val="00E42AB1"/>
    <w:rsid w:val="00E45765"/>
    <w:rsid w:val="00E47462"/>
    <w:rsid w:val="00E5098C"/>
    <w:rsid w:val="00E5339B"/>
    <w:rsid w:val="00E60213"/>
    <w:rsid w:val="00E61A1F"/>
    <w:rsid w:val="00E6254F"/>
    <w:rsid w:val="00E64530"/>
    <w:rsid w:val="00E661B2"/>
    <w:rsid w:val="00E71682"/>
    <w:rsid w:val="00E74D29"/>
    <w:rsid w:val="00E74E13"/>
    <w:rsid w:val="00E83A6E"/>
    <w:rsid w:val="00E83C74"/>
    <w:rsid w:val="00E83CEE"/>
    <w:rsid w:val="00E83F25"/>
    <w:rsid w:val="00E84CFF"/>
    <w:rsid w:val="00E84D11"/>
    <w:rsid w:val="00E90499"/>
    <w:rsid w:val="00E91EE8"/>
    <w:rsid w:val="00E91F18"/>
    <w:rsid w:val="00E9226D"/>
    <w:rsid w:val="00E9333E"/>
    <w:rsid w:val="00EA416C"/>
    <w:rsid w:val="00EA5941"/>
    <w:rsid w:val="00EA7944"/>
    <w:rsid w:val="00EB0332"/>
    <w:rsid w:val="00EB60CE"/>
    <w:rsid w:val="00EB7D53"/>
    <w:rsid w:val="00EC207E"/>
    <w:rsid w:val="00EC5E9F"/>
    <w:rsid w:val="00ED095A"/>
    <w:rsid w:val="00ED2168"/>
    <w:rsid w:val="00ED6897"/>
    <w:rsid w:val="00EE0693"/>
    <w:rsid w:val="00EE3146"/>
    <w:rsid w:val="00EE4EA3"/>
    <w:rsid w:val="00EF047E"/>
    <w:rsid w:val="00EF50BB"/>
    <w:rsid w:val="00EF53FF"/>
    <w:rsid w:val="00F00169"/>
    <w:rsid w:val="00F00192"/>
    <w:rsid w:val="00F0053B"/>
    <w:rsid w:val="00F01876"/>
    <w:rsid w:val="00F01DF6"/>
    <w:rsid w:val="00F028C6"/>
    <w:rsid w:val="00F0340D"/>
    <w:rsid w:val="00F0356C"/>
    <w:rsid w:val="00F059A6"/>
    <w:rsid w:val="00F07F3F"/>
    <w:rsid w:val="00F14172"/>
    <w:rsid w:val="00F14FDD"/>
    <w:rsid w:val="00F172E3"/>
    <w:rsid w:val="00F203CC"/>
    <w:rsid w:val="00F21930"/>
    <w:rsid w:val="00F21AC1"/>
    <w:rsid w:val="00F22C71"/>
    <w:rsid w:val="00F23756"/>
    <w:rsid w:val="00F24651"/>
    <w:rsid w:val="00F2523A"/>
    <w:rsid w:val="00F25FFA"/>
    <w:rsid w:val="00F310D2"/>
    <w:rsid w:val="00F33B3B"/>
    <w:rsid w:val="00F350B3"/>
    <w:rsid w:val="00F36F3D"/>
    <w:rsid w:val="00F3714C"/>
    <w:rsid w:val="00F41C7A"/>
    <w:rsid w:val="00F427A1"/>
    <w:rsid w:val="00F42BC7"/>
    <w:rsid w:val="00F42F07"/>
    <w:rsid w:val="00F45155"/>
    <w:rsid w:val="00F477BD"/>
    <w:rsid w:val="00F509F3"/>
    <w:rsid w:val="00F53491"/>
    <w:rsid w:val="00F5362B"/>
    <w:rsid w:val="00F57E39"/>
    <w:rsid w:val="00F65A1C"/>
    <w:rsid w:val="00F66F50"/>
    <w:rsid w:val="00F73B30"/>
    <w:rsid w:val="00F74463"/>
    <w:rsid w:val="00F76A92"/>
    <w:rsid w:val="00F82E4D"/>
    <w:rsid w:val="00F82FF8"/>
    <w:rsid w:val="00F8330D"/>
    <w:rsid w:val="00F84169"/>
    <w:rsid w:val="00F84305"/>
    <w:rsid w:val="00F8485C"/>
    <w:rsid w:val="00F87149"/>
    <w:rsid w:val="00F87FFE"/>
    <w:rsid w:val="00F902E5"/>
    <w:rsid w:val="00F9043D"/>
    <w:rsid w:val="00F930A4"/>
    <w:rsid w:val="00F954C9"/>
    <w:rsid w:val="00F96135"/>
    <w:rsid w:val="00F9713A"/>
    <w:rsid w:val="00FA0B24"/>
    <w:rsid w:val="00FA4CF0"/>
    <w:rsid w:val="00FA61AA"/>
    <w:rsid w:val="00FA67C5"/>
    <w:rsid w:val="00FA69A4"/>
    <w:rsid w:val="00FB1279"/>
    <w:rsid w:val="00FB1495"/>
    <w:rsid w:val="00FC33AF"/>
    <w:rsid w:val="00FD1325"/>
    <w:rsid w:val="00FD1694"/>
    <w:rsid w:val="00FD4729"/>
    <w:rsid w:val="00FD7636"/>
    <w:rsid w:val="00FE2960"/>
    <w:rsid w:val="00FE29EB"/>
    <w:rsid w:val="00FE3229"/>
    <w:rsid w:val="00FE6485"/>
    <w:rsid w:val="00FE74C3"/>
    <w:rsid w:val="00FF0E84"/>
    <w:rsid w:val="00FF215C"/>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821241"/>
    <w:pPr>
      <w:spacing w:after="220"/>
      <w:jc w:val="both"/>
    </w:pPr>
    <w:rPr>
      <w:rFonts w:ascii="Calibri" w:eastAsia="Times New Roman" w:hAnsi="Calibri"/>
    </w:rPr>
  </w:style>
  <w:style w:type="paragraph" w:styleId="Heading1">
    <w:name w:val="heading 1"/>
    <w:basedOn w:val="Normal"/>
    <w:next w:val="Normal"/>
    <w:link w:val="Heading1Char"/>
    <w:qFormat/>
    <w:rsid w:val="005E27D8"/>
    <w:pPr>
      <w:keepNext/>
      <w:numPr>
        <w:numId w:val="18"/>
      </w:numPr>
      <w:outlineLvl w:val="0"/>
    </w:pPr>
    <w:rPr>
      <w:rFonts w:cs="Arial"/>
      <w:b/>
      <w:caps/>
      <w:sz w:val="24"/>
    </w:rPr>
  </w:style>
  <w:style w:type="paragraph" w:styleId="Heading2">
    <w:name w:val="heading 2"/>
    <w:basedOn w:val="Normal"/>
    <w:next w:val="Normal"/>
    <w:link w:val="Heading2Char"/>
    <w:qFormat/>
    <w:rsid w:val="000E31C1"/>
    <w:pPr>
      <w:keepNext/>
      <w:numPr>
        <w:ilvl w:val="1"/>
        <w:numId w:val="18"/>
      </w:numPr>
      <w:outlineLvl w:val="1"/>
    </w:pPr>
    <w:rPr>
      <w:rFonts w:cs="Arial"/>
      <w:b/>
    </w:rPr>
  </w:style>
  <w:style w:type="paragraph" w:styleId="Heading3">
    <w:name w:val="heading 3"/>
    <w:basedOn w:val="Normal"/>
    <w:next w:val="Normal"/>
    <w:link w:val="Heading3Char"/>
    <w:qFormat/>
    <w:rsid w:val="000E31C1"/>
    <w:pPr>
      <w:keepNext/>
      <w:numPr>
        <w:ilvl w:val="2"/>
        <w:numId w:val="18"/>
      </w:numPr>
      <w:outlineLvl w:val="2"/>
    </w:pPr>
    <w:rPr>
      <w:rFonts w:cs="Arial"/>
      <w:b/>
      <w:i/>
    </w:rPr>
  </w:style>
  <w:style w:type="paragraph" w:styleId="Heading4">
    <w:name w:val="heading 4"/>
    <w:basedOn w:val="Normal"/>
    <w:next w:val="Normal"/>
    <w:link w:val="Heading4Char"/>
    <w:qFormat/>
    <w:rsid w:val="000E31C1"/>
    <w:pPr>
      <w:keepNext/>
      <w:numPr>
        <w:ilvl w:val="3"/>
        <w:numId w:val="18"/>
      </w:numPr>
      <w:outlineLvl w:val="3"/>
    </w:pPr>
    <w:rPr>
      <w:rFonts w:cs="Arial"/>
      <w:i/>
    </w:rPr>
  </w:style>
  <w:style w:type="paragraph" w:styleId="Heading5">
    <w:name w:val="heading 5"/>
    <w:basedOn w:val="Heading4"/>
    <w:next w:val="Normal"/>
    <w:link w:val="Heading5Char"/>
    <w:qFormat/>
    <w:rsid w:val="00821241"/>
    <w:pPr>
      <w:numPr>
        <w:ilvl w:val="4"/>
      </w:numPr>
      <w:spacing w:before="240" w:after="120"/>
      <w:outlineLvl w:val="4"/>
    </w:pPr>
    <w:rPr>
      <w:rFonts w:cs="Calibri"/>
      <w:b/>
      <w:i w:val="0"/>
      <w:sz w:val="24"/>
      <w:lang w:val="en-GB"/>
    </w:rPr>
  </w:style>
  <w:style w:type="paragraph" w:styleId="Heading6">
    <w:name w:val="heading 6"/>
    <w:basedOn w:val="Heading5"/>
    <w:next w:val="Normal"/>
    <w:link w:val="Heading6Char"/>
    <w:qFormat/>
    <w:rsid w:val="00821241"/>
    <w:pPr>
      <w:numPr>
        <w:ilvl w:val="5"/>
      </w:numPr>
      <w:tabs>
        <w:tab w:val="left" w:pos="1276"/>
      </w:tabs>
      <w:outlineLvl w:val="5"/>
    </w:pPr>
  </w:style>
  <w:style w:type="paragraph" w:styleId="Heading7">
    <w:name w:val="heading 7"/>
    <w:basedOn w:val="Heading6"/>
    <w:next w:val="Normal"/>
    <w:link w:val="Heading7Char"/>
    <w:uiPriority w:val="9"/>
    <w:qFormat/>
    <w:rsid w:val="00821241"/>
    <w:pPr>
      <w:numPr>
        <w:ilvl w:val="6"/>
      </w:numPr>
      <w:tabs>
        <w:tab w:val="clear" w:pos="1276"/>
        <w:tab w:val="left" w:pos="1418"/>
      </w:tabs>
      <w:outlineLvl w:val="6"/>
    </w:pPr>
  </w:style>
  <w:style w:type="paragraph" w:styleId="Heading8">
    <w:name w:val="heading 8"/>
    <w:basedOn w:val="Heading7"/>
    <w:next w:val="Normal"/>
    <w:link w:val="Heading8Char"/>
    <w:qFormat/>
    <w:rsid w:val="0082124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style>
  <w:style w:type="character" w:customStyle="1" w:styleId="Heading1Char">
    <w:name w:val="Heading 1 Char"/>
    <w:basedOn w:val="DefaultParagraphFont"/>
    <w:link w:val="Heading1"/>
    <w:rsid w:val="005E27D8"/>
    <w:rPr>
      <w:rFonts w:ascii="Calibri" w:eastAsia="Times New Roman" w:hAnsi="Calibri" w:cs="Arial"/>
      <w:b/>
      <w:caps/>
      <w:sz w:val="24"/>
    </w:rPr>
  </w:style>
  <w:style w:type="character" w:customStyle="1" w:styleId="Heading2Char">
    <w:name w:val="Heading 2 Char"/>
    <w:basedOn w:val="DefaultParagraphFont"/>
    <w:link w:val="Heading2"/>
    <w:rsid w:val="000E31C1"/>
    <w:rPr>
      <w:rFonts w:ascii="Calibri" w:eastAsia="Times New Roman" w:hAnsi="Calibri" w:cs="Arial"/>
      <w:b/>
    </w:rPr>
  </w:style>
  <w:style w:type="character" w:customStyle="1" w:styleId="Heading3Char">
    <w:name w:val="Heading 3 Char"/>
    <w:basedOn w:val="DefaultParagraphFont"/>
    <w:link w:val="Heading3"/>
    <w:rsid w:val="000E31C1"/>
    <w:rPr>
      <w:rFonts w:ascii="Calibri" w:eastAsia="Times New Roman" w:hAnsi="Calibri" w:cs="Arial"/>
      <w:b/>
      <w:i/>
    </w:rPr>
  </w:style>
  <w:style w:type="character" w:customStyle="1" w:styleId="Heading4Char">
    <w:name w:val="Heading 4 Char"/>
    <w:basedOn w:val="DefaultParagraphFont"/>
    <w:link w:val="Heading4"/>
    <w:rsid w:val="000E31C1"/>
    <w:rPr>
      <w:rFonts w:ascii="Calibri" w:eastAsia="Times New Roman" w:hAnsi="Calibri" w:cs="Arial"/>
      <w:i/>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cs="Arial"/>
      <w:color w:val="FF0000"/>
      <w:sz w:val="28"/>
      <w:szCs w:val="28"/>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character" w:customStyle="1" w:styleId="Heading5Char">
    <w:name w:val="Heading 5 Char"/>
    <w:basedOn w:val="DefaultParagraphFont"/>
    <w:link w:val="Heading5"/>
    <w:rsid w:val="00821241"/>
    <w:rPr>
      <w:rFonts w:ascii="Calibri" w:eastAsia="Times New Roman" w:hAnsi="Calibri" w:cs="Calibri"/>
      <w:b/>
      <w:sz w:val="24"/>
      <w:lang w:val="en-GB"/>
    </w:rPr>
  </w:style>
  <w:style w:type="character" w:customStyle="1" w:styleId="Heading6Char">
    <w:name w:val="Heading 6 Char"/>
    <w:basedOn w:val="DefaultParagraphFont"/>
    <w:link w:val="Heading6"/>
    <w:rsid w:val="00821241"/>
    <w:rPr>
      <w:rFonts w:ascii="Calibri" w:eastAsia="Times New Roman" w:hAnsi="Calibri" w:cs="Calibri"/>
      <w:b/>
      <w:sz w:val="24"/>
      <w:lang w:val="en-GB"/>
    </w:rPr>
  </w:style>
  <w:style w:type="character" w:customStyle="1" w:styleId="Heading7Char">
    <w:name w:val="Heading 7 Char"/>
    <w:basedOn w:val="DefaultParagraphFont"/>
    <w:link w:val="Heading7"/>
    <w:uiPriority w:val="9"/>
    <w:rsid w:val="00821241"/>
    <w:rPr>
      <w:rFonts w:ascii="Calibri" w:eastAsia="Times New Roman" w:hAnsi="Calibri" w:cs="Calibri"/>
      <w:b/>
      <w:sz w:val="24"/>
      <w:lang w:val="en-GB"/>
    </w:rPr>
  </w:style>
  <w:style w:type="character" w:customStyle="1" w:styleId="Heading8Char">
    <w:name w:val="Heading 8 Char"/>
    <w:basedOn w:val="DefaultParagraphFont"/>
    <w:link w:val="Heading8"/>
    <w:rsid w:val="00821241"/>
    <w:rPr>
      <w:rFonts w:ascii="Calibri" w:eastAsia="Times New Roman" w:hAnsi="Calibri" w:cs="Calibri"/>
      <w:b/>
      <w:sz w:val="24"/>
      <w:lang w:val="en-GB"/>
    </w:rPr>
  </w:style>
  <w:style w:type="paragraph" w:styleId="TOCHeading">
    <w:name w:val="TOC Heading"/>
    <w:basedOn w:val="Heading1"/>
    <w:next w:val="Normal"/>
    <w:uiPriority w:val="39"/>
    <w:semiHidden/>
    <w:unhideWhenUsed/>
    <w:qFormat/>
    <w:rsid w:val="009C5A51"/>
    <w:pPr>
      <w:keepLines/>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val="en-US" w:eastAsia="en-US"/>
    </w:rPr>
  </w:style>
  <w:style w:type="paragraph" w:styleId="TOC1">
    <w:name w:val="toc 1"/>
    <w:basedOn w:val="Normal"/>
    <w:next w:val="Normal"/>
    <w:autoRedefine/>
    <w:uiPriority w:val="39"/>
    <w:unhideWhenUsed/>
    <w:qFormat/>
    <w:rsid w:val="009C5A51"/>
    <w:pPr>
      <w:spacing w:after="100"/>
    </w:pPr>
  </w:style>
  <w:style w:type="paragraph" w:styleId="TOC2">
    <w:name w:val="toc 2"/>
    <w:basedOn w:val="Normal"/>
    <w:next w:val="Normal"/>
    <w:autoRedefine/>
    <w:uiPriority w:val="39"/>
    <w:unhideWhenUsed/>
    <w:qFormat/>
    <w:rsid w:val="009C5A51"/>
    <w:pPr>
      <w:spacing w:after="100"/>
      <w:ind w:left="200"/>
    </w:pPr>
  </w:style>
  <w:style w:type="paragraph" w:styleId="TOC3">
    <w:name w:val="toc 3"/>
    <w:basedOn w:val="Normal"/>
    <w:next w:val="Normal"/>
    <w:autoRedefine/>
    <w:uiPriority w:val="39"/>
    <w:unhideWhenUsed/>
    <w:qFormat/>
    <w:rsid w:val="009C5A51"/>
    <w:pPr>
      <w:spacing w:after="100"/>
      <w:ind w:left="400"/>
    </w:pPr>
  </w:style>
  <w:style w:type="character" w:styleId="Hyperlink">
    <w:name w:val="Hyperlink"/>
    <w:basedOn w:val="DefaultParagraphFont"/>
    <w:uiPriority w:val="99"/>
    <w:unhideWhenUsed/>
    <w:rsid w:val="009C5A51"/>
    <w:rPr>
      <w:color w:val="0000FF" w:themeColor="hyperlink"/>
      <w:u w:val="single"/>
    </w:rPr>
  </w:style>
  <w:style w:type="character" w:styleId="FollowedHyperlink">
    <w:name w:val="FollowedHyperlink"/>
    <w:basedOn w:val="DefaultParagraphFont"/>
    <w:uiPriority w:val="99"/>
    <w:semiHidden/>
    <w:unhideWhenUsed/>
    <w:rsid w:val="003F1C8E"/>
    <w:rPr>
      <w:color w:val="800080" w:themeColor="followedHyperlink"/>
      <w:u w:val="single"/>
    </w:rPr>
  </w:style>
  <w:style w:type="paragraph" w:customStyle="1" w:styleId="Para0">
    <w:name w:val="Para 0"/>
    <w:basedOn w:val="Normal"/>
    <w:link w:val="Para0Char"/>
    <w:qFormat/>
    <w:rsid w:val="003F1C8E"/>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1C8E"/>
    <w:rPr>
      <w:rFonts w:eastAsia="Times New Roman"/>
      <w:color w:val="000000"/>
      <w:lang w:val="en-GB" w:eastAsia="en-US"/>
    </w:rPr>
  </w:style>
  <w:style w:type="paragraph" w:customStyle="1" w:styleId="StyleStylePara12Arial11ptAfter0pt10ptAuto">
    <w:name w:val="Style Style Para 12 + Arial 11 pt After:  0 pt + 10 pt Auto"/>
    <w:basedOn w:val="Normal"/>
    <w:uiPriority w:val="99"/>
    <w:rsid w:val="003F1C8E"/>
    <w:pPr>
      <w:numPr>
        <w:numId w:val="7"/>
      </w:numPr>
      <w:spacing w:after="0"/>
      <w:jc w:val="left"/>
    </w:pPr>
    <w:rPr>
      <w:rFonts w:ascii="Times New Roman" w:hAnsi="Times New Roman"/>
      <w:sz w:val="24"/>
      <w:lang w:eastAsia="en-US"/>
    </w:rPr>
  </w:style>
  <w:style w:type="paragraph" w:styleId="FootnoteText">
    <w:name w:val="footnote text"/>
    <w:basedOn w:val="Normal"/>
    <w:link w:val="FootnoteTextChar"/>
    <w:uiPriority w:val="99"/>
    <w:rsid w:val="00675265"/>
  </w:style>
  <w:style w:type="character" w:customStyle="1" w:styleId="FootnoteTextChar">
    <w:name w:val="Footnote Text Char"/>
    <w:basedOn w:val="DefaultParagraphFont"/>
    <w:link w:val="FootnoteText"/>
    <w:uiPriority w:val="99"/>
    <w:rsid w:val="00675265"/>
    <w:rPr>
      <w:rFonts w:ascii="Calibri" w:eastAsia="Times New Roman" w:hAnsi="Calibri"/>
    </w:rPr>
  </w:style>
  <w:style w:type="character" w:styleId="FootnoteReference">
    <w:name w:val="footnote reference"/>
    <w:basedOn w:val="DefaultParagraphFont"/>
    <w:uiPriority w:val="99"/>
    <w:rsid w:val="00675265"/>
    <w:rPr>
      <w:rFonts w:cs="Times New Roman"/>
      <w:vertAlign w:val="superscript"/>
    </w:rPr>
  </w:style>
  <w:style w:type="paragraph" w:styleId="NormalWeb">
    <w:name w:val="Normal (Web)"/>
    <w:basedOn w:val="Normal"/>
    <w:uiPriority w:val="99"/>
    <w:unhideWhenUsed/>
    <w:rsid w:val="00675265"/>
    <w:pPr>
      <w:spacing w:after="180"/>
      <w:jc w:val="left"/>
      <w:textAlignment w:val="baseline"/>
    </w:pPr>
    <w:rPr>
      <w:rFonts w:ascii="Times New Roman" w:hAnsi="Times New Roman"/>
      <w:sz w:val="24"/>
      <w:szCs w:val="24"/>
    </w:rPr>
  </w:style>
  <w:style w:type="paragraph" w:styleId="Caption">
    <w:name w:val="caption"/>
    <w:aliases w:val="Figure,CDM B/Caption,Table Caption,TABLE,Char,Item"/>
    <w:basedOn w:val="Normal"/>
    <w:next w:val="Normal"/>
    <w:link w:val="CaptionChar"/>
    <w:uiPriority w:val="35"/>
    <w:qFormat/>
    <w:rsid w:val="00856D61"/>
    <w:rPr>
      <w:b/>
      <w:bCs/>
    </w:rPr>
  </w:style>
  <w:style w:type="character" w:customStyle="1" w:styleId="CaptionChar">
    <w:name w:val="Caption Char"/>
    <w:aliases w:val="Figure Char,CDM B/Caption Char,Table Caption Char,TABLE Char,Char Char,Item Char"/>
    <w:basedOn w:val="DefaultParagraphFont"/>
    <w:link w:val="Caption"/>
    <w:uiPriority w:val="35"/>
    <w:locked/>
    <w:rsid w:val="00856D61"/>
    <w:rPr>
      <w:rFonts w:ascii="Calibri" w:eastAsia="Times New Roman" w:hAnsi="Calibri"/>
      <w:b/>
      <w:bCs/>
    </w:rPr>
  </w:style>
  <w:style w:type="paragraph" w:customStyle="1" w:styleId="Default">
    <w:name w:val="Default"/>
    <w:rsid w:val="00856D61"/>
    <w:pPr>
      <w:autoSpaceDE w:val="0"/>
      <w:autoSpaceDN w:val="0"/>
      <w:adjustRightInd w:val="0"/>
    </w:pPr>
    <w:rPr>
      <w:rFonts w:ascii="Times New Roman" w:eastAsia="Times New Roman" w:hAnsi="Times New Roman"/>
      <w:color w:val="000000"/>
      <w:sz w:val="24"/>
      <w:szCs w:val="24"/>
    </w:rPr>
  </w:style>
  <w:style w:type="paragraph" w:styleId="CommentText">
    <w:name w:val="annotation text"/>
    <w:basedOn w:val="Normal"/>
    <w:link w:val="CommentTextChar"/>
    <w:uiPriority w:val="99"/>
    <w:unhideWhenUsed/>
    <w:rsid w:val="009F0485"/>
    <w:pPr>
      <w:spacing w:after="0"/>
      <w:jc w:val="left"/>
    </w:pPr>
    <w:rPr>
      <w:lang w:eastAsia="en-US"/>
    </w:rPr>
  </w:style>
  <w:style w:type="character" w:customStyle="1" w:styleId="CommentTextChar">
    <w:name w:val="Comment Text Char"/>
    <w:basedOn w:val="DefaultParagraphFont"/>
    <w:link w:val="CommentText"/>
    <w:uiPriority w:val="99"/>
    <w:rsid w:val="009F0485"/>
    <w:rPr>
      <w:rFonts w:ascii="Calibri" w:eastAsia="Times New Roman" w:hAnsi="Calibri"/>
      <w:lang w:eastAsia="en-US"/>
    </w:rPr>
  </w:style>
  <w:style w:type="character" w:styleId="Strong">
    <w:name w:val="Strong"/>
    <w:basedOn w:val="DefaultParagraphFont"/>
    <w:uiPriority w:val="22"/>
    <w:qFormat/>
    <w:rsid w:val="009F0485"/>
    <w:rPr>
      <w:b/>
      <w:bCs/>
    </w:rPr>
  </w:style>
  <w:style w:type="character" w:styleId="CommentReference">
    <w:name w:val="annotation reference"/>
    <w:basedOn w:val="DefaultParagraphFont"/>
    <w:uiPriority w:val="99"/>
    <w:semiHidden/>
    <w:unhideWhenUsed/>
    <w:rsid w:val="00F0356C"/>
    <w:rPr>
      <w:sz w:val="16"/>
      <w:szCs w:val="16"/>
    </w:rPr>
  </w:style>
  <w:style w:type="paragraph" w:styleId="CommentSubject">
    <w:name w:val="annotation subject"/>
    <w:basedOn w:val="CommentText"/>
    <w:next w:val="CommentText"/>
    <w:link w:val="CommentSubjectChar"/>
    <w:uiPriority w:val="99"/>
    <w:semiHidden/>
    <w:unhideWhenUsed/>
    <w:rsid w:val="00F0356C"/>
    <w:pPr>
      <w:spacing w:after="220"/>
      <w:jc w:val="both"/>
    </w:pPr>
    <w:rPr>
      <w:b/>
      <w:bCs/>
      <w:lang w:eastAsia="en-AU"/>
    </w:rPr>
  </w:style>
  <w:style w:type="character" w:customStyle="1" w:styleId="CommentSubjectChar">
    <w:name w:val="Comment Subject Char"/>
    <w:basedOn w:val="CommentTextChar"/>
    <w:link w:val="CommentSubject"/>
    <w:uiPriority w:val="99"/>
    <w:semiHidden/>
    <w:rsid w:val="00F0356C"/>
    <w:rPr>
      <w:b/>
      <w:bCs/>
    </w:rPr>
  </w:style>
  <w:style w:type="paragraph" w:customStyle="1" w:styleId="Bullet1">
    <w:name w:val="Bullet 1"/>
    <w:basedOn w:val="Normal"/>
    <w:link w:val="Bullet1Char"/>
    <w:qFormat/>
    <w:rsid w:val="00195698"/>
    <w:pPr>
      <w:numPr>
        <w:numId w:val="12"/>
      </w:numPr>
      <w:spacing w:after="200" w:line="276" w:lineRule="auto"/>
      <w:jc w:val="left"/>
    </w:pPr>
    <w:rPr>
      <w:rFonts w:ascii="Arial" w:eastAsiaTheme="minorHAnsi" w:hAnsi="Arial" w:cs="Arial"/>
      <w:sz w:val="24"/>
      <w:szCs w:val="22"/>
    </w:rPr>
  </w:style>
  <w:style w:type="character" w:customStyle="1" w:styleId="Bullet1Char">
    <w:name w:val="Bullet 1 Char"/>
    <w:basedOn w:val="DefaultParagraphFont"/>
    <w:link w:val="Bullet1"/>
    <w:rsid w:val="00195698"/>
    <w:rPr>
      <w:rFonts w:eastAsiaTheme="minorHAnsi" w:cs="Arial"/>
      <w:sz w:val="24"/>
      <w:szCs w:val="22"/>
    </w:rPr>
  </w:style>
  <w:style w:type="numbering" w:customStyle="1" w:styleId="Style2">
    <w:name w:val="Style2"/>
    <w:uiPriority w:val="99"/>
    <w:rsid w:val="006E43DA"/>
    <w:pPr>
      <w:numPr>
        <w:numId w:val="13"/>
      </w:numPr>
    </w:pPr>
  </w:style>
  <w:style w:type="numbering" w:customStyle="1" w:styleId="Style3">
    <w:name w:val="Style3"/>
    <w:uiPriority w:val="99"/>
    <w:rsid w:val="006E43DA"/>
    <w:pPr>
      <w:numPr>
        <w:numId w:val="14"/>
      </w:numPr>
    </w:pPr>
  </w:style>
  <w:style w:type="paragraph" w:customStyle="1" w:styleId="Tablebullet">
    <w:name w:val="Table bullet"/>
    <w:basedOn w:val="ListParagraph"/>
    <w:link w:val="TablebulletChar"/>
    <w:qFormat/>
    <w:rsid w:val="006E43DA"/>
    <w:pPr>
      <w:numPr>
        <w:numId w:val="15"/>
      </w:numPr>
      <w:tabs>
        <w:tab w:val="left" w:pos="176"/>
        <w:tab w:val="left" w:pos="567"/>
      </w:tabs>
      <w:spacing w:before="60" w:after="0"/>
      <w:ind w:left="176" w:hanging="176"/>
      <w:contextualSpacing/>
      <w:jc w:val="left"/>
    </w:pPr>
    <w:rPr>
      <w:rFonts w:ascii="Arial Narrow" w:eastAsiaTheme="minorHAnsi" w:hAnsi="Arial Narrow" w:cstheme="minorBidi"/>
      <w:sz w:val="22"/>
      <w:szCs w:val="22"/>
      <w:lang w:eastAsia="en-US"/>
    </w:rPr>
  </w:style>
  <w:style w:type="character" w:customStyle="1" w:styleId="TablebulletChar">
    <w:name w:val="Table bullet Char"/>
    <w:basedOn w:val="DefaultParagraphFont"/>
    <w:link w:val="Tablebullet"/>
    <w:rsid w:val="006E43DA"/>
    <w:rPr>
      <w:rFonts w:ascii="Arial Narrow" w:eastAsiaTheme="minorHAnsi" w:hAnsi="Arial Narrow" w:cstheme="minorBidi"/>
      <w:sz w:val="22"/>
      <w:szCs w:val="22"/>
      <w:lang w:eastAsia="en-US"/>
    </w:rPr>
  </w:style>
  <w:style w:type="paragraph" w:customStyle="1" w:styleId="Para0number">
    <w:name w:val="Para 0 number"/>
    <w:basedOn w:val="Para0"/>
    <w:uiPriority w:val="99"/>
    <w:rsid w:val="0079257F"/>
    <w:pPr>
      <w:numPr>
        <w:numId w:val="16"/>
      </w:numPr>
      <w:spacing w:after="60"/>
    </w:pPr>
  </w:style>
  <w:style w:type="character" w:styleId="Emphasis">
    <w:name w:val="Emphasis"/>
    <w:basedOn w:val="DefaultParagraphFont"/>
    <w:uiPriority w:val="20"/>
    <w:qFormat/>
    <w:rsid w:val="00273B89"/>
    <w:rPr>
      <w:i/>
      <w:iCs/>
    </w:rPr>
  </w:style>
  <w:style w:type="paragraph" w:customStyle="1" w:styleId="H1-AkkpPro36pt">
    <w:name w:val="H1 - Akkp Pro 36pt"/>
    <w:basedOn w:val="Normal"/>
    <w:uiPriority w:val="99"/>
    <w:rsid w:val="00212C8B"/>
    <w:pPr>
      <w:widowControl w:val="0"/>
      <w:suppressAutoHyphens/>
      <w:autoSpaceDE w:val="0"/>
      <w:autoSpaceDN w:val="0"/>
      <w:adjustRightInd w:val="0"/>
      <w:spacing w:after="57" w:line="640" w:lineRule="atLeast"/>
      <w:jc w:val="left"/>
      <w:textAlignment w:val="center"/>
    </w:pPr>
    <w:rPr>
      <w:rFonts w:ascii="AkkoPro-Regular" w:eastAsiaTheme="minorEastAsia" w:hAnsi="AkkoPro-Regular" w:cs="AkkoPro-Regular"/>
      <w:caps/>
      <w:color w:val="002A48"/>
      <w:sz w:val="72"/>
      <w:szCs w:val="72"/>
      <w:lang w:val="en-GB" w:eastAsia="en-US"/>
    </w:rPr>
  </w:style>
  <w:style w:type="paragraph" w:customStyle="1" w:styleId="H1-AkkoPrro">
    <w:name w:val="H1 - Akko Prro"/>
    <w:basedOn w:val="Normal"/>
    <w:uiPriority w:val="99"/>
    <w:rsid w:val="00212C8B"/>
    <w:pPr>
      <w:widowControl w:val="0"/>
      <w:suppressAutoHyphens/>
      <w:autoSpaceDE w:val="0"/>
      <w:autoSpaceDN w:val="0"/>
      <w:adjustRightInd w:val="0"/>
      <w:spacing w:after="0" w:line="360" w:lineRule="atLeast"/>
      <w:jc w:val="left"/>
      <w:textAlignment w:val="center"/>
    </w:pPr>
    <w:rPr>
      <w:rFonts w:ascii="AkkoPro-Light" w:eastAsiaTheme="minorEastAsia" w:hAnsi="AkkoPro-Light" w:cs="AkkoPro-Light"/>
      <w:color w:val="E97200"/>
      <w:sz w:val="32"/>
      <w:szCs w:val="32"/>
      <w:lang w:val="en-GB" w:eastAsia="en-US"/>
    </w:rPr>
  </w:style>
  <w:style w:type="paragraph" w:customStyle="1" w:styleId="Introtext">
    <w:name w:val="Intro text"/>
    <w:basedOn w:val="Normal"/>
    <w:uiPriority w:val="99"/>
    <w:rsid w:val="00212C8B"/>
    <w:pPr>
      <w:widowControl w:val="0"/>
      <w:suppressAutoHyphens/>
      <w:autoSpaceDE w:val="0"/>
      <w:autoSpaceDN w:val="0"/>
      <w:adjustRightInd w:val="0"/>
      <w:spacing w:after="113" w:line="350" w:lineRule="atLeast"/>
      <w:jc w:val="left"/>
      <w:textAlignment w:val="center"/>
    </w:pPr>
    <w:rPr>
      <w:rFonts w:ascii="AkkoPro-Light" w:eastAsiaTheme="minorEastAsia" w:hAnsi="AkkoPro-Light" w:cs="AkkoPro-Light"/>
      <w:color w:val="000000"/>
      <w:sz w:val="26"/>
      <w:szCs w:val="26"/>
      <w:lang w:val="en-US" w:eastAsia="en-US"/>
    </w:rPr>
  </w:style>
  <w:style w:type="paragraph" w:customStyle="1" w:styleId="Bodycopy">
    <w:name w:val="Body copy"/>
    <w:basedOn w:val="Normal"/>
    <w:uiPriority w:val="99"/>
    <w:rsid w:val="00212C8B"/>
    <w:pPr>
      <w:widowControl w:val="0"/>
      <w:suppressAutoHyphens/>
      <w:autoSpaceDE w:val="0"/>
      <w:autoSpaceDN w:val="0"/>
      <w:adjustRightInd w:val="0"/>
      <w:spacing w:after="113" w:line="270" w:lineRule="atLeast"/>
      <w:jc w:val="left"/>
      <w:textAlignment w:val="center"/>
    </w:pPr>
    <w:rPr>
      <w:rFonts w:ascii="AkkoPro-Light" w:eastAsiaTheme="minorEastAsia" w:hAnsi="AkkoPro-Light" w:cs="AkkoPro-Light"/>
      <w:color w:val="000000"/>
      <w:sz w:val="18"/>
      <w:szCs w:val="18"/>
      <w:lang w:val="en-US" w:eastAsia="en-US"/>
    </w:rPr>
  </w:style>
  <w:style w:type="character" w:customStyle="1" w:styleId="mediaitemsummary">
    <w:name w:val="mediaitemsummary"/>
    <w:basedOn w:val="DefaultParagraphFont"/>
    <w:rsid w:val="00C90205"/>
  </w:style>
</w:styles>
</file>

<file path=word/webSettings.xml><?xml version="1.0" encoding="utf-8"?>
<w:webSettings xmlns:r="http://schemas.openxmlformats.org/officeDocument/2006/relationships" xmlns:w="http://schemas.openxmlformats.org/wordprocessingml/2006/main">
  <w:divs>
    <w:div w:id="136456784">
      <w:bodyDiv w:val="1"/>
      <w:marLeft w:val="0"/>
      <w:marRight w:val="0"/>
      <w:marTop w:val="0"/>
      <w:marBottom w:val="0"/>
      <w:divBdr>
        <w:top w:val="none" w:sz="0" w:space="0" w:color="auto"/>
        <w:left w:val="none" w:sz="0" w:space="0" w:color="auto"/>
        <w:bottom w:val="none" w:sz="0" w:space="0" w:color="auto"/>
        <w:right w:val="none" w:sz="0" w:space="0" w:color="auto"/>
      </w:divBdr>
      <w:divsChild>
        <w:div w:id="617876304">
          <w:marLeft w:val="0"/>
          <w:marRight w:val="0"/>
          <w:marTop w:val="0"/>
          <w:marBottom w:val="0"/>
          <w:divBdr>
            <w:top w:val="none" w:sz="0" w:space="0" w:color="auto"/>
            <w:left w:val="none" w:sz="0" w:space="0" w:color="auto"/>
            <w:bottom w:val="none" w:sz="0" w:space="0" w:color="auto"/>
            <w:right w:val="none" w:sz="0" w:space="0" w:color="auto"/>
          </w:divBdr>
          <w:divsChild>
            <w:div w:id="1061713766">
              <w:marLeft w:val="0"/>
              <w:marRight w:val="0"/>
              <w:marTop w:val="0"/>
              <w:marBottom w:val="0"/>
              <w:divBdr>
                <w:top w:val="none" w:sz="0" w:space="0" w:color="auto"/>
                <w:left w:val="none" w:sz="0" w:space="0" w:color="auto"/>
                <w:bottom w:val="none" w:sz="0" w:space="0" w:color="auto"/>
                <w:right w:val="none" w:sz="0" w:space="0" w:color="auto"/>
              </w:divBdr>
              <w:divsChild>
                <w:div w:id="915018645">
                  <w:marLeft w:val="0"/>
                  <w:marRight w:val="0"/>
                  <w:marTop w:val="0"/>
                  <w:marBottom w:val="0"/>
                  <w:divBdr>
                    <w:top w:val="none" w:sz="0" w:space="0" w:color="auto"/>
                    <w:left w:val="none" w:sz="0" w:space="0" w:color="auto"/>
                    <w:bottom w:val="none" w:sz="0" w:space="0" w:color="auto"/>
                    <w:right w:val="none" w:sz="0" w:space="0" w:color="auto"/>
                  </w:divBdr>
                  <w:divsChild>
                    <w:div w:id="1161310860">
                      <w:marLeft w:val="150"/>
                      <w:marRight w:val="150"/>
                      <w:marTop w:val="0"/>
                      <w:marBottom w:val="0"/>
                      <w:divBdr>
                        <w:top w:val="none" w:sz="0" w:space="0" w:color="auto"/>
                        <w:left w:val="none" w:sz="0" w:space="0" w:color="auto"/>
                        <w:bottom w:val="none" w:sz="0" w:space="0" w:color="auto"/>
                        <w:right w:val="none" w:sz="0" w:space="0" w:color="auto"/>
                      </w:divBdr>
                      <w:divsChild>
                        <w:div w:id="667052748">
                          <w:marLeft w:val="0"/>
                          <w:marRight w:val="0"/>
                          <w:marTop w:val="0"/>
                          <w:marBottom w:val="0"/>
                          <w:divBdr>
                            <w:top w:val="none" w:sz="0" w:space="0" w:color="auto"/>
                            <w:left w:val="none" w:sz="0" w:space="0" w:color="auto"/>
                            <w:bottom w:val="none" w:sz="0" w:space="0" w:color="auto"/>
                            <w:right w:val="none" w:sz="0" w:space="0" w:color="auto"/>
                          </w:divBdr>
                          <w:divsChild>
                            <w:div w:id="1077747145">
                              <w:marLeft w:val="0"/>
                              <w:marRight w:val="0"/>
                              <w:marTop w:val="0"/>
                              <w:marBottom w:val="240"/>
                              <w:divBdr>
                                <w:top w:val="none" w:sz="0" w:space="0" w:color="auto"/>
                                <w:left w:val="none" w:sz="0" w:space="0" w:color="auto"/>
                                <w:bottom w:val="none" w:sz="0" w:space="0" w:color="auto"/>
                                <w:right w:val="none" w:sz="0" w:space="0" w:color="auto"/>
                              </w:divBdr>
                              <w:divsChild>
                                <w:div w:id="318851656">
                                  <w:marLeft w:val="0"/>
                                  <w:marRight w:val="0"/>
                                  <w:marTop w:val="0"/>
                                  <w:marBottom w:val="0"/>
                                  <w:divBdr>
                                    <w:top w:val="none" w:sz="0" w:space="0" w:color="auto"/>
                                    <w:left w:val="none" w:sz="0" w:space="0" w:color="auto"/>
                                    <w:bottom w:val="none" w:sz="0" w:space="0" w:color="auto"/>
                                    <w:right w:val="none" w:sz="0" w:space="0" w:color="auto"/>
                                  </w:divBdr>
                                  <w:divsChild>
                                    <w:div w:id="1548835944">
                                      <w:marLeft w:val="0"/>
                                      <w:marRight w:val="0"/>
                                      <w:marTop w:val="0"/>
                                      <w:marBottom w:val="0"/>
                                      <w:divBdr>
                                        <w:top w:val="none" w:sz="0" w:space="0" w:color="auto"/>
                                        <w:left w:val="none" w:sz="0" w:space="0" w:color="auto"/>
                                        <w:bottom w:val="none" w:sz="0" w:space="0" w:color="auto"/>
                                        <w:right w:val="none" w:sz="0" w:space="0" w:color="auto"/>
                                      </w:divBdr>
                                      <w:divsChild>
                                        <w:div w:id="1965193540">
                                          <w:marLeft w:val="0"/>
                                          <w:marRight w:val="0"/>
                                          <w:marTop w:val="0"/>
                                          <w:marBottom w:val="0"/>
                                          <w:divBdr>
                                            <w:top w:val="none" w:sz="0" w:space="0" w:color="auto"/>
                                            <w:left w:val="none" w:sz="0" w:space="0" w:color="auto"/>
                                            <w:bottom w:val="none" w:sz="0" w:space="0" w:color="auto"/>
                                            <w:right w:val="none" w:sz="0" w:space="0" w:color="auto"/>
                                          </w:divBdr>
                                          <w:divsChild>
                                            <w:div w:id="1278220763">
                                              <w:marLeft w:val="0"/>
                                              <w:marRight w:val="0"/>
                                              <w:marTop w:val="0"/>
                                              <w:marBottom w:val="0"/>
                                              <w:divBdr>
                                                <w:top w:val="none" w:sz="0" w:space="0" w:color="auto"/>
                                                <w:left w:val="none" w:sz="0" w:space="0" w:color="auto"/>
                                                <w:bottom w:val="none" w:sz="0" w:space="0" w:color="auto"/>
                                                <w:right w:val="none" w:sz="0" w:space="0" w:color="auto"/>
                                              </w:divBdr>
                                              <w:divsChild>
                                                <w:div w:id="1033119535">
                                                  <w:marLeft w:val="0"/>
                                                  <w:marRight w:val="0"/>
                                                  <w:marTop w:val="0"/>
                                                  <w:marBottom w:val="0"/>
                                                  <w:divBdr>
                                                    <w:top w:val="none" w:sz="0" w:space="0" w:color="auto"/>
                                                    <w:left w:val="none" w:sz="0" w:space="0" w:color="auto"/>
                                                    <w:bottom w:val="none" w:sz="0" w:space="0" w:color="auto"/>
                                                    <w:right w:val="none" w:sz="0" w:space="0" w:color="auto"/>
                                                  </w:divBdr>
                                                  <w:divsChild>
                                                    <w:div w:id="6789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486626">
      <w:bodyDiv w:val="1"/>
      <w:marLeft w:val="0"/>
      <w:marRight w:val="0"/>
      <w:marTop w:val="0"/>
      <w:marBottom w:val="0"/>
      <w:divBdr>
        <w:top w:val="none" w:sz="0" w:space="0" w:color="auto"/>
        <w:left w:val="none" w:sz="0" w:space="0" w:color="auto"/>
        <w:bottom w:val="none" w:sz="0" w:space="0" w:color="auto"/>
        <w:right w:val="none" w:sz="0" w:space="0" w:color="auto"/>
      </w:divBdr>
    </w:div>
    <w:div w:id="200479690">
      <w:bodyDiv w:val="1"/>
      <w:marLeft w:val="0"/>
      <w:marRight w:val="0"/>
      <w:marTop w:val="0"/>
      <w:marBottom w:val="0"/>
      <w:divBdr>
        <w:top w:val="none" w:sz="0" w:space="0" w:color="auto"/>
        <w:left w:val="none" w:sz="0" w:space="0" w:color="auto"/>
        <w:bottom w:val="none" w:sz="0" w:space="0" w:color="auto"/>
        <w:right w:val="none" w:sz="0" w:space="0" w:color="auto"/>
      </w:divBdr>
      <w:divsChild>
        <w:div w:id="1955401122">
          <w:marLeft w:val="0"/>
          <w:marRight w:val="0"/>
          <w:marTop w:val="0"/>
          <w:marBottom w:val="0"/>
          <w:divBdr>
            <w:top w:val="none" w:sz="0" w:space="0" w:color="auto"/>
            <w:left w:val="none" w:sz="0" w:space="0" w:color="auto"/>
            <w:bottom w:val="none" w:sz="0" w:space="0" w:color="auto"/>
            <w:right w:val="none" w:sz="0" w:space="0" w:color="auto"/>
          </w:divBdr>
          <w:divsChild>
            <w:div w:id="1354108398">
              <w:marLeft w:val="0"/>
              <w:marRight w:val="0"/>
              <w:marTop w:val="0"/>
              <w:marBottom w:val="0"/>
              <w:divBdr>
                <w:top w:val="none" w:sz="0" w:space="0" w:color="auto"/>
                <w:left w:val="none" w:sz="0" w:space="0" w:color="auto"/>
                <w:bottom w:val="none" w:sz="0" w:space="0" w:color="auto"/>
                <w:right w:val="none" w:sz="0" w:space="0" w:color="auto"/>
              </w:divBdr>
              <w:divsChild>
                <w:div w:id="162858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14340">
      <w:bodyDiv w:val="1"/>
      <w:marLeft w:val="0"/>
      <w:marRight w:val="0"/>
      <w:marTop w:val="0"/>
      <w:marBottom w:val="0"/>
      <w:divBdr>
        <w:top w:val="none" w:sz="0" w:space="0" w:color="auto"/>
        <w:left w:val="none" w:sz="0" w:space="0" w:color="auto"/>
        <w:bottom w:val="none" w:sz="0" w:space="0" w:color="auto"/>
        <w:right w:val="none" w:sz="0" w:space="0" w:color="auto"/>
      </w:divBdr>
    </w:div>
    <w:div w:id="423232296">
      <w:bodyDiv w:val="1"/>
      <w:marLeft w:val="0"/>
      <w:marRight w:val="0"/>
      <w:marTop w:val="0"/>
      <w:marBottom w:val="0"/>
      <w:divBdr>
        <w:top w:val="none" w:sz="0" w:space="0" w:color="auto"/>
        <w:left w:val="none" w:sz="0" w:space="0" w:color="auto"/>
        <w:bottom w:val="none" w:sz="0" w:space="0" w:color="auto"/>
        <w:right w:val="none" w:sz="0" w:space="0" w:color="auto"/>
      </w:divBdr>
    </w:div>
    <w:div w:id="433206338">
      <w:bodyDiv w:val="1"/>
      <w:marLeft w:val="0"/>
      <w:marRight w:val="0"/>
      <w:marTop w:val="0"/>
      <w:marBottom w:val="0"/>
      <w:divBdr>
        <w:top w:val="none" w:sz="0" w:space="0" w:color="auto"/>
        <w:left w:val="none" w:sz="0" w:space="0" w:color="auto"/>
        <w:bottom w:val="none" w:sz="0" w:space="0" w:color="auto"/>
        <w:right w:val="none" w:sz="0" w:space="0" w:color="auto"/>
      </w:divBdr>
    </w:div>
    <w:div w:id="443155312">
      <w:bodyDiv w:val="1"/>
      <w:marLeft w:val="0"/>
      <w:marRight w:val="0"/>
      <w:marTop w:val="0"/>
      <w:marBottom w:val="0"/>
      <w:divBdr>
        <w:top w:val="none" w:sz="0" w:space="0" w:color="auto"/>
        <w:left w:val="none" w:sz="0" w:space="0" w:color="auto"/>
        <w:bottom w:val="none" w:sz="0" w:space="0" w:color="auto"/>
        <w:right w:val="none" w:sz="0" w:space="0" w:color="auto"/>
      </w:divBdr>
      <w:divsChild>
        <w:div w:id="1535458732">
          <w:marLeft w:val="0"/>
          <w:marRight w:val="0"/>
          <w:marTop w:val="0"/>
          <w:marBottom w:val="0"/>
          <w:divBdr>
            <w:top w:val="none" w:sz="0" w:space="0" w:color="auto"/>
            <w:left w:val="none" w:sz="0" w:space="0" w:color="auto"/>
            <w:bottom w:val="none" w:sz="0" w:space="0" w:color="auto"/>
            <w:right w:val="none" w:sz="0" w:space="0" w:color="auto"/>
          </w:divBdr>
          <w:divsChild>
            <w:div w:id="1671565709">
              <w:marLeft w:val="0"/>
              <w:marRight w:val="0"/>
              <w:marTop w:val="0"/>
              <w:marBottom w:val="0"/>
              <w:divBdr>
                <w:top w:val="none" w:sz="0" w:space="0" w:color="auto"/>
                <w:left w:val="none" w:sz="0" w:space="0" w:color="auto"/>
                <w:bottom w:val="none" w:sz="0" w:space="0" w:color="auto"/>
                <w:right w:val="none" w:sz="0" w:space="0" w:color="auto"/>
              </w:divBdr>
              <w:divsChild>
                <w:div w:id="467354775">
                  <w:marLeft w:val="0"/>
                  <w:marRight w:val="0"/>
                  <w:marTop w:val="0"/>
                  <w:marBottom w:val="0"/>
                  <w:divBdr>
                    <w:top w:val="none" w:sz="0" w:space="0" w:color="auto"/>
                    <w:left w:val="none" w:sz="0" w:space="0" w:color="auto"/>
                    <w:bottom w:val="none" w:sz="0" w:space="0" w:color="auto"/>
                    <w:right w:val="none" w:sz="0" w:space="0" w:color="auto"/>
                  </w:divBdr>
                  <w:divsChild>
                    <w:div w:id="32121025">
                      <w:marLeft w:val="150"/>
                      <w:marRight w:val="150"/>
                      <w:marTop w:val="0"/>
                      <w:marBottom w:val="0"/>
                      <w:divBdr>
                        <w:top w:val="none" w:sz="0" w:space="0" w:color="auto"/>
                        <w:left w:val="none" w:sz="0" w:space="0" w:color="auto"/>
                        <w:bottom w:val="none" w:sz="0" w:space="0" w:color="auto"/>
                        <w:right w:val="none" w:sz="0" w:space="0" w:color="auto"/>
                      </w:divBdr>
                      <w:divsChild>
                        <w:div w:id="1060859988">
                          <w:marLeft w:val="0"/>
                          <w:marRight w:val="0"/>
                          <w:marTop w:val="0"/>
                          <w:marBottom w:val="0"/>
                          <w:divBdr>
                            <w:top w:val="none" w:sz="0" w:space="0" w:color="auto"/>
                            <w:left w:val="none" w:sz="0" w:space="0" w:color="auto"/>
                            <w:bottom w:val="none" w:sz="0" w:space="0" w:color="auto"/>
                            <w:right w:val="none" w:sz="0" w:space="0" w:color="auto"/>
                          </w:divBdr>
                          <w:divsChild>
                            <w:div w:id="1767534321">
                              <w:marLeft w:val="0"/>
                              <w:marRight w:val="0"/>
                              <w:marTop w:val="0"/>
                              <w:marBottom w:val="240"/>
                              <w:divBdr>
                                <w:top w:val="none" w:sz="0" w:space="0" w:color="auto"/>
                                <w:left w:val="none" w:sz="0" w:space="0" w:color="auto"/>
                                <w:bottom w:val="none" w:sz="0" w:space="0" w:color="auto"/>
                                <w:right w:val="none" w:sz="0" w:space="0" w:color="auto"/>
                              </w:divBdr>
                              <w:divsChild>
                                <w:div w:id="1570530073">
                                  <w:marLeft w:val="0"/>
                                  <w:marRight w:val="0"/>
                                  <w:marTop w:val="0"/>
                                  <w:marBottom w:val="0"/>
                                  <w:divBdr>
                                    <w:top w:val="none" w:sz="0" w:space="0" w:color="auto"/>
                                    <w:left w:val="none" w:sz="0" w:space="0" w:color="auto"/>
                                    <w:bottom w:val="none" w:sz="0" w:space="0" w:color="auto"/>
                                    <w:right w:val="none" w:sz="0" w:space="0" w:color="auto"/>
                                  </w:divBdr>
                                  <w:divsChild>
                                    <w:div w:id="2032536282">
                                      <w:marLeft w:val="0"/>
                                      <w:marRight w:val="0"/>
                                      <w:marTop w:val="0"/>
                                      <w:marBottom w:val="0"/>
                                      <w:divBdr>
                                        <w:top w:val="none" w:sz="0" w:space="0" w:color="auto"/>
                                        <w:left w:val="none" w:sz="0" w:space="0" w:color="auto"/>
                                        <w:bottom w:val="none" w:sz="0" w:space="0" w:color="auto"/>
                                        <w:right w:val="none" w:sz="0" w:space="0" w:color="auto"/>
                                      </w:divBdr>
                                      <w:divsChild>
                                        <w:div w:id="1381520219">
                                          <w:marLeft w:val="0"/>
                                          <w:marRight w:val="0"/>
                                          <w:marTop w:val="0"/>
                                          <w:marBottom w:val="0"/>
                                          <w:divBdr>
                                            <w:top w:val="none" w:sz="0" w:space="0" w:color="auto"/>
                                            <w:left w:val="none" w:sz="0" w:space="0" w:color="auto"/>
                                            <w:bottom w:val="none" w:sz="0" w:space="0" w:color="auto"/>
                                            <w:right w:val="none" w:sz="0" w:space="0" w:color="auto"/>
                                          </w:divBdr>
                                          <w:divsChild>
                                            <w:div w:id="196041897">
                                              <w:marLeft w:val="0"/>
                                              <w:marRight w:val="0"/>
                                              <w:marTop w:val="0"/>
                                              <w:marBottom w:val="0"/>
                                              <w:divBdr>
                                                <w:top w:val="none" w:sz="0" w:space="0" w:color="auto"/>
                                                <w:left w:val="none" w:sz="0" w:space="0" w:color="auto"/>
                                                <w:bottom w:val="none" w:sz="0" w:space="0" w:color="auto"/>
                                                <w:right w:val="none" w:sz="0" w:space="0" w:color="auto"/>
                                              </w:divBdr>
                                              <w:divsChild>
                                                <w:div w:id="1710297940">
                                                  <w:marLeft w:val="0"/>
                                                  <w:marRight w:val="0"/>
                                                  <w:marTop w:val="0"/>
                                                  <w:marBottom w:val="0"/>
                                                  <w:divBdr>
                                                    <w:top w:val="none" w:sz="0" w:space="0" w:color="auto"/>
                                                    <w:left w:val="none" w:sz="0" w:space="0" w:color="auto"/>
                                                    <w:bottom w:val="none" w:sz="0" w:space="0" w:color="auto"/>
                                                    <w:right w:val="none" w:sz="0" w:space="0" w:color="auto"/>
                                                  </w:divBdr>
                                                  <w:divsChild>
                                                    <w:div w:id="5211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3134403">
      <w:bodyDiv w:val="1"/>
      <w:marLeft w:val="0"/>
      <w:marRight w:val="0"/>
      <w:marTop w:val="0"/>
      <w:marBottom w:val="0"/>
      <w:divBdr>
        <w:top w:val="none" w:sz="0" w:space="0" w:color="auto"/>
        <w:left w:val="none" w:sz="0" w:space="0" w:color="auto"/>
        <w:bottom w:val="none" w:sz="0" w:space="0" w:color="auto"/>
        <w:right w:val="none" w:sz="0" w:space="0" w:color="auto"/>
      </w:divBdr>
      <w:divsChild>
        <w:div w:id="1523975940">
          <w:marLeft w:val="0"/>
          <w:marRight w:val="0"/>
          <w:marTop w:val="0"/>
          <w:marBottom w:val="0"/>
          <w:divBdr>
            <w:top w:val="none" w:sz="0" w:space="0" w:color="auto"/>
            <w:left w:val="none" w:sz="0" w:space="0" w:color="auto"/>
            <w:bottom w:val="none" w:sz="0" w:space="0" w:color="auto"/>
            <w:right w:val="none" w:sz="0" w:space="0" w:color="auto"/>
          </w:divBdr>
          <w:divsChild>
            <w:div w:id="755445732">
              <w:marLeft w:val="0"/>
              <w:marRight w:val="0"/>
              <w:marTop w:val="0"/>
              <w:marBottom w:val="0"/>
              <w:divBdr>
                <w:top w:val="none" w:sz="0" w:space="0" w:color="auto"/>
                <w:left w:val="none" w:sz="0" w:space="0" w:color="auto"/>
                <w:bottom w:val="none" w:sz="0" w:space="0" w:color="auto"/>
                <w:right w:val="none" w:sz="0" w:space="0" w:color="auto"/>
              </w:divBdr>
              <w:divsChild>
                <w:div w:id="2106067896">
                  <w:marLeft w:val="0"/>
                  <w:marRight w:val="0"/>
                  <w:marTop w:val="0"/>
                  <w:marBottom w:val="0"/>
                  <w:divBdr>
                    <w:top w:val="none" w:sz="0" w:space="0" w:color="auto"/>
                    <w:left w:val="none" w:sz="0" w:space="0" w:color="auto"/>
                    <w:bottom w:val="none" w:sz="0" w:space="0" w:color="auto"/>
                    <w:right w:val="none" w:sz="0" w:space="0" w:color="auto"/>
                  </w:divBdr>
                  <w:divsChild>
                    <w:div w:id="1043404184">
                      <w:marLeft w:val="150"/>
                      <w:marRight w:val="150"/>
                      <w:marTop w:val="0"/>
                      <w:marBottom w:val="0"/>
                      <w:divBdr>
                        <w:top w:val="none" w:sz="0" w:space="0" w:color="auto"/>
                        <w:left w:val="none" w:sz="0" w:space="0" w:color="auto"/>
                        <w:bottom w:val="none" w:sz="0" w:space="0" w:color="auto"/>
                        <w:right w:val="none" w:sz="0" w:space="0" w:color="auto"/>
                      </w:divBdr>
                      <w:divsChild>
                        <w:div w:id="1530677405">
                          <w:marLeft w:val="0"/>
                          <w:marRight w:val="0"/>
                          <w:marTop w:val="0"/>
                          <w:marBottom w:val="0"/>
                          <w:divBdr>
                            <w:top w:val="none" w:sz="0" w:space="0" w:color="auto"/>
                            <w:left w:val="none" w:sz="0" w:space="0" w:color="auto"/>
                            <w:bottom w:val="none" w:sz="0" w:space="0" w:color="auto"/>
                            <w:right w:val="none" w:sz="0" w:space="0" w:color="auto"/>
                          </w:divBdr>
                          <w:divsChild>
                            <w:div w:id="630987353">
                              <w:marLeft w:val="0"/>
                              <w:marRight w:val="0"/>
                              <w:marTop w:val="0"/>
                              <w:marBottom w:val="240"/>
                              <w:divBdr>
                                <w:top w:val="none" w:sz="0" w:space="0" w:color="auto"/>
                                <w:left w:val="none" w:sz="0" w:space="0" w:color="auto"/>
                                <w:bottom w:val="none" w:sz="0" w:space="0" w:color="auto"/>
                                <w:right w:val="none" w:sz="0" w:space="0" w:color="auto"/>
                              </w:divBdr>
                              <w:divsChild>
                                <w:div w:id="998996087">
                                  <w:marLeft w:val="0"/>
                                  <w:marRight w:val="0"/>
                                  <w:marTop w:val="0"/>
                                  <w:marBottom w:val="0"/>
                                  <w:divBdr>
                                    <w:top w:val="none" w:sz="0" w:space="0" w:color="auto"/>
                                    <w:left w:val="none" w:sz="0" w:space="0" w:color="auto"/>
                                    <w:bottom w:val="none" w:sz="0" w:space="0" w:color="auto"/>
                                    <w:right w:val="none" w:sz="0" w:space="0" w:color="auto"/>
                                  </w:divBdr>
                                  <w:divsChild>
                                    <w:div w:id="1271472325">
                                      <w:marLeft w:val="0"/>
                                      <w:marRight w:val="0"/>
                                      <w:marTop w:val="0"/>
                                      <w:marBottom w:val="0"/>
                                      <w:divBdr>
                                        <w:top w:val="none" w:sz="0" w:space="0" w:color="auto"/>
                                        <w:left w:val="none" w:sz="0" w:space="0" w:color="auto"/>
                                        <w:bottom w:val="none" w:sz="0" w:space="0" w:color="auto"/>
                                        <w:right w:val="none" w:sz="0" w:space="0" w:color="auto"/>
                                      </w:divBdr>
                                      <w:divsChild>
                                        <w:div w:id="1916351997">
                                          <w:marLeft w:val="0"/>
                                          <w:marRight w:val="0"/>
                                          <w:marTop w:val="0"/>
                                          <w:marBottom w:val="0"/>
                                          <w:divBdr>
                                            <w:top w:val="none" w:sz="0" w:space="0" w:color="auto"/>
                                            <w:left w:val="none" w:sz="0" w:space="0" w:color="auto"/>
                                            <w:bottom w:val="none" w:sz="0" w:space="0" w:color="auto"/>
                                            <w:right w:val="none" w:sz="0" w:space="0" w:color="auto"/>
                                          </w:divBdr>
                                          <w:divsChild>
                                            <w:div w:id="1641301764">
                                              <w:marLeft w:val="0"/>
                                              <w:marRight w:val="0"/>
                                              <w:marTop w:val="0"/>
                                              <w:marBottom w:val="0"/>
                                              <w:divBdr>
                                                <w:top w:val="none" w:sz="0" w:space="0" w:color="auto"/>
                                                <w:left w:val="none" w:sz="0" w:space="0" w:color="auto"/>
                                                <w:bottom w:val="none" w:sz="0" w:space="0" w:color="auto"/>
                                                <w:right w:val="none" w:sz="0" w:space="0" w:color="auto"/>
                                              </w:divBdr>
                                              <w:divsChild>
                                                <w:div w:id="1611277080">
                                                  <w:marLeft w:val="0"/>
                                                  <w:marRight w:val="0"/>
                                                  <w:marTop w:val="0"/>
                                                  <w:marBottom w:val="0"/>
                                                  <w:divBdr>
                                                    <w:top w:val="none" w:sz="0" w:space="0" w:color="auto"/>
                                                    <w:left w:val="none" w:sz="0" w:space="0" w:color="auto"/>
                                                    <w:bottom w:val="none" w:sz="0" w:space="0" w:color="auto"/>
                                                    <w:right w:val="none" w:sz="0" w:space="0" w:color="auto"/>
                                                  </w:divBdr>
                                                  <w:divsChild>
                                                    <w:div w:id="44292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574570">
      <w:bodyDiv w:val="1"/>
      <w:marLeft w:val="0"/>
      <w:marRight w:val="0"/>
      <w:marTop w:val="0"/>
      <w:marBottom w:val="0"/>
      <w:divBdr>
        <w:top w:val="none" w:sz="0" w:space="0" w:color="auto"/>
        <w:left w:val="none" w:sz="0" w:space="0" w:color="auto"/>
        <w:bottom w:val="none" w:sz="0" w:space="0" w:color="auto"/>
        <w:right w:val="none" w:sz="0" w:space="0" w:color="auto"/>
      </w:divBdr>
      <w:divsChild>
        <w:div w:id="846208874">
          <w:marLeft w:val="0"/>
          <w:marRight w:val="0"/>
          <w:marTop w:val="0"/>
          <w:marBottom w:val="0"/>
          <w:divBdr>
            <w:top w:val="none" w:sz="0" w:space="0" w:color="auto"/>
            <w:left w:val="none" w:sz="0" w:space="0" w:color="auto"/>
            <w:bottom w:val="none" w:sz="0" w:space="0" w:color="auto"/>
            <w:right w:val="none" w:sz="0" w:space="0" w:color="auto"/>
          </w:divBdr>
          <w:divsChild>
            <w:div w:id="359858581">
              <w:marLeft w:val="0"/>
              <w:marRight w:val="0"/>
              <w:marTop w:val="0"/>
              <w:marBottom w:val="0"/>
              <w:divBdr>
                <w:top w:val="none" w:sz="0" w:space="0" w:color="auto"/>
                <w:left w:val="none" w:sz="0" w:space="0" w:color="auto"/>
                <w:bottom w:val="none" w:sz="0" w:space="0" w:color="auto"/>
                <w:right w:val="none" w:sz="0" w:space="0" w:color="auto"/>
              </w:divBdr>
              <w:divsChild>
                <w:div w:id="1307275659">
                  <w:marLeft w:val="0"/>
                  <w:marRight w:val="0"/>
                  <w:marTop w:val="0"/>
                  <w:marBottom w:val="0"/>
                  <w:divBdr>
                    <w:top w:val="none" w:sz="0" w:space="0" w:color="auto"/>
                    <w:left w:val="none" w:sz="0" w:space="0" w:color="auto"/>
                    <w:bottom w:val="none" w:sz="0" w:space="0" w:color="auto"/>
                    <w:right w:val="none" w:sz="0" w:space="0" w:color="auto"/>
                  </w:divBdr>
                  <w:divsChild>
                    <w:div w:id="1067918764">
                      <w:marLeft w:val="150"/>
                      <w:marRight w:val="150"/>
                      <w:marTop w:val="0"/>
                      <w:marBottom w:val="0"/>
                      <w:divBdr>
                        <w:top w:val="none" w:sz="0" w:space="0" w:color="auto"/>
                        <w:left w:val="none" w:sz="0" w:space="0" w:color="auto"/>
                        <w:bottom w:val="none" w:sz="0" w:space="0" w:color="auto"/>
                        <w:right w:val="none" w:sz="0" w:space="0" w:color="auto"/>
                      </w:divBdr>
                      <w:divsChild>
                        <w:div w:id="664207608">
                          <w:marLeft w:val="0"/>
                          <w:marRight w:val="0"/>
                          <w:marTop w:val="0"/>
                          <w:marBottom w:val="0"/>
                          <w:divBdr>
                            <w:top w:val="none" w:sz="0" w:space="0" w:color="auto"/>
                            <w:left w:val="none" w:sz="0" w:space="0" w:color="auto"/>
                            <w:bottom w:val="none" w:sz="0" w:space="0" w:color="auto"/>
                            <w:right w:val="none" w:sz="0" w:space="0" w:color="auto"/>
                          </w:divBdr>
                          <w:divsChild>
                            <w:div w:id="1460994546">
                              <w:marLeft w:val="0"/>
                              <w:marRight w:val="0"/>
                              <w:marTop w:val="0"/>
                              <w:marBottom w:val="240"/>
                              <w:divBdr>
                                <w:top w:val="none" w:sz="0" w:space="0" w:color="auto"/>
                                <w:left w:val="none" w:sz="0" w:space="0" w:color="auto"/>
                                <w:bottom w:val="none" w:sz="0" w:space="0" w:color="auto"/>
                                <w:right w:val="none" w:sz="0" w:space="0" w:color="auto"/>
                              </w:divBdr>
                              <w:divsChild>
                                <w:div w:id="136800519">
                                  <w:marLeft w:val="0"/>
                                  <w:marRight w:val="0"/>
                                  <w:marTop w:val="0"/>
                                  <w:marBottom w:val="0"/>
                                  <w:divBdr>
                                    <w:top w:val="none" w:sz="0" w:space="0" w:color="auto"/>
                                    <w:left w:val="none" w:sz="0" w:space="0" w:color="auto"/>
                                    <w:bottom w:val="none" w:sz="0" w:space="0" w:color="auto"/>
                                    <w:right w:val="none" w:sz="0" w:space="0" w:color="auto"/>
                                  </w:divBdr>
                                  <w:divsChild>
                                    <w:div w:id="1778021468">
                                      <w:marLeft w:val="0"/>
                                      <w:marRight w:val="0"/>
                                      <w:marTop w:val="0"/>
                                      <w:marBottom w:val="0"/>
                                      <w:divBdr>
                                        <w:top w:val="none" w:sz="0" w:space="0" w:color="auto"/>
                                        <w:left w:val="none" w:sz="0" w:space="0" w:color="auto"/>
                                        <w:bottom w:val="none" w:sz="0" w:space="0" w:color="auto"/>
                                        <w:right w:val="none" w:sz="0" w:space="0" w:color="auto"/>
                                      </w:divBdr>
                                      <w:divsChild>
                                        <w:div w:id="325984688">
                                          <w:marLeft w:val="0"/>
                                          <w:marRight w:val="0"/>
                                          <w:marTop w:val="0"/>
                                          <w:marBottom w:val="0"/>
                                          <w:divBdr>
                                            <w:top w:val="none" w:sz="0" w:space="0" w:color="auto"/>
                                            <w:left w:val="none" w:sz="0" w:space="0" w:color="auto"/>
                                            <w:bottom w:val="none" w:sz="0" w:space="0" w:color="auto"/>
                                            <w:right w:val="none" w:sz="0" w:space="0" w:color="auto"/>
                                          </w:divBdr>
                                          <w:divsChild>
                                            <w:div w:id="395056256">
                                              <w:marLeft w:val="0"/>
                                              <w:marRight w:val="0"/>
                                              <w:marTop w:val="0"/>
                                              <w:marBottom w:val="0"/>
                                              <w:divBdr>
                                                <w:top w:val="none" w:sz="0" w:space="0" w:color="auto"/>
                                                <w:left w:val="none" w:sz="0" w:space="0" w:color="auto"/>
                                                <w:bottom w:val="none" w:sz="0" w:space="0" w:color="auto"/>
                                                <w:right w:val="none" w:sz="0" w:space="0" w:color="auto"/>
                                              </w:divBdr>
                                              <w:divsChild>
                                                <w:div w:id="74980578">
                                                  <w:marLeft w:val="0"/>
                                                  <w:marRight w:val="0"/>
                                                  <w:marTop w:val="0"/>
                                                  <w:marBottom w:val="0"/>
                                                  <w:divBdr>
                                                    <w:top w:val="none" w:sz="0" w:space="0" w:color="auto"/>
                                                    <w:left w:val="none" w:sz="0" w:space="0" w:color="auto"/>
                                                    <w:bottom w:val="none" w:sz="0" w:space="0" w:color="auto"/>
                                                    <w:right w:val="none" w:sz="0" w:space="0" w:color="auto"/>
                                                  </w:divBdr>
                                                  <w:divsChild>
                                                    <w:div w:id="12415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7708104">
      <w:bodyDiv w:val="1"/>
      <w:marLeft w:val="0"/>
      <w:marRight w:val="0"/>
      <w:marTop w:val="0"/>
      <w:marBottom w:val="0"/>
      <w:divBdr>
        <w:top w:val="none" w:sz="0" w:space="0" w:color="auto"/>
        <w:left w:val="none" w:sz="0" w:space="0" w:color="auto"/>
        <w:bottom w:val="none" w:sz="0" w:space="0" w:color="auto"/>
        <w:right w:val="none" w:sz="0" w:space="0" w:color="auto"/>
      </w:divBdr>
    </w:div>
    <w:div w:id="779493430">
      <w:bodyDiv w:val="1"/>
      <w:marLeft w:val="0"/>
      <w:marRight w:val="0"/>
      <w:marTop w:val="0"/>
      <w:marBottom w:val="0"/>
      <w:divBdr>
        <w:top w:val="none" w:sz="0" w:space="0" w:color="auto"/>
        <w:left w:val="none" w:sz="0" w:space="0" w:color="auto"/>
        <w:bottom w:val="none" w:sz="0" w:space="0" w:color="auto"/>
        <w:right w:val="none" w:sz="0" w:space="0" w:color="auto"/>
      </w:divBdr>
    </w:div>
    <w:div w:id="826557684">
      <w:bodyDiv w:val="1"/>
      <w:marLeft w:val="0"/>
      <w:marRight w:val="0"/>
      <w:marTop w:val="0"/>
      <w:marBottom w:val="0"/>
      <w:divBdr>
        <w:top w:val="none" w:sz="0" w:space="0" w:color="auto"/>
        <w:left w:val="none" w:sz="0" w:space="0" w:color="auto"/>
        <w:bottom w:val="none" w:sz="0" w:space="0" w:color="auto"/>
        <w:right w:val="none" w:sz="0" w:space="0" w:color="auto"/>
      </w:divBdr>
    </w:div>
    <w:div w:id="951861804">
      <w:bodyDiv w:val="1"/>
      <w:marLeft w:val="0"/>
      <w:marRight w:val="0"/>
      <w:marTop w:val="0"/>
      <w:marBottom w:val="0"/>
      <w:divBdr>
        <w:top w:val="none" w:sz="0" w:space="0" w:color="auto"/>
        <w:left w:val="none" w:sz="0" w:space="0" w:color="auto"/>
        <w:bottom w:val="none" w:sz="0" w:space="0" w:color="auto"/>
        <w:right w:val="none" w:sz="0" w:space="0" w:color="auto"/>
      </w:divBdr>
      <w:divsChild>
        <w:div w:id="1528327711">
          <w:marLeft w:val="0"/>
          <w:marRight w:val="0"/>
          <w:marTop w:val="0"/>
          <w:marBottom w:val="0"/>
          <w:divBdr>
            <w:top w:val="none" w:sz="0" w:space="0" w:color="auto"/>
            <w:left w:val="none" w:sz="0" w:space="0" w:color="auto"/>
            <w:bottom w:val="none" w:sz="0" w:space="0" w:color="auto"/>
            <w:right w:val="none" w:sz="0" w:space="0" w:color="auto"/>
          </w:divBdr>
          <w:divsChild>
            <w:div w:id="767852432">
              <w:marLeft w:val="0"/>
              <w:marRight w:val="0"/>
              <w:marTop w:val="0"/>
              <w:marBottom w:val="0"/>
              <w:divBdr>
                <w:top w:val="none" w:sz="0" w:space="0" w:color="auto"/>
                <w:left w:val="none" w:sz="0" w:space="0" w:color="auto"/>
                <w:bottom w:val="none" w:sz="0" w:space="0" w:color="auto"/>
                <w:right w:val="none" w:sz="0" w:space="0" w:color="auto"/>
              </w:divBdr>
              <w:divsChild>
                <w:div w:id="140075847">
                  <w:marLeft w:val="0"/>
                  <w:marRight w:val="0"/>
                  <w:marTop w:val="0"/>
                  <w:marBottom w:val="0"/>
                  <w:divBdr>
                    <w:top w:val="none" w:sz="0" w:space="0" w:color="auto"/>
                    <w:left w:val="none" w:sz="0" w:space="0" w:color="auto"/>
                    <w:bottom w:val="none" w:sz="0" w:space="0" w:color="auto"/>
                    <w:right w:val="none" w:sz="0" w:space="0" w:color="auto"/>
                  </w:divBdr>
                  <w:divsChild>
                    <w:div w:id="1735810932">
                      <w:marLeft w:val="150"/>
                      <w:marRight w:val="150"/>
                      <w:marTop w:val="0"/>
                      <w:marBottom w:val="0"/>
                      <w:divBdr>
                        <w:top w:val="none" w:sz="0" w:space="0" w:color="auto"/>
                        <w:left w:val="none" w:sz="0" w:space="0" w:color="auto"/>
                        <w:bottom w:val="none" w:sz="0" w:space="0" w:color="auto"/>
                        <w:right w:val="none" w:sz="0" w:space="0" w:color="auto"/>
                      </w:divBdr>
                      <w:divsChild>
                        <w:div w:id="800264566">
                          <w:marLeft w:val="0"/>
                          <w:marRight w:val="0"/>
                          <w:marTop w:val="0"/>
                          <w:marBottom w:val="0"/>
                          <w:divBdr>
                            <w:top w:val="none" w:sz="0" w:space="0" w:color="auto"/>
                            <w:left w:val="none" w:sz="0" w:space="0" w:color="auto"/>
                            <w:bottom w:val="none" w:sz="0" w:space="0" w:color="auto"/>
                            <w:right w:val="none" w:sz="0" w:space="0" w:color="auto"/>
                          </w:divBdr>
                          <w:divsChild>
                            <w:div w:id="765199501">
                              <w:marLeft w:val="0"/>
                              <w:marRight w:val="0"/>
                              <w:marTop w:val="0"/>
                              <w:marBottom w:val="240"/>
                              <w:divBdr>
                                <w:top w:val="none" w:sz="0" w:space="0" w:color="auto"/>
                                <w:left w:val="none" w:sz="0" w:space="0" w:color="auto"/>
                                <w:bottom w:val="none" w:sz="0" w:space="0" w:color="auto"/>
                                <w:right w:val="none" w:sz="0" w:space="0" w:color="auto"/>
                              </w:divBdr>
                              <w:divsChild>
                                <w:div w:id="1110246508">
                                  <w:marLeft w:val="0"/>
                                  <w:marRight w:val="0"/>
                                  <w:marTop w:val="0"/>
                                  <w:marBottom w:val="0"/>
                                  <w:divBdr>
                                    <w:top w:val="none" w:sz="0" w:space="0" w:color="auto"/>
                                    <w:left w:val="none" w:sz="0" w:space="0" w:color="auto"/>
                                    <w:bottom w:val="none" w:sz="0" w:space="0" w:color="auto"/>
                                    <w:right w:val="none" w:sz="0" w:space="0" w:color="auto"/>
                                  </w:divBdr>
                                  <w:divsChild>
                                    <w:div w:id="1820078839">
                                      <w:marLeft w:val="0"/>
                                      <w:marRight w:val="0"/>
                                      <w:marTop w:val="0"/>
                                      <w:marBottom w:val="0"/>
                                      <w:divBdr>
                                        <w:top w:val="none" w:sz="0" w:space="0" w:color="auto"/>
                                        <w:left w:val="none" w:sz="0" w:space="0" w:color="auto"/>
                                        <w:bottom w:val="none" w:sz="0" w:space="0" w:color="auto"/>
                                        <w:right w:val="none" w:sz="0" w:space="0" w:color="auto"/>
                                      </w:divBdr>
                                      <w:divsChild>
                                        <w:div w:id="1574002040">
                                          <w:marLeft w:val="0"/>
                                          <w:marRight w:val="0"/>
                                          <w:marTop w:val="0"/>
                                          <w:marBottom w:val="0"/>
                                          <w:divBdr>
                                            <w:top w:val="none" w:sz="0" w:space="0" w:color="auto"/>
                                            <w:left w:val="none" w:sz="0" w:space="0" w:color="auto"/>
                                            <w:bottom w:val="none" w:sz="0" w:space="0" w:color="auto"/>
                                            <w:right w:val="none" w:sz="0" w:space="0" w:color="auto"/>
                                          </w:divBdr>
                                          <w:divsChild>
                                            <w:div w:id="1872113233">
                                              <w:marLeft w:val="0"/>
                                              <w:marRight w:val="0"/>
                                              <w:marTop w:val="0"/>
                                              <w:marBottom w:val="0"/>
                                              <w:divBdr>
                                                <w:top w:val="none" w:sz="0" w:space="0" w:color="auto"/>
                                                <w:left w:val="none" w:sz="0" w:space="0" w:color="auto"/>
                                                <w:bottom w:val="none" w:sz="0" w:space="0" w:color="auto"/>
                                                <w:right w:val="none" w:sz="0" w:space="0" w:color="auto"/>
                                              </w:divBdr>
                                              <w:divsChild>
                                                <w:div w:id="2066442480">
                                                  <w:marLeft w:val="0"/>
                                                  <w:marRight w:val="0"/>
                                                  <w:marTop w:val="0"/>
                                                  <w:marBottom w:val="0"/>
                                                  <w:divBdr>
                                                    <w:top w:val="none" w:sz="0" w:space="0" w:color="auto"/>
                                                    <w:left w:val="none" w:sz="0" w:space="0" w:color="auto"/>
                                                    <w:bottom w:val="none" w:sz="0" w:space="0" w:color="auto"/>
                                                    <w:right w:val="none" w:sz="0" w:space="0" w:color="auto"/>
                                                  </w:divBdr>
                                                  <w:divsChild>
                                                    <w:div w:id="99773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8104230">
      <w:bodyDiv w:val="1"/>
      <w:marLeft w:val="0"/>
      <w:marRight w:val="0"/>
      <w:marTop w:val="0"/>
      <w:marBottom w:val="0"/>
      <w:divBdr>
        <w:top w:val="none" w:sz="0" w:space="0" w:color="auto"/>
        <w:left w:val="none" w:sz="0" w:space="0" w:color="auto"/>
        <w:bottom w:val="none" w:sz="0" w:space="0" w:color="auto"/>
        <w:right w:val="none" w:sz="0" w:space="0" w:color="auto"/>
      </w:divBdr>
    </w:div>
    <w:div w:id="1490755300">
      <w:bodyDiv w:val="1"/>
      <w:marLeft w:val="0"/>
      <w:marRight w:val="0"/>
      <w:marTop w:val="0"/>
      <w:marBottom w:val="0"/>
      <w:divBdr>
        <w:top w:val="none" w:sz="0" w:space="0" w:color="auto"/>
        <w:left w:val="none" w:sz="0" w:space="0" w:color="auto"/>
        <w:bottom w:val="none" w:sz="0" w:space="0" w:color="auto"/>
        <w:right w:val="none" w:sz="0" w:space="0" w:color="auto"/>
      </w:divBdr>
    </w:div>
    <w:div w:id="1495681048">
      <w:bodyDiv w:val="1"/>
      <w:marLeft w:val="0"/>
      <w:marRight w:val="0"/>
      <w:marTop w:val="0"/>
      <w:marBottom w:val="0"/>
      <w:divBdr>
        <w:top w:val="none" w:sz="0" w:space="0" w:color="auto"/>
        <w:left w:val="none" w:sz="0" w:space="0" w:color="auto"/>
        <w:bottom w:val="none" w:sz="0" w:space="0" w:color="auto"/>
        <w:right w:val="none" w:sz="0" w:space="0" w:color="auto"/>
      </w:divBdr>
    </w:div>
    <w:div w:id="189951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environment.gov.au/water/cewo/local-engagement" TargetMode="Externa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mdba.gov.au/what-we-do/basin-plan/development/pes-pbp/contents/glossary"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environment.gov.au/ewater/partners/index.html" TargetMode="External"/><Relationship Id="rId25" Type="http://schemas.openxmlformats.org/officeDocument/2006/relationships/image" Target="media/image3.png"/><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nvironment.gov.au/ewater/partners/index.html" TargetMode="External"/><Relationship Id="rId20" Type="http://schemas.openxmlformats.org/officeDocument/2006/relationships/image" Target="media/image2.jpeg"/><Relationship Id="rId29" Type="http://schemas.openxmlformats.org/officeDocument/2006/relationships/hyperlink" Target="http://www.environment.gov.au/water/cewo/trade/current-trading-ac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mdba.gov.au/media-pubs/publications/basin-annual-environmental-watering-priorities-2015-16" TargetMode="External"/><Relationship Id="rId32" Type="http://schemas.openxmlformats.org/officeDocument/2006/relationships/hyperlink" Target="http://www.environment.gov.au/water/cewo/monitoring" TargetMode="Externa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creativecommons.org/licenses/by/3.0/au/" TargetMode="External"/><Relationship Id="rId23" Type="http://schemas.openxmlformats.org/officeDocument/2006/relationships/hyperlink" Target="http://www.environment.gov.au/water/cewo/publications/environmental-water-outcomes-framework" TargetMode="External"/><Relationship Id="rId28" Type="http://schemas.openxmlformats.org/officeDocument/2006/relationships/hyperlink" Target="http://www.environment.gov.au/water/cewo/trade/trading-framework" TargetMode="External"/><Relationship Id="rId36" Type="http://schemas.openxmlformats.org/officeDocument/2006/relationships/hyperlink" Target="http://www.mdba.gov.au/media-pubs/publications/basin-wide-environmental-watering-strategy" TargetMode="External"/><Relationship Id="rId10" Type="http://schemas.openxmlformats.org/officeDocument/2006/relationships/endnotes" Target="endnotes.xml"/><Relationship Id="rId19" Type="http://schemas.openxmlformats.org/officeDocument/2006/relationships/hyperlink" Target="mailto:ewater@environment.gov.au"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http://www.mdba.gov.au/media-pubs/publications/basin-wide-environmental-watering-strategy" TargetMode="External"/><Relationship Id="rId27" Type="http://schemas.openxmlformats.org/officeDocument/2006/relationships/hyperlink" Target="http://www.environment.gov.au/water/cewo/publications/framework-determining-cew-use" TargetMode="External"/><Relationship Id="rId30" Type="http://schemas.openxmlformats.org/officeDocument/2006/relationships/hyperlink" Target="http://www.environment.gov.au/water/cewo/portfolio-mgt" TargetMode="Externa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82AE26FAD9754BBD666ECBA5725E2A" ma:contentTypeVersion="3" ma:contentTypeDescription="Create a new document." ma:contentTypeScope="" ma:versionID="e5cc0b460438264bf94e7972ffce9722">
  <xsd:schema xmlns:xsd="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2.xml><?xml version="1.0" encoding="utf-8"?>
<ds:datastoreItem xmlns:ds="http://schemas.openxmlformats.org/officeDocument/2006/customXml" ds:itemID="{9BAD3DB7-147D-407B-B034-A63C38F3EB9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224B709B-C39F-4B3F-BA3D-A20366AEC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35972F5-02FE-45AB-92E2-A45E8B075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8256</Words>
  <Characters>47061</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Commonwealth Environment water portfolio management plan 2015-16 - Approved by CEWH 30 June 2015</vt:lpstr>
    </vt:vector>
  </TitlesOfParts>
  <Company>DEWHA</Company>
  <LinksUpToDate>false</LinksUpToDate>
  <CharactersWithSpaces>55207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planning for the use, carryover and trade of Commonwealth environmental water: Planning Approach 2015–16</dc:title>
  <dc:creator>Commonwealth Environmental Water Office</dc:creator>
  <cp:lastModifiedBy>Rebecca Durack</cp:lastModifiedBy>
  <cp:revision>5</cp:revision>
  <cp:lastPrinted>2015-06-18T06:51:00Z</cp:lastPrinted>
  <dcterms:created xsi:type="dcterms:W3CDTF">2015-07-01T01:13:00Z</dcterms:created>
  <dcterms:modified xsi:type="dcterms:W3CDTF">2015-07-01T05:58:00Z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0x0101000782AE26FAD9754BBD666ECBA5725E2A</vt:lpwstr>
  </property>
  <property fmtid="{D5CDD505-2E9C-101B-9397-08002B2CF9AE}" pid="3" name="RecordPoint_WorkflowType">
    <vt:lpwstr>ActiveSubmitStub</vt:lpwstr>
  </property>
  <property fmtid="{D5CDD505-2E9C-101B-9397-08002B2CF9AE}" pid="4" name="RecordPoint_ActiveItemUniqueId">
    <vt:lpwstr>{383b67f2-d550-4af3-9e11-496b84b3e19d}</vt:lpwstr>
  </property>
  <property fmtid="{D5CDD505-2E9C-101B-9397-08002B2CF9AE}" pid="5" name="RecordPoint_RecordNumberSubmitted">
    <vt:lpwstr/>
  </property>
  <property fmtid="{D5CDD505-2E9C-101B-9397-08002B2CF9AE}" pid="6" name="RecordNumber0">
    <vt:lpwstr>000398202</vt:lpwstr>
  </property>
  <property fmtid="{D5CDD505-2E9C-101B-9397-08002B2CF9AE}" pid="7" name="IconOverlay">
    <vt:lpwstr/>
  </property>
  <property fmtid="{D5CDD505-2E9C-101B-9397-08002B2CF9AE}" pid="8" name="RecordPoint_SubmissionCompleted">
    <vt:lpwstr/>
  </property>
  <property fmtid="{D5CDD505-2E9C-101B-9397-08002B2CF9AE}" pid="9" name="RecordPoint_SubmissionDate">
    <vt:lpwstr/>
  </property>
  <property fmtid="{D5CDD505-2E9C-101B-9397-08002B2CF9AE}" pid="10" name="RecordPoint_ActiveItemSiteId">
    <vt:lpwstr>{a8f0bc9d-7c61-4d87-8154-4194e40ae5d3}</vt:lpwstr>
  </property>
  <property fmtid="{D5CDD505-2E9C-101B-9397-08002B2CF9AE}" pid="11" name="RecordPoint_ActiveItemListId">
    <vt:lpwstr>{87b3920b-5344-4e5d-9d9b-ff842f0d3420}</vt:lpwstr>
  </property>
  <property fmtid="{D5CDD505-2E9C-101B-9397-08002B2CF9AE}" pid="12" name="RecordPoint_RecordFormat">
    <vt:lpwstr/>
  </property>
  <property fmtid="{D5CDD505-2E9C-101B-9397-08002B2CF9AE}" pid="13" name="RecordPoint_ActiveItemMoved">
    <vt:lpwstr/>
  </property>
  <property fmtid="{D5CDD505-2E9C-101B-9397-08002B2CF9AE}" pid="14" name="RecordPoint_ActiveItemWebId">
    <vt:lpwstr>{5af92df4-ae3d-4772-abff-92e7cba13994}</vt:lpwstr>
  </property>
</Properties>
</file>