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F96A" w14:textId="255E3142" w:rsidR="00E362EF" w:rsidRDefault="005324B4">
      <w:pPr>
        <w:pStyle w:val="Heading1"/>
      </w:pPr>
      <w:r>
        <w:t>Field trip handbook</w:t>
      </w:r>
    </w:p>
    <w:p w14:paraId="09843D90" w14:textId="0E4A8D2D" w:rsidR="00E362EF" w:rsidRDefault="005324B4">
      <w:pPr>
        <w:pStyle w:val="Subtitle"/>
      </w:pPr>
      <w:r>
        <w:t>International workshop on pest risk mitigation of sea containers and their cargoes and the facilitation of international trade – defining the way forward</w:t>
      </w:r>
    </w:p>
    <w:p w14:paraId="313A7FED" w14:textId="62CC26C7" w:rsidR="00B5453F" w:rsidRPr="00B5453F" w:rsidRDefault="00726F21" w:rsidP="00B5453F">
      <w:pPr>
        <w:pStyle w:val="Author"/>
      </w:pPr>
      <w:r>
        <w:t>Wednesday 19 July 2023</w:t>
      </w:r>
    </w:p>
    <w:p w14:paraId="2C4A6CEF" w14:textId="77D7B41C" w:rsidR="00E362EF" w:rsidRDefault="00726F21">
      <w:pPr>
        <w:pStyle w:val="AuthorOrganisationAffiliation"/>
        <w:tabs>
          <w:tab w:val="left" w:pos="7995"/>
        </w:tabs>
      </w:pPr>
      <w:r>
        <w:t>Brisbane, Queensland Australia</w:t>
      </w:r>
    </w:p>
    <w:p w14:paraId="3E41CB64" w14:textId="2D853DC8" w:rsidR="00E362EF" w:rsidRDefault="005324B4" w:rsidP="001B1009">
      <w:pPr>
        <w:pStyle w:val="Heading2"/>
        <w:numPr>
          <w:ilvl w:val="0"/>
          <w:numId w:val="0"/>
        </w:numPr>
        <w:ind w:left="720" w:hanging="720"/>
      </w:pPr>
      <w:r>
        <w:t>Work health and safety</w:t>
      </w:r>
    </w:p>
    <w:p w14:paraId="7D959A25" w14:textId="4C58639F" w:rsidR="00E362EF" w:rsidRDefault="005324B4">
      <w:r>
        <w:t>The following work health and safety induction must be completed before you get on the bus for the field visit.</w:t>
      </w:r>
    </w:p>
    <w:p w14:paraId="76909169" w14:textId="443AF751" w:rsidR="005324B4" w:rsidRDefault="005324B4">
      <w:r>
        <w:t>Please follow these steps:</w:t>
      </w:r>
    </w:p>
    <w:p w14:paraId="0B296859" w14:textId="17F41A8F" w:rsidR="005324B4" w:rsidRDefault="005324B4" w:rsidP="005324B4">
      <w:pPr>
        <w:pStyle w:val="ListNumber"/>
      </w:pPr>
      <w:r>
        <w:t xml:space="preserve">Visit: </w:t>
      </w:r>
      <w:hyperlink r:id="rId11" w:history="1">
        <w:r w:rsidRPr="00DF3221">
          <w:rPr>
            <w:rStyle w:val="Hyperlink"/>
          </w:rPr>
          <w:t>https://go.rapidglobal.com/access/searching</w:t>
        </w:r>
      </w:hyperlink>
    </w:p>
    <w:p w14:paraId="1D0A2028" w14:textId="46EBF3A6" w:rsidR="005324B4" w:rsidRDefault="005324B4" w:rsidP="005324B4">
      <w:pPr>
        <w:pStyle w:val="ListNumber"/>
      </w:pPr>
      <w:r>
        <w:t>Complete the online work health and safety induction.</w:t>
      </w:r>
    </w:p>
    <w:p w14:paraId="17621767" w14:textId="4CD4684C" w:rsidR="005324B4" w:rsidRDefault="005324B4" w:rsidP="005324B4">
      <w:pPr>
        <w:pStyle w:val="ListNumber2"/>
      </w:pPr>
      <w:r>
        <w:t>Select ‘Wendy Vidgen’ for ‘Who you are visiting’.</w:t>
      </w:r>
    </w:p>
    <w:p w14:paraId="1C4AC9EA" w14:textId="75DA24F1" w:rsidR="005324B4" w:rsidRDefault="005324B4" w:rsidP="005324B4">
      <w:pPr>
        <w:pStyle w:val="ListNumber2"/>
      </w:pPr>
      <w:r>
        <w:t>Type ‘Not applicable’ when asked to provide your home address, vehicle registration and drivers licence number.</w:t>
      </w:r>
    </w:p>
    <w:p w14:paraId="41F46421" w14:textId="495F382F" w:rsidR="005324B4" w:rsidRDefault="005324B4" w:rsidP="005324B4">
      <w:pPr>
        <w:pStyle w:val="ListNumber"/>
      </w:pPr>
      <w:r>
        <w:t xml:space="preserve">Show screenshot of completed induction to DAFF staff before </w:t>
      </w:r>
      <w:r>
        <w:rPr>
          <w:b/>
          <w:bCs/>
        </w:rPr>
        <w:t xml:space="preserve">Wednesday 19 July </w:t>
      </w:r>
      <w:r>
        <w:t>so you can be ticked off the list.</w:t>
      </w:r>
    </w:p>
    <w:p w14:paraId="384BDDB9" w14:textId="01198CB8" w:rsidR="005324B4" w:rsidRDefault="005324B4" w:rsidP="005324B4">
      <w:pPr>
        <w:pStyle w:val="Heading2"/>
        <w:numPr>
          <w:ilvl w:val="0"/>
          <w:numId w:val="0"/>
        </w:numPr>
        <w:ind w:left="720" w:hanging="720"/>
      </w:pPr>
      <w:r>
        <w:t>Important information</w:t>
      </w:r>
    </w:p>
    <w:p w14:paraId="74FBE875" w14:textId="7F11D6B2" w:rsidR="005324B4" w:rsidRDefault="005324B4" w:rsidP="005324B4">
      <w:pPr>
        <w:pStyle w:val="ListBullet"/>
      </w:pPr>
      <w:r>
        <w:t>Personal protective equipment required for field visit: enclosed shoes.</w:t>
      </w:r>
    </w:p>
    <w:p w14:paraId="6E720F81" w14:textId="4B54AAAF" w:rsidR="005324B4" w:rsidRDefault="005324B4" w:rsidP="005324B4">
      <w:pPr>
        <w:pStyle w:val="ListBullet"/>
      </w:pPr>
      <w:r>
        <w:t>Safety vests will be provided.</w:t>
      </w:r>
    </w:p>
    <w:p w14:paraId="44ED94B8" w14:textId="6FC7A759" w:rsidR="005324B4" w:rsidRDefault="005324B4" w:rsidP="005324B4">
      <w:pPr>
        <w:pStyle w:val="ListBullet"/>
      </w:pPr>
      <w:r>
        <w:t>Bring your own water and any other supplies needed.</w:t>
      </w:r>
    </w:p>
    <w:p w14:paraId="1D2AF19F" w14:textId="4EF83627" w:rsidR="005324B4" w:rsidRDefault="005324B4" w:rsidP="005324B4">
      <w:pPr>
        <w:pStyle w:val="ListBullet"/>
      </w:pPr>
      <w:r>
        <w:t>Toilet facilities are limited.</w:t>
      </w:r>
    </w:p>
    <w:p w14:paraId="42322C54" w14:textId="6F33F97D" w:rsidR="005324B4" w:rsidRDefault="005324B4" w:rsidP="005324B4">
      <w:pPr>
        <w:pStyle w:val="ListBullet"/>
      </w:pPr>
      <w:r>
        <w:t>The external field site locations are within the Port of Brisbane. For safety, please strictly adhere to all instructions when on site.</w:t>
      </w:r>
    </w:p>
    <w:p w14:paraId="60F8996F" w14:textId="772A5438" w:rsidR="005324B4" w:rsidRDefault="005324B4">
      <w:pPr>
        <w:spacing w:after="0" w:line="240" w:lineRule="auto"/>
        <w:rPr>
          <w:rFonts w:ascii="Calibri" w:eastAsiaTheme="minorEastAsia" w:hAnsi="Calibri"/>
          <w:bCs/>
          <w:color w:val="000000"/>
          <w:sz w:val="36"/>
          <w:szCs w:val="28"/>
          <w:lang w:eastAsia="ja-JP"/>
        </w:rPr>
      </w:pPr>
      <w:r>
        <w:br w:type="page"/>
      </w:r>
    </w:p>
    <w:p w14:paraId="2DEDD5E4" w14:textId="616AC04D" w:rsidR="005324B4" w:rsidRDefault="005324B4" w:rsidP="005324B4">
      <w:pPr>
        <w:pStyle w:val="Heading2"/>
        <w:numPr>
          <w:ilvl w:val="0"/>
          <w:numId w:val="0"/>
        </w:numPr>
        <w:ind w:left="720" w:hanging="720"/>
      </w:pPr>
      <w:r>
        <w:lastRenderedPageBreak/>
        <w:t>Overview</w:t>
      </w:r>
    </w:p>
    <w:p w14:paraId="20F6D575" w14:textId="629F4041" w:rsidR="005324B4" w:rsidRDefault="005324B4" w:rsidP="005324B4">
      <w:pPr>
        <w:rPr>
          <w:lang w:eastAsia="ja-JP"/>
        </w:rPr>
      </w:pPr>
      <w:r>
        <w:rPr>
          <w:lang w:eastAsia="ja-JP"/>
        </w:rPr>
        <w:t>The field trip is an opportunity to observe practical application of specific container risk management activities</w:t>
      </w:r>
      <w:r>
        <w:rPr>
          <w:lang w:eastAsia="ja-JP"/>
        </w:rPr>
        <w:t xml:space="preserve"> </w:t>
      </w:r>
      <w:r>
        <w:rPr>
          <w:lang w:eastAsia="ja-JP"/>
        </w:rPr>
        <w:t>such as container surveys and treatments and demonstration of containers with different structural components.</w:t>
      </w:r>
      <w:r>
        <w:rPr>
          <w:lang w:eastAsia="ja-JP"/>
        </w:rPr>
        <w:t xml:space="preserve"> </w:t>
      </w:r>
      <w:r>
        <w:rPr>
          <w:lang w:eastAsia="ja-JP"/>
        </w:rPr>
        <w:t>Participants will also see the practical application of recommendations outlined in the draft CPM Recommendation</w:t>
      </w:r>
      <w:r>
        <w:rPr>
          <w:lang w:eastAsia="ja-JP"/>
        </w:rPr>
        <w:t xml:space="preserve"> </w:t>
      </w:r>
      <w:r>
        <w:rPr>
          <w:lang w:eastAsia="ja-JP"/>
        </w:rPr>
        <w:t>(R-06) developed by the International Plant Protection Convention (IPPC). This may inform feedback on the draft CPM</w:t>
      </w:r>
      <w:r>
        <w:rPr>
          <w:lang w:eastAsia="ja-JP"/>
        </w:rPr>
        <w:t xml:space="preserve"> </w:t>
      </w:r>
      <w:r>
        <w:rPr>
          <w:lang w:eastAsia="ja-JP"/>
        </w:rPr>
        <w:t>recommendation (R-06).</w:t>
      </w:r>
    </w:p>
    <w:p w14:paraId="133EF2AE" w14:textId="7CDD9E80" w:rsidR="005324B4" w:rsidRDefault="005324B4" w:rsidP="005324B4">
      <w:pPr>
        <w:rPr>
          <w:lang w:eastAsia="ja-JP"/>
        </w:rPr>
      </w:pPr>
      <w:r>
        <w:rPr>
          <w:lang w:eastAsia="ja-JP"/>
        </w:rPr>
        <w:t>Draft CPM Recommendation on minimising pest risk associated with sea container pathway:</w:t>
      </w:r>
    </w:p>
    <w:p w14:paraId="4764A2ED" w14:textId="54B19BCC" w:rsidR="005324B4" w:rsidRDefault="005324B4" w:rsidP="005324B4">
      <w:pPr>
        <w:pStyle w:val="ListBullet"/>
        <w:rPr>
          <w:lang w:eastAsia="ja-JP"/>
        </w:rPr>
      </w:pPr>
      <w:r>
        <w:rPr>
          <w:lang w:eastAsia="ja-JP"/>
        </w:rPr>
        <w:t>Reducing the risk of contamination of sea containers and their cargoes.</w:t>
      </w:r>
    </w:p>
    <w:p w14:paraId="33D3FEBF" w14:textId="2C3D06E9" w:rsidR="005324B4" w:rsidRDefault="005324B4" w:rsidP="005324B4">
      <w:pPr>
        <w:pStyle w:val="ListBullet"/>
        <w:rPr>
          <w:lang w:eastAsia="ja-JP"/>
        </w:rPr>
      </w:pPr>
      <w:r>
        <w:rPr>
          <w:lang w:eastAsia="ja-JP"/>
        </w:rPr>
        <w:t>Visual examination for contamination of sea containers and their cargoes.</w:t>
      </w:r>
    </w:p>
    <w:p w14:paraId="513D8684" w14:textId="78848BF1" w:rsidR="005324B4" w:rsidRDefault="005324B4" w:rsidP="005324B4">
      <w:pPr>
        <w:pStyle w:val="ListBullet"/>
        <w:rPr>
          <w:lang w:eastAsia="ja-JP"/>
        </w:rPr>
      </w:pPr>
      <w:r>
        <w:rPr>
          <w:lang w:eastAsia="ja-JP"/>
        </w:rPr>
        <w:t>Methods to remove contamination.</w:t>
      </w:r>
    </w:p>
    <w:p w14:paraId="77277C9D" w14:textId="609896C9" w:rsidR="005324B4" w:rsidRDefault="005324B4" w:rsidP="005324B4">
      <w:pPr>
        <w:pStyle w:val="ListBullet"/>
        <w:rPr>
          <w:lang w:eastAsia="ja-JP"/>
        </w:rPr>
      </w:pPr>
      <w:r>
        <w:rPr>
          <w:lang w:eastAsia="ja-JP"/>
        </w:rPr>
        <w:t>Container structure.</w:t>
      </w:r>
    </w:p>
    <w:p w14:paraId="465322FF" w14:textId="519657CA" w:rsidR="005324B4" w:rsidRDefault="005324B4" w:rsidP="005324B4">
      <w:pPr>
        <w:pStyle w:val="ListBullet"/>
        <w:rPr>
          <w:lang w:eastAsia="ja-JP"/>
        </w:rPr>
      </w:pPr>
      <w:r>
        <w:rPr>
          <w:lang w:eastAsia="ja-JP"/>
        </w:rPr>
        <w:t>Input for effective measures and best practices.</w:t>
      </w:r>
    </w:p>
    <w:p w14:paraId="594DEF78" w14:textId="729C294A" w:rsidR="005324B4" w:rsidRDefault="005324B4" w:rsidP="005324B4">
      <w:pPr>
        <w:pStyle w:val="ListBullet"/>
        <w:rPr>
          <w:lang w:eastAsia="ja-JP"/>
        </w:rPr>
      </w:pPr>
      <w:r>
        <w:rPr>
          <w:lang w:eastAsia="ja-JP"/>
        </w:rPr>
        <w:t>Raising awareness.</w:t>
      </w:r>
    </w:p>
    <w:p w14:paraId="613BCAD8" w14:textId="4EDC8491" w:rsidR="005324B4" w:rsidRDefault="005324B4" w:rsidP="005324B4">
      <w:pPr>
        <w:pStyle w:val="ListBullet"/>
        <w:rPr>
          <w:lang w:eastAsia="ja-JP"/>
        </w:rPr>
      </w:pPr>
      <w:r>
        <w:rPr>
          <w:lang w:eastAsia="ja-JP"/>
        </w:rPr>
        <w:t>Collaboration with world organisation for animal health.</w:t>
      </w:r>
    </w:p>
    <w:p w14:paraId="4DF5197A" w14:textId="60914B53" w:rsidR="005324B4" w:rsidRDefault="005324B4" w:rsidP="005324B4">
      <w:pPr>
        <w:pStyle w:val="Heading3"/>
        <w:numPr>
          <w:ilvl w:val="0"/>
          <w:numId w:val="0"/>
        </w:numPr>
        <w:ind w:left="964" w:hanging="964"/>
        <w:rPr>
          <w:lang w:eastAsia="ja-JP"/>
        </w:rPr>
      </w:pPr>
      <w:r>
        <w:rPr>
          <w:lang w:eastAsia="ja-JP"/>
        </w:rPr>
        <w:t>Highlights</w:t>
      </w:r>
    </w:p>
    <w:p w14:paraId="3966F0AE" w14:textId="6CF0DFE2" w:rsidR="005324B4" w:rsidRDefault="005324B4" w:rsidP="005324B4">
      <w:pPr>
        <w:pStyle w:val="Heading4"/>
        <w:numPr>
          <w:ilvl w:val="0"/>
          <w:numId w:val="0"/>
        </w:numPr>
        <w:ind w:left="964" w:hanging="964"/>
        <w:rPr>
          <w:lang w:eastAsia="ja-JP"/>
        </w:rPr>
      </w:pPr>
      <w:r>
        <w:rPr>
          <w:lang w:eastAsia="ja-JP"/>
        </w:rPr>
        <w:t>Practical application of container risk management</w:t>
      </w:r>
    </w:p>
    <w:p w14:paraId="2ABEEE29" w14:textId="282D9CD0" w:rsidR="005324B4" w:rsidRDefault="005324B4" w:rsidP="005324B4">
      <w:pPr>
        <w:rPr>
          <w:lang w:eastAsia="ja-JP"/>
        </w:rPr>
      </w:pPr>
      <w:r>
        <w:rPr>
          <w:lang w:eastAsia="ja-JP"/>
        </w:rPr>
        <w:t>Observe specific container risk management activities in a practical setting.</w:t>
      </w:r>
    </w:p>
    <w:p w14:paraId="19A669B6" w14:textId="3F0C6B80" w:rsidR="005324B4" w:rsidRDefault="005324B4" w:rsidP="005324B4">
      <w:pPr>
        <w:rPr>
          <w:lang w:eastAsia="ja-JP"/>
        </w:rPr>
      </w:pPr>
      <w:r>
        <w:rPr>
          <w:lang w:eastAsia="ja-JP"/>
        </w:rPr>
        <w:t>You will see how:</w:t>
      </w:r>
    </w:p>
    <w:p w14:paraId="35AC1D4C" w14:textId="50EE303F" w:rsidR="005324B4" w:rsidRDefault="005324B4" w:rsidP="005324B4">
      <w:pPr>
        <w:pStyle w:val="ListBullet"/>
        <w:rPr>
          <w:lang w:eastAsia="ja-JP"/>
        </w:rPr>
      </w:pPr>
      <w:r>
        <w:rPr>
          <w:lang w:eastAsia="ja-JP"/>
        </w:rPr>
        <w:t>container surveys are conducted</w:t>
      </w:r>
    </w:p>
    <w:p w14:paraId="3BD8D4AB" w14:textId="79041CF5" w:rsidR="005324B4" w:rsidRDefault="005324B4" w:rsidP="005324B4">
      <w:pPr>
        <w:pStyle w:val="ListBullet"/>
        <w:rPr>
          <w:lang w:eastAsia="ja-JP"/>
        </w:rPr>
      </w:pPr>
      <w:r>
        <w:rPr>
          <w:lang w:eastAsia="ja-JP"/>
        </w:rPr>
        <w:t>visual inspections are undertaken</w:t>
      </w:r>
    </w:p>
    <w:p w14:paraId="580CB94D" w14:textId="4F4DED53" w:rsidR="005324B4" w:rsidRDefault="005324B4" w:rsidP="005324B4">
      <w:pPr>
        <w:pStyle w:val="ListBullet"/>
        <w:rPr>
          <w:lang w:eastAsia="ja-JP"/>
        </w:rPr>
      </w:pPr>
      <w:r>
        <w:rPr>
          <w:lang w:eastAsia="ja-JP"/>
        </w:rPr>
        <w:t>contamination data is recorded</w:t>
      </w:r>
    </w:p>
    <w:p w14:paraId="1F2F9E9A" w14:textId="57123165" w:rsidR="005324B4" w:rsidRDefault="005324B4" w:rsidP="005324B4">
      <w:pPr>
        <w:pStyle w:val="ListBullet"/>
        <w:rPr>
          <w:lang w:eastAsia="ja-JP"/>
        </w:rPr>
      </w:pPr>
      <w:r>
        <w:rPr>
          <w:lang w:eastAsia="ja-JP"/>
        </w:rPr>
        <w:t>risks are managed.</w:t>
      </w:r>
    </w:p>
    <w:p w14:paraId="79E38D24" w14:textId="2CE4926F" w:rsidR="005324B4" w:rsidRDefault="005324B4" w:rsidP="005324B4">
      <w:pPr>
        <w:pStyle w:val="Heading4"/>
        <w:numPr>
          <w:ilvl w:val="0"/>
          <w:numId w:val="0"/>
        </w:numPr>
        <w:ind w:left="964" w:hanging="964"/>
        <w:rPr>
          <w:lang w:eastAsia="ja-JP"/>
        </w:rPr>
      </w:pPr>
      <w:r>
        <w:rPr>
          <w:lang w:eastAsia="ja-JP"/>
        </w:rPr>
        <w:t>Understanding containers with varying structural components</w:t>
      </w:r>
    </w:p>
    <w:p w14:paraId="3DC320DC" w14:textId="11857448" w:rsidR="005324B4" w:rsidRDefault="00512042" w:rsidP="00512042">
      <w:pPr>
        <w:rPr>
          <w:lang w:eastAsia="ja-JP"/>
        </w:rPr>
      </w:pPr>
      <w:r>
        <w:rPr>
          <w:lang w:eastAsia="ja-JP"/>
        </w:rPr>
        <w:t>Explore and examine containers that feature different structural components. Get an insight into the strengths and</w:t>
      </w:r>
      <w:r>
        <w:rPr>
          <w:lang w:eastAsia="ja-JP"/>
        </w:rPr>
        <w:t xml:space="preserve"> </w:t>
      </w:r>
      <w:r>
        <w:rPr>
          <w:lang w:eastAsia="ja-JP"/>
        </w:rPr>
        <w:t>weaknesses of different container types from a plant pest risk perspective and the potential benefits of improvements</w:t>
      </w:r>
      <w:r>
        <w:rPr>
          <w:lang w:eastAsia="ja-JP"/>
        </w:rPr>
        <w:t xml:space="preserve"> </w:t>
      </w:r>
      <w:r>
        <w:rPr>
          <w:lang w:eastAsia="ja-JP"/>
        </w:rPr>
        <w:t>to container structural components.</w:t>
      </w:r>
    </w:p>
    <w:p w14:paraId="42E41E51" w14:textId="513533F5" w:rsidR="00512042" w:rsidRDefault="00512042" w:rsidP="00512042">
      <w:pPr>
        <w:pStyle w:val="Heading4"/>
        <w:numPr>
          <w:ilvl w:val="0"/>
          <w:numId w:val="0"/>
        </w:numPr>
        <w:ind w:left="964" w:hanging="964"/>
        <w:rPr>
          <w:lang w:eastAsia="ja-JP"/>
        </w:rPr>
      </w:pPr>
      <w:r>
        <w:rPr>
          <w:lang w:eastAsia="ja-JP"/>
        </w:rPr>
        <w:t>Demonstration of new innovative handheld camera technology</w:t>
      </w:r>
    </w:p>
    <w:p w14:paraId="6C961B2D" w14:textId="6C0D2446" w:rsidR="00512042" w:rsidRDefault="00512042" w:rsidP="00512042">
      <w:pPr>
        <w:rPr>
          <w:lang w:eastAsia="ja-JP"/>
        </w:rPr>
      </w:pPr>
      <w:r>
        <w:rPr>
          <w:lang w:eastAsia="ja-JP"/>
        </w:rPr>
        <w:t>Watch our demonstration of hand-held camera technology to understand its potential capabilities and application in</w:t>
      </w:r>
      <w:r>
        <w:rPr>
          <w:lang w:eastAsia="ja-JP"/>
        </w:rPr>
        <w:t xml:space="preserve"> </w:t>
      </w:r>
      <w:r>
        <w:rPr>
          <w:lang w:eastAsia="ja-JP"/>
        </w:rPr>
        <w:t>advanced surveillance and inspection of sea containers.</w:t>
      </w:r>
    </w:p>
    <w:p w14:paraId="51A5ADB0" w14:textId="6E21E45F" w:rsidR="00512042" w:rsidRDefault="00512042" w:rsidP="00512042">
      <w:pPr>
        <w:pStyle w:val="Heading3"/>
        <w:numPr>
          <w:ilvl w:val="0"/>
          <w:numId w:val="0"/>
        </w:numPr>
        <w:ind w:left="964" w:hanging="964"/>
        <w:rPr>
          <w:lang w:eastAsia="ja-JP"/>
        </w:rPr>
      </w:pPr>
      <w:r>
        <w:rPr>
          <w:lang w:eastAsia="ja-JP"/>
        </w:rPr>
        <w:t>Thank you to our contributors</w:t>
      </w:r>
    </w:p>
    <w:p w14:paraId="1807B843" w14:textId="2FEC4DE4" w:rsidR="00512042" w:rsidRDefault="00512042" w:rsidP="00512042">
      <w:pPr>
        <w:pStyle w:val="ListBullet"/>
        <w:rPr>
          <w:lang w:eastAsia="ja-JP"/>
        </w:rPr>
      </w:pPr>
      <w:hyperlink r:id="rId12" w:history="1">
        <w:r w:rsidRPr="00512042">
          <w:rPr>
            <w:rStyle w:val="Hyperlink"/>
            <w:lang w:eastAsia="ja-JP"/>
          </w:rPr>
          <w:t>Qube logistics</w:t>
        </w:r>
      </w:hyperlink>
    </w:p>
    <w:p w14:paraId="09B4F5D7" w14:textId="3E2DF063" w:rsidR="00512042" w:rsidRDefault="00512042" w:rsidP="00512042">
      <w:pPr>
        <w:pStyle w:val="ListBullet"/>
        <w:rPr>
          <w:lang w:eastAsia="ja-JP"/>
        </w:rPr>
      </w:pPr>
      <w:hyperlink r:id="rId13" w:history="1">
        <w:r w:rsidRPr="00512042">
          <w:rPr>
            <w:rStyle w:val="Hyperlink"/>
            <w:lang w:eastAsia="ja-JP"/>
          </w:rPr>
          <w:t>Patrick/Cargolink</w:t>
        </w:r>
      </w:hyperlink>
    </w:p>
    <w:p w14:paraId="7EE836E0" w14:textId="23073A86" w:rsidR="00512042" w:rsidRDefault="00512042" w:rsidP="00512042">
      <w:pPr>
        <w:pStyle w:val="ListBullet"/>
        <w:rPr>
          <w:lang w:eastAsia="ja-JP"/>
        </w:rPr>
      </w:pPr>
      <w:hyperlink r:id="rId14" w:history="1">
        <w:r w:rsidRPr="00512042">
          <w:rPr>
            <w:rStyle w:val="Hyperlink"/>
            <w:lang w:eastAsia="ja-JP"/>
          </w:rPr>
          <w:t>Murdoch University, Harry Butler Institute</w:t>
        </w:r>
      </w:hyperlink>
    </w:p>
    <w:p w14:paraId="3031D612" w14:textId="33DF301A" w:rsidR="00512042" w:rsidRDefault="00512042" w:rsidP="00512042">
      <w:pPr>
        <w:pStyle w:val="ListBullet"/>
        <w:rPr>
          <w:lang w:eastAsia="ja-JP"/>
        </w:rPr>
      </w:pPr>
      <w:hyperlink r:id="rId15" w:history="1">
        <w:r w:rsidRPr="00512042">
          <w:rPr>
            <w:rStyle w:val="Hyperlink"/>
            <w:lang w:eastAsia="ja-JP"/>
          </w:rPr>
          <w:t>Intelligent System Design</w:t>
        </w:r>
      </w:hyperlink>
    </w:p>
    <w:p w14:paraId="3BCF653A" w14:textId="002647AB" w:rsidR="00512042" w:rsidRDefault="00512042" w:rsidP="00512042">
      <w:pPr>
        <w:pStyle w:val="Heading2"/>
        <w:numPr>
          <w:ilvl w:val="0"/>
          <w:numId w:val="0"/>
        </w:numPr>
        <w:ind w:left="720" w:hanging="720"/>
      </w:pPr>
      <w:r>
        <w:lastRenderedPageBreak/>
        <w:t>Schedule</w:t>
      </w:r>
    </w:p>
    <w:p w14:paraId="7F51027B" w14:textId="1EFDADDA" w:rsidR="00512042" w:rsidRDefault="00512042" w:rsidP="00512042">
      <w:pPr>
        <w:pStyle w:val="Heading3"/>
        <w:numPr>
          <w:ilvl w:val="0"/>
          <w:numId w:val="0"/>
        </w:numPr>
        <w:ind w:left="964" w:hanging="964"/>
        <w:rPr>
          <w:lang w:eastAsia="ja-JP"/>
        </w:rPr>
      </w:pPr>
      <w:r>
        <w:rPr>
          <w:lang w:eastAsia="ja-JP"/>
        </w:rPr>
        <w:t>Important</w:t>
      </w:r>
    </w:p>
    <w:p w14:paraId="67A99116" w14:textId="45500F97" w:rsidR="00512042" w:rsidRDefault="00512042" w:rsidP="00512042">
      <w:pPr>
        <w:pStyle w:val="ListBullet"/>
        <w:rPr>
          <w:lang w:eastAsia="ja-JP"/>
        </w:rPr>
      </w:pPr>
      <w:r>
        <w:rPr>
          <w:lang w:eastAsia="ja-JP"/>
        </w:rPr>
        <w:t>The external field site locations are within the Port of Brisbane. For safety, you must strictly adhere to all instructions when on site.</w:t>
      </w:r>
    </w:p>
    <w:p w14:paraId="2D4937E6" w14:textId="3D6FDAF5" w:rsidR="00512042" w:rsidRDefault="00512042" w:rsidP="00512042">
      <w:pPr>
        <w:pStyle w:val="ListBullet"/>
        <w:rPr>
          <w:lang w:eastAsia="ja-JP"/>
        </w:rPr>
      </w:pPr>
      <w:r>
        <w:rPr>
          <w:lang w:eastAsia="ja-JP"/>
        </w:rPr>
        <w:t>No refreshments will be provided, please bring your own water and other supplies.</w:t>
      </w:r>
    </w:p>
    <w:p w14:paraId="4D24D7B8" w14:textId="2077DEF4" w:rsidR="00512042" w:rsidRDefault="00512042" w:rsidP="00512042">
      <w:pPr>
        <w:pStyle w:val="ListBullet"/>
        <w:rPr>
          <w:lang w:eastAsia="ja-JP"/>
        </w:rPr>
      </w:pPr>
      <w:r>
        <w:rPr>
          <w:lang w:eastAsia="ja-JP"/>
        </w:rPr>
        <w:t>Bathrooms are very limited at the external field site locations.</w:t>
      </w:r>
    </w:p>
    <w:p w14:paraId="6B18124F" w14:textId="00D238AE" w:rsidR="00512042" w:rsidRDefault="00512042" w:rsidP="00512042">
      <w:pPr>
        <w:pStyle w:val="Heading3"/>
        <w:numPr>
          <w:ilvl w:val="0"/>
          <w:numId w:val="0"/>
        </w:numPr>
        <w:ind w:left="964" w:hanging="964"/>
        <w:rPr>
          <w:lang w:eastAsia="ja-JP"/>
        </w:rPr>
      </w:pPr>
      <w:r>
        <w:rPr>
          <w:lang w:eastAsia="ja-JP"/>
        </w:rPr>
        <w:t>Group A: Kangaroos (purple), Koalas (green), Kookaburras (yellow)</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98"/>
        <w:gridCol w:w="3405"/>
        <w:gridCol w:w="3967"/>
      </w:tblGrid>
      <w:tr w:rsidR="00D576B1" w14:paraId="6A886500" w14:textId="77777777" w:rsidTr="00D576B1">
        <w:tc>
          <w:tcPr>
            <w:tcW w:w="936" w:type="pct"/>
            <w:shd w:val="clear" w:color="auto" w:fill="F2F2F2" w:themeFill="background1" w:themeFillShade="F2"/>
          </w:tcPr>
          <w:p w14:paraId="17D5BCFD" w14:textId="6D53F29C" w:rsidR="00D576B1" w:rsidRDefault="00D576B1" w:rsidP="00D576B1">
            <w:pPr>
              <w:pStyle w:val="TableText"/>
              <w:rPr>
                <w:lang w:eastAsia="ja-JP"/>
              </w:rPr>
            </w:pPr>
            <w:r>
              <w:rPr>
                <w:lang w:eastAsia="ja-JP"/>
              </w:rPr>
              <w:t>Time</w:t>
            </w:r>
          </w:p>
        </w:tc>
        <w:tc>
          <w:tcPr>
            <w:tcW w:w="1877" w:type="pct"/>
            <w:shd w:val="clear" w:color="auto" w:fill="F2F2F2" w:themeFill="background1" w:themeFillShade="F2"/>
          </w:tcPr>
          <w:p w14:paraId="7DBFF61F" w14:textId="6EE6E39E" w:rsidR="00D576B1" w:rsidRDefault="00D576B1" w:rsidP="00D576B1">
            <w:pPr>
              <w:pStyle w:val="TableText"/>
              <w:rPr>
                <w:lang w:eastAsia="ja-JP"/>
              </w:rPr>
            </w:pPr>
            <w:r>
              <w:rPr>
                <w:lang w:eastAsia="ja-JP"/>
              </w:rPr>
              <w:t>Highlights</w:t>
            </w:r>
          </w:p>
        </w:tc>
        <w:tc>
          <w:tcPr>
            <w:tcW w:w="2187" w:type="pct"/>
            <w:shd w:val="clear" w:color="auto" w:fill="F2F2F2" w:themeFill="background1" w:themeFillShade="F2"/>
          </w:tcPr>
          <w:p w14:paraId="4851F6A7" w14:textId="1054A891" w:rsidR="00D576B1" w:rsidRDefault="00D576B1" w:rsidP="00D576B1">
            <w:pPr>
              <w:pStyle w:val="TableText"/>
              <w:rPr>
                <w:lang w:eastAsia="ja-JP"/>
              </w:rPr>
            </w:pPr>
            <w:r>
              <w:rPr>
                <w:lang w:eastAsia="ja-JP"/>
              </w:rPr>
              <w:t>Participant information</w:t>
            </w:r>
          </w:p>
        </w:tc>
      </w:tr>
      <w:tr w:rsidR="00D576B1" w14:paraId="3EC3AD51" w14:textId="77777777" w:rsidTr="00D576B1">
        <w:tc>
          <w:tcPr>
            <w:tcW w:w="936" w:type="pct"/>
          </w:tcPr>
          <w:p w14:paraId="0D97B241" w14:textId="25D1E388" w:rsidR="00D576B1" w:rsidRDefault="00D576B1" w:rsidP="00D576B1">
            <w:pPr>
              <w:pStyle w:val="TableText"/>
              <w:rPr>
                <w:lang w:eastAsia="ja-JP"/>
              </w:rPr>
            </w:pPr>
            <w:r>
              <w:rPr>
                <w:lang w:eastAsia="ja-JP"/>
              </w:rPr>
              <w:t>7:50am</w:t>
            </w:r>
          </w:p>
        </w:tc>
        <w:tc>
          <w:tcPr>
            <w:tcW w:w="1877" w:type="pct"/>
          </w:tcPr>
          <w:p w14:paraId="77FF9942" w14:textId="0B491A69" w:rsidR="00D576B1" w:rsidRDefault="00D576B1" w:rsidP="00D576B1">
            <w:pPr>
              <w:pStyle w:val="TableText"/>
              <w:rPr>
                <w:lang w:eastAsia="ja-JP"/>
              </w:rPr>
            </w:pPr>
            <w:r>
              <w:rPr>
                <w:lang w:eastAsia="ja-JP"/>
              </w:rPr>
              <w:t>Meet at bus: wait at the Sofitel lobby – bus will</w:t>
            </w:r>
            <w:r>
              <w:rPr>
                <w:lang w:eastAsia="ja-JP"/>
              </w:rPr>
              <w:t xml:space="preserve"> </w:t>
            </w:r>
            <w:r>
              <w:rPr>
                <w:lang w:eastAsia="ja-JP"/>
              </w:rPr>
              <w:t>be in a reserved spot in driveway.</w:t>
            </w:r>
          </w:p>
          <w:p w14:paraId="0F9E27C1" w14:textId="23A7670D" w:rsidR="00D576B1" w:rsidRPr="00D576B1" w:rsidRDefault="00D576B1" w:rsidP="00D576B1">
            <w:pPr>
              <w:pStyle w:val="TableText"/>
              <w:rPr>
                <w:b/>
                <w:bCs/>
                <w:lang w:eastAsia="ja-JP"/>
              </w:rPr>
            </w:pPr>
            <w:r w:rsidRPr="00D576B1">
              <w:rPr>
                <w:b/>
                <w:bCs/>
                <w:lang w:eastAsia="ja-JP"/>
              </w:rPr>
              <w:t>Depart Sofitel **8am sharp**</w:t>
            </w:r>
          </w:p>
        </w:tc>
        <w:tc>
          <w:tcPr>
            <w:tcW w:w="2187" w:type="pct"/>
          </w:tcPr>
          <w:p w14:paraId="63269FC5" w14:textId="6862BCF4" w:rsidR="00D576B1" w:rsidRDefault="00D576B1" w:rsidP="00EC6530">
            <w:pPr>
              <w:pStyle w:val="TableBullet1"/>
              <w:rPr>
                <w:lang w:eastAsia="ja-JP"/>
              </w:rPr>
            </w:pPr>
            <w:r>
              <w:rPr>
                <w:lang w:eastAsia="ja-JP"/>
              </w:rPr>
              <w:t xml:space="preserve">You must have </w:t>
            </w:r>
            <w:r w:rsidRPr="00D576B1">
              <w:rPr>
                <w:b/>
                <w:bCs/>
                <w:lang w:eastAsia="ja-JP"/>
              </w:rPr>
              <w:t>completed the site</w:t>
            </w:r>
            <w:r w:rsidRPr="00D576B1">
              <w:rPr>
                <w:b/>
                <w:bCs/>
                <w:lang w:eastAsia="ja-JP"/>
              </w:rPr>
              <w:t xml:space="preserve"> </w:t>
            </w:r>
            <w:r w:rsidRPr="00D576B1">
              <w:rPr>
                <w:b/>
                <w:bCs/>
                <w:lang w:eastAsia="ja-JP"/>
              </w:rPr>
              <w:t xml:space="preserve">induction </w:t>
            </w:r>
            <w:r>
              <w:rPr>
                <w:lang w:eastAsia="ja-JP"/>
              </w:rPr>
              <w:t>and provided evidence of</w:t>
            </w:r>
            <w:r>
              <w:rPr>
                <w:lang w:eastAsia="ja-JP"/>
              </w:rPr>
              <w:t xml:space="preserve"> </w:t>
            </w:r>
            <w:r>
              <w:rPr>
                <w:lang w:eastAsia="ja-JP"/>
              </w:rPr>
              <w:t>completion prior to leaving Sofitel.</w:t>
            </w:r>
          </w:p>
          <w:p w14:paraId="5BCC34B0" w14:textId="0E88E9F7" w:rsidR="00D576B1" w:rsidRDefault="00D576B1" w:rsidP="00D576B1">
            <w:pPr>
              <w:pStyle w:val="TableBullet1"/>
              <w:rPr>
                <w:lang w:eastAsia="ja-JP"/>
              </w:rPr>
            </w:pPr>
            <w:r>
              <w:rPr>
                <w:lang w:eastAsia="ja-JP"/>
              </w:rPr>
              <w:t xml:space="preserve">Closed shoes </w:t>
            </w:r>
            <w:r w:rsidRPr="00D576B1">
              <w:rPr>
                <w:b/>
                <w:bCs/>
                <w:lang w:eastAsia="ja-JP"/>
              </w:rPr>
              <w:t>must</w:t>
            </w:r>
            <w:r>
              <w:rPr>
                <w:lang w:eastAsia="ja-JP"/>
              </w:rPr>
              <w:t xml:space="preserve"> be worn.</w:t>
            </w:r>
          </w:p>
          <w:p w14:paraId="440E21E6" w14:textId="30737EB4" w:rsidR="00D576B1" w:rsidRDefault="00D576B1" w:rsidP="00D576B1">
            <w:pPr>
              <w:pStyle w:val="TableBullet1"/>
              <w:rPr>
                <w:lang w:eastAsia="ja-JP"/>
              </w:rPr>
            </w:pPr>
            <w:r>
              <w:rPr>
                <w:lang w:eastAsia="ja-JP"/>
              </w:rPr>
              <w:t>Safety vests will be provided.</w:t>
            </w:r>
          </w:p>
          <w:p w14:paraId="4167DD2C" w14:textId="331D37E6" w:rsidR="00D576B1" w:rsidRDefault="00D576B1" w:rsidP="00D576B1">
            <w:pPr>
              <w:pStyle w:val="TableBullet1"/>
              <w:rPr>
                <w:lang w:eastAsia="ja-JP"/>
              </w:rPr>
            </w:pPr>
            <w:r>
              <w:rPr>
                <w:lang w:eastAsia="ja-JP"/>
              </w:rPr>
              <w:t>Do not leave anything on bus.</w:t>
            </w:r>
          </w:p>
        </w:tc>
      </w:tr>
      <w:tr w:rsidR="00D576B1" w14:paraId="5EF1337B" w14:textId="77777777" w:rsidTr="00D576B1">
        <w:tc>
          <w:tcPr>
            <w:tcW w:w="936" w:type="pct"/>
          </w:tcPr>
          <w:p w14:paraId="73DCDAD5" w14:textId="4168D6C2" w:rsidR="00D576B1" w:rsidRDefault="00D576B1" w:rsidP="00D576B1">
            <w:pPr>
              <w:pStyle w:val="TableText"/>
              <w:rPr>
                <w:lang w:eastAsia="ja-JP"/>
              </w:rPr>
            </w:pPr>
            <w:r>
              <w:rPr>
                <w:lang w:eastAsia="ja-JP"/>
              </w:rPr>
              <w:t>8:35 – 8:45am</w:t>
            </w:r>
          </w:p>
        </w:tc>
        <w:tc>
          <w:tcPr>
            <w:tcW w:w="1877" w:type="pct"/>
          </w:tcPr>
          <w:p w14:paraId="6CC056E3" w14:textId="77777777" w:rsidR="00D576B1" w:rsidRDefault="00D576B1" w:rsidP="00D576B1">
            <w:pPr>
              <w:pStyle w:val="TableText"/>
              <w:rPr>
                <w:lang w:eastAsia="ja-JP"/>
              </w:rPr>
            </w:pPr>
            <w:r>
              <w:rPr>
                <w:lang w:eastAsia="ja-JP"/>
              </w:rPr>
              <w:t>Arrive at field site main location.</w:t>
            </w:r>
          </w:p>
          <w:p w14:paraId="29D23E2C" w14:textId="77777777" w:rsidR="00D576B1" w:rsidRDefault="00D576B1" w:rsidP="00D576B1">
            <w:pPr>
              <w:pStyle w:val="TableText"/>
              <w:rPr>
                <w:lang w:eastAsia="ja-JP"/>
              </w:rPr>
            </w:pPr>
            <w:r>
              <w:rPr>
                <w:lang w:eastAsia="ja-JP"/>
              </w:rPr>
              <w:t>Transfer to assigned group minibus.</w:t>
            </w:r>
          </w:p>
          <w:p w14:paraId="01A7F3A2" w14:textId="77777777" w:rsidR="00D576B1" w:rsidRDefault="00D576B1" w:rsidP="00D576B1">
            <w:pPr>
              <w:pStyle w:val="TableText"/>
              <w:rPr>
                <w:lang w:eastAsia="ja-JP"/>
              </w:rPr>
            </w:pPr>
            <w:r>
              <w:rPr>
                <w:lang w:eastAsia="ja-JP"/>
              </w:rPr>
              <w:t>Visit 3 demonstration sites (20 mins per site):</w:t>
            </w:r>
          </w:p>
          <w:p w14:paraId="0AB2BEAB" w14:textId="6F5BB1A1" w:rsidR="00D576B1" w:rsidRDefault="00D576B1" w:rsidP="00387381">
            <w:pPr>
              <w:pStyle w:val="TableBullet1"/>
              <w:rPr>
                <w:lang w:eastAsia="ja-JP"/>
              </w:rPr>
            </w:pPr>
            <w:r>
              <w:rPr>
                <w:lang w:eastAsia="ja-JP"/>
              </w:rPr>
              <w:t>Container inspections and contamination</w:t>
            </w:r>
            <w:r>
              <w:rPr>
                <w:lang w:eastAsia="ja-JP"/>
              </w:rPr>
              <w:t xml:space="preserve"> </w:t>
            </w:r>
            <w:r>
              <w:rPr>
                <w:lang w:eastAsia="ja-JP"/>
              </w:rPr>
              <w:t>removal methods</w:t>
            </w:r>
          </w:p>
          <w:p w14:paraId="06496ADF" w14:textId="6ACEFF30" w:rsidR="00D576B1" w:rsidRDefault="00D576B1" w:rsidP="00D576B1">
            <w:pPr>
              <w:pStyle w:val="TableBullet1"/>
              <w:rPr>
                <w:lang w:eastAsia="ja-JP"/>
              </w:rPr>
            </w:pPr>
            <w:r>
              <w:rPr>
                <w:lang w:eastAsia="ja-JP"/>
              </w:rPr>
              <w:t>Container treatment</w:t>
            </w:r>
          </w:p>
          <w:p w14:paraId="4995A672" w14:textId="5DA1EABE" w:rsidR="00D576B1" w:rsidRDefault="00D576B1" w:rsidP="00D576B1">
            <w:pPr>
              <w:pStyle w:val="TableBullet1"/>
              <w:rPr>
                <w:lang w:eastAsia="ja-JP"/>
              </w:rPr>
            </w:pPr>
            <w:r>
              <w:rPr>
                <w:lang w:eastAsia="ja-JP"/>
              </w:rPr>
              <w:t>Container designs.</w:t>
            </w:r>
          </w:p>
          <w:p w14:paraId="7AC4187C" w14:textId="0D1F32CE" w:rsidR="00D576B1" w:rsidRDefault="00D576B1" w:rsidP="00D576B1">
            <w:pPr>
              <w:pStyle w:val="TableText"/>
              <w:rPr>
                <w:lang w:eastAsia="ja-JP"/>
              </w:rPr>
            </w:pPr>
            <w:r>
              <w:rPr>
                <w:lang w:eastAsia="ja-JP"/>
              </w:rPr>
              <w:t>Transfer into big bus for departure.</w:t>
            </w:r>
          </w:p>
        </w:tc>
        <w:tc>
          <w:tcPr>
            <w:tcW w:w="2187" w:type="pct"/>
          </w:tcPr>
          <w:p w14:paraId="7CF85DE4" w14:textId="4034F4A6" w:rsidR="00D576B1" w:rsidRDefault="00D576B1" w:rsidP="00D576B1">
            <w:pPr>
              <w:pStyle w:val="TableBullet1"/>
              <w:rPr>
                <w:lang w:eastAsia="ja-JP"/>
              </w:rPr>
            </w:pPr>
            <w:r>
              <w:rPr>
                <w:lang w:eastAsia="ja-JP"/>
              </w:rPr>
              <w:t>You have a designated ‘group’ minibus</w:t>
            </w:r>
            <w:r>
              <w:rPr>
                <w:lang w:eastAsia="ja-JP"/>
              </w:rPr>
              <w:t xml:space="preserve"> </w:t>
            </w:r>
            <w:r>
              <w:rPr>
                <w:lang w:eastAsia="ja-JP"/>
              </w:rPr>
              <w:t>(Kangaroo, Koala, Kookaburra).</w:t>
            </w:r>
          </w:p>
          <w:p w14:paraId="5EA87D0C" w14:textId="405E98F3" w:rsidR="00D576B1" w:rsidRDefault="00D576B1" w:rsidP="00D576B1">
            <w:pPr>
              <w:pStyle w:val="TableBullet1"/>
              <w:rPr>
                <w:lang w:eastAsia="ja-JP"/>
              </w:rPr>
            </w:pPr>
            <w:r>
              <w:rPr>
                <w:lang w:eastAsia="ja-JP"/>
              </w:rPr>
              <w:t>The minibus will operate as a hop on-hop</w:t>
            </w:r>
            <w:r>
              <w:rPr>
                <w:lang w:eastAsia="ja-JP"/>
              </w:rPr>
              <w:t xml:space="preserve"> </w:t>
            </w:r>
            <w:r>
              <w:rPr>
                <w:lang w:eastAsia="ja-JP"/>
              </w:rPr>
              <w:t>off service and rotate you across the 3 site</w:t>
            </w:r>
            <w:r>
              <w:rPr>
                <w:lang w:eastAsia="ja-JP"/>
              </w:rPr>
              <w:t xml:space="preserve"> </w:t>
            </w:r>
            <w:r>
              <w:rPr>
                <w:lang w:eastAsia="ja-JP"/>
              </w:rPr>
              <w:t>areas for the demonstrations.</w:t>
            </w:r>
          </w:p>
          <w:p w14:paraId="1724D79D" w14:textId="166051AF" w:rsidR="00D576B1" w:rsidRDefault="00D576B1" w:rsidP="00D576B1">
            <w:pPr>
              <w:pStyle w:val="TableBullet1"/>
              <w:rPr>
                <w:lang w:eastAsia="ja-JP"/>
              </w:rPr>
            </w:pPr>
            <w:r>
              <w:rPr>
                <w:lang w:eastAsia="ja-JP"/>
              </w:rPr>
              <w:t>Please be prompt returning to the minibus</w:t>
            </w:r>
            <w:r>
              <w:rPr>
                <w:lang w:eastAsia="ja-JP"/>
              </w:rPr>
              <w:t xml:space="preserve"> </w:t>
            </w:r>
            <w:r>
              <w:rPr>
                <w:lang w:eastAsia="ja-JP"/>
              </w:rPr>
              <w:t>after each demonstration.</w:t>
            </w:r>
          </w:p>
          <w:p w14:paraId="4FEC37AB" w14:textId="3DF1A367" w:rsidR="00D576B1" w:rsidRDefault="00D576B1" w:rsidP="00D576B1">
            <w:pPr>
              <w:pStyle w:val="TableBullet1"/>
              <w:rPr>
                <w:lang w:eastAsia="ja-JP"/>
              </w:rPr>
            </w:pPr>
            <w:r>
              <w:rPr>
                <w:lang w:eastAsia="ja-JP"/>
              </w:rPr>
              <w:t>Personal items can be left inside minibus</w:t>
            </w:r>
            <w:r>
              <w:rPr>
                <w:lang w:eastAsia="ja-JP"/>
              </w:rPr>
              <w:t xml:space="preserve"> </w:t>
            </w:r>
            <w:r>
              <w:rPr>
                <w:lang w:eastAsia="ja-JP"/>
              </w:rPr>
              <w:t>while visiting sites.</w:t>
            </w:r>
          </w:p>
        </w:tc>
      </w:tr>
      <w:tr w:rsidR="00D576B1" w14:paraId="3D9B79F5" w14:textId="77777777" w:rsidTr="00D576B1">
        <w:tc>
          <w:tcPr>
            <w:tcW w:w="936" w:type="pct"/>
            <w:tcBorders>
              <w:bottom w:val="single" w:sz="4" w:space="0" w:color="auto"/>
            </w:tcBorders>
          </w:tcPr>
          <w:p w14:paraId="6650ED58" w14:textId="59B66E4D" w:rsidR="00D576B1" w:rsidRDefault="00D576B1" w:rsidP="00D576B1">
            <w:pPr>
              <w:pStyle w:val="TableText"/>
              <w:rPr>
                <w:lang w:eastAsia="ja-JP"/>
              </w:rPr>
            </w:pPr>
            <w:r>
              <w:rPr>
                <w:lang w:eastAsia="ja-JP"/>
              </w:rPr>
              <w:t>10:30am</w:t>
            </w:r>
          </w:p>
        </w:tc>
        <w:tc>
          <w:tcPr>
            <w:tcW w:w="1877" w:type="pct"/>
            <w:tcBorders>
              <w:bottom w:val="single" w:sz="4" w:space="0" w:color="auto"/>
            </w:tcBorders>
          </w:tcPr>
          <w:p w14:paraId="49AE25E1" w14:textId="60C7E78B" w:rsidR="00D576B1" w:rsidRDefault="00D576B1" w:rsidP="00D576B1">
            <w:pPr>
              <w:pStyle w:val="TableText"/>
              <w:rPr>
                <w:lang w:eastAsia="ja-JP"/>
              </w:rPr>
            </w:pPr>
            <w:r>
              <w:rPr>
                <w:lang w:eastAsia="ja-JP"/>
              </w:rPr>
              <w:t>Return to Sofitel</w:t>
            </w:r>
          </w:p>
        </w:tc>
        <w:tc>
          <w:tcPr>
            <w:tcW w:w="2187" w:type="pct"/>
            <w:tcBorders>
              <w:bottom w:val="single" w:sz="4" w:space="0" w:color="auto"/>
            </w:tcBorders>
          </w:tcPr>
          <w:p w14:paraId="38F00B92" w14:textId="77777777" w:rsidR="00D576B1" w:rsidRDefault="00D576B1" w:rsidP="00D576B1">
            <w:pPr>
              <w:pStyle w:val="TableText"/>
              <w:rPr>
                <w:lang w:eastAsia="ja-JP"/>
              </w:rPr>
            </w:pPr>
          </w:p>
        </w:tc>
      </w:tr>
      <w:tr w:rsidR="00D576B1" w14:paraId="4A65F5B0" w14:textId="77777777" w:rsidTr="00D576B1">
        <w:tc>
          <w:tcPr>
            <w:tcW w:w="936" w:type="pct"/>
            <w:tcBorders>
              <w:top w:val="single" w:sz="4" w:space="0" w:color="auto"/>
              <w:bottom w:val="single" w:sz="4" w:space="0" w:color="auto"/>
            </w:tcBorders>
          </w:tcPr>
          <w:p w14:paraId="10A280E7" w14:textId="0CB1B185" w:rsidR="00D576B1" w:rsidRDefault="00D576B1" w:rsidP="00D576B1">
            <w:pPr>
              <w:pStyle w:val="TableText"/>
              <w:rPr>
                <w:lang w:eastAsia="ja-JP"/>
              </w:rPr>
            </w:pPr>
            <w:r>
              <w:rPr>
                <w:lang w:eastAsia="ja-JP"/>
              </w:rPr>
              <w:t>10:45 – 11:45am</w:t>
            </w:r>
          </w:p>
        </w:tc>
        <w:tc>
          <w:tcPr>
            <w:tcW w:w="1877" w:type="pct"/>
            <w:tcBorders>
              <w:top w:val="single" w:sz="4" w:space="0" w:color="auto"/>
              <w:bottom w:val="single" w:sz="4" w:space="0" w:color="auto"/>
            </w:tcBorders>
          </w:tcPr>
          <w:p w14:paraId="08D82BB6" w14:textId="77777777" w:rsidR="00D576B1" w:rsidRDefault="00D576B1" w:rsidP="00D576B1">
            <w:pPr>
              <w:pStyle w:val="TableText"/>
              <w:rPr>
                <w:lang w:eastAsia="ja-JP"/>
              </w:rPr>
            </w:pPr>
            <w:r>
              <w:rPr>
                <w:lang w:eastAsia="ja-JP"/>
              </w:rPr>
              <w:t>Handheld camera detection device presentation and demonstration</w:t>
            </w:r>
          </w:p>
          <w:p w14:paraId="4537C9AD" w14:textId="18A82C43" w:rsidR="00D576B1" w:rsidRDefault="00D576B1" w:rsidP="00D576B1">
            <w:pPr>
              <w:pStyle w:val="TableText"/>
              <w:rPr>
                <w:lang w:eastAsia="ja-JP"/>
              </w:rPr>
            </w:pPr>
            <w:r>
              <w:rPr>
                <w:lang w:eastAsia="ja-JP"/>
              </w:rPr>
              <w:t>Location: Sofitel Ballroom 3</w:t>
            </w:r>
          </w:p>
        </w:tc>
        <w:tc>
          <w:tcPr>
            <w:tcW w:w="2187" w:type="pct"/>
            <w:tcBorders>
              <w:top w:val="single" w:sz="4" w:space="0" w:color="auto"/>
              <w:bottom w:val="single" w:sz="4" w:space="0" w:color="auto"/>
            </w:tcBorders>
          </w:tcPr>
          <w:p w14:paraId="0840CEB0" w14:textId="2D4EAE8E" w:rsidR="00D576B1" w:rsidRDefault="00D576B1" w:rsidP="00D576B1">
            <w:pPr>
              <w:pStyle w:val="TableText"/>
              <w:rPr>
                <w:lang w:eastAsia="ja-JP"/>
              </w:rPr>
            </w:pPr>
            <w:r>
              <w:rPr>
                <w:lang w:eastAsia="ja-JP"/>
              </w:rPr>
              <w:t>Please be on time to the designated location.</w:t>
            </w:r>
          </w:p>
        </w:tc>
      </w:tr>
    </w:tbl>
    <w:p w14:paraId="5AAAF03D" w14:textId="77777777" w:rsidR="00512042" w:rsidRDefault="00512042" w:rsidP="00512042">
      <w:pPr>
        <w:rPr>
          <w:lang w:eastAsia="ja-JP"/>
        </w:rPr>
      </w:pPr>
    </w:p>
    <w:p w14:paraId="2A176CB5" w14:textId="2DD0C758" w:rsidR="00512042" w:rsidRDefault="00512042" w:rsidP="00512042">
      <w:pPr>
        <w:pStyle w:val="Heading3"/>
        <w:numPr>
          <w:ilvl w:val="0"/>
          <w:numId w:val="0"/>
        </w:numPr>
        <w:ind w:left="964" w:hanging="964"/>
        <w:rPr>
          <w:lang w:eastAsia="ja-JP"/>
        </w:rPr>
      </w:pPr>
      <w:r>
        <w:rPr>
          <w:lang w:eastAsia="ja-JP"/>
        </w:rPr>
        <w:t>Group B: Kangaroos (pink), Koalas (blue), Kookaburras (red)</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98"/>
        <w:gridCol w:w="3405"/>
        <w:gridCol w:w="3967"/>
      </w:tblGrid>
      <w:tr w:rsidR="00D576B1" w14:paraId="68AAD7CB" w14:textId="77777777" w:rsidTr="00D576B1">
        <w:trPr>
          <w:tblHeader/>
        </w:trPr>
        <w:tc>
          <w:tcPr>
            <w:tcW w:w="936" w:type="pct"/>
            <w:shd w:val="clear" w:color="auto" w:fill="F2F2F2" w:themeFill="background1" w:themeFillShade="F2"/>
          </w:tcPr>
          <w:p w14:paraId="3DBA23D6" w14:textId="77777777" w:rsidR="00D576B1" w:rsidRDefault="00D576B1" w:rsidP="008A7DAE">
            <w:pPr>
              <w:pStyle w:val="TableText"/>
              <w:rPr>
                <w:lang w:eastAsia="ja-JP"/>
              </w:rPr>
            </w:pPr>
            <w:r>
              <w:rPr>
                <w:lang w:eastAsia="ja-JP"/>
              </w:rPr>
              <w:t>Time</w:t>
            </w:r>
          </w:p>
        </w:tc>
        <w:tc>
          <w:tcPr>
            <w:tcW w:w="1877" w:type="pct"/>
            <w:shd w:val="clear" w:color="auto" w:fill="F2F2F2" w:themeFill="background1" w:themeFillShade="F2"/>
          </w:tcPr>
          <w:p w14:paraId="28FD9B17" w14:textId="77777777" w:rsidR="00D576B1" w:rsidRDefault="00D576B1" w:rsidP="008A7DAE">
            <w:pPr>
              <w:pStyle w:val="TableText"/>
              <w:rPr>
                <w:lang w:eastAsia="ja-JP"/>
              </w:rPr>
            </w:pPr>
            <w:r>
              <w:rPr>
                <w:lang w:eastAsia="ja-JP"/>
              </w:rPr>
              <w:t>Highlights</w:t>
            </w:r>
          </w:p>
        </w:tc>
        <w:tc>
          <w:tcPr>
            <w:tcW w:w="2187" w:type="pct"/>
            <w:shd w:val="clear" w:color="auto" w:fill="F2F2F2" w:themeFill="background1" w:themeFillShade="F2"/>
          </w:tcPr>
          <w:p w14:paraId="24338CBC" w14:textId="77777777" w:rsidR="00D576B1" w:rsidRDefault="00D576B1" w:rsidP="008A7DAE">
            <w:pPr>
              <w:pStyle w:val="TableText"/>
              <w:rPr>
                <w:lang w:eastAsia="ja-JP"/>
              </w:rPr>
            </w:pPr>
            <w:r>
              <w:rPr>
                <w:lang w:eastAsia="ja-JP"/>
              </w:rPr>
              <w:t>Participant information</w:t>
            </w:r>
          </w:p>
        </w:tc>
      </w:tr>
      <w:tr w:rsidR="00D576B1" w14:paraId="71CDE73D" w14:textId="77777777" w:rsidTr="008A7DAE">
        <w:tc>
          <w:tcPr>
            <w:tcW w:w="936" w:type="pct"/>
          </w:tcPr>
          <w:p w14:paraId="7D257C3B" w14:textId="2B7F54C3" w:rsidR="00D576B1" w:rsidRDefault="00D576B1" w:rsidP="008A7DAE">
            <w:pPr>
              <w:pStyle w:val="TableText"/>
              <w:rPr>
                <w:lang w:eastAsia="ja-JP"/>
              </w:rPr>
            </w:pPr>
            <w:r>
              <w:rPr>
                <w:lang w:eastAsia="ja-JP"/>
              </w:rPr>
              <w:t>8:15 – 9:15am</w:t>
            </w:r>
          </w:p>
        </w:tc>
        <w:tc>
          <w:tcPr>
            <w:tcW w:w="1877" w:type="pct"/>
          </w:tcPr>
          <w:p w14:paraId="16E0D785" w14:textId="77777777" w:rsidR="00D576B1" w:rsidRDefault="00D576B1" w:rsidP="00D576B1">
            <w:pPr>
              <w:pStyle w:val="TableText"/>
              <w:rPr>
                <w:lang w:eastAsia="ja-JP"/>
              </w:rPr>
            </w:pPr>
            <w:r>
              <w:rPr>
                <w:lang w:eastAsia="ja-JP"/>
              </w:rPr>
              <w:t>Handheld camera detection device presentation and demonstration</w:t>
            </w:r>
          </w:p>
          <w:p w14:paraId="6DD81D16" w14:textId="4AB8CCFA" w:rsidR="00D576B1" w:rsidRDefault="00D576B1" w:rsidP="00D576B1">
            <w:pPr>
              <w:pStyle w:val="TableText"/>
              <w:rPr>
                <w:lang w:eastAsia="ja-JP"/>
              </w:rPr>
            </w:pPr>
            <w:r>
              <w:rPr>
                <w:lang w:eastAsia="ja-JP"/>
              </w:rPr>
              <w:t>Location: Sofitel Ballroom 3</w:t>
            </w:r>
          </w:p>
          <w:p w14:paraId="21E4C261" w14:textId="32BB901D" w:rsidR="00D576B1" w:rsidRPr="00D576B1" w:rsidRDefault="00D576B1" w:rsidP="008A7DAE">
            <w:pPr>
              <w:pStyle w:val="TableText"/>
              <w:rPr>
                <w:b/>
                <w:bCs/>
                <w:lang w:eastAsia="ja-JP"/>
              </w:rPr>
            </w:pPr>
          </w:p>
        </w:tc>
        <w:tc>
          <w:tcPr>
            <w:tcW w:w="2187" w:type="pct"/>
          </w:tcPr>
          <w:p w14:paraId="686B2741" w14:textId="22C6FC45" w:rsidR="00D576B1" w:rsidRDefault="00D576B1" w:rsidP="00D576B1">
            <w:pPr>
              <w:pStyle w:val="TableBullet1"/>
              <w:numPr>
                <w:ilvl w:val="0"/>
                <w:numId w:val="0"/>
              </w:numPr>
              <w:ind w:left="284" w:hanging="284"/>
              <w:rPr>
                <w:lang w:eastAsia="ja-JP"/>
              </w:rPr>
            </w:pPr>
            <w:r>
              <w:rPr>
                <w:lang w:eastAsia="ja-JP"/>
              </w:rPr>
              <w:t>Please be on time to the designated location.</w:t>
            </w:r>
          </w:p>
        </w:tc>
      </w:tr>
      <w:tr w:rsidR="00D576B1" w14:paraId="510BEE8B" w14:textId="77777777" w:rsidTr="008A7DAE">
        <w:tc>
          <w:tcPr>
            <w:tcW w:w="936" w:type="pct"/>
          </w:tcPr>
          <w:p w14:paraId="032D0E51" w14:textId="26A847C0" w:rsidR="00D576B1" w:rsidRDefault="00D576B1" w:rsidP="008A7DAE">
            <w:pPr>
              <w:pStyle w:val="TableText"/>
              <w:rPr>
                <w:lang w:eastAsia="ja-JP"/>
              </w:rPr>
            </w:pPr>
            <w:r>
              <w:rPr>
                <w:lang w:eastAsia="ja-JP"/>
              </w:rPr>
              <w:t>9:20am</w:t>
            </w:r>
          </w:p>
        </w:tc>
        <w:tc>
          <w:tcPr>
            <w:tcW w:w="1877" w:type="pct"/>
          </w:tcPr>
          <w:p w14:paraId="609483B9" w14:textId="77777777" w:rsidR="00D576B1" w:rsidRDefault="00D576B1" w:rsidP="00D576B1">
            <w:pPr>
              <w:pStyle w:val="TableText"/>
              <w:rPr>
                <w:lang w:eastAsia="ja-JP"/>
              </w:rPr>
            </w:pPr>
            <w:r>
              <w:rPr>
                <w:lang w:eastAsia="ja-JP"/>
              </w:rPr>
              <w:t>Meet at bus: wait at the Sofitel lobby – bus will be in a reserved spot in driveway.</w:t>
            </w:r>
          </w:p>
          <w:p w14:paraId="719C8BEA" w14:textId="279A2646" w:rsidR="00D576B1" w:rsidRDefault="00D576B1" w:rsidP="00D576B1">
            <w:pPr>
              <w:pStyle w:val="TableText"/>
              <w:rPr>
                <w:lang w:eastAsia="ja-JP"/>
              </w:rPr>
            </w:pPr>
            <w:r w:rsidRPr="00D576B1">
              <w:rPr>
                <w:b/>
                <w:bCs/>
                <w:lang w:eastAsia="ja-JP"/>
              </w:rPr>
              <w:t>Depart Sofitel **</w:t>
            </w:r>
            <w:r>
              <w:rPr>
                <w:b/>
                <w:bCs/>
                <w:lang w:eastAsia="ja-JP"/>
              </w:rPr>
              <w:t>9:30</w:t>
            </w:r>
            <w:r w:rsidRPr="00D576B1">
              <w:rPr>
                <w:b/>
                <w:bCs/>
                <w:lang w:eastAsia="ja-JP"/>
              </w:rPr>
              <w:t>am sharp**</w:t>
            </w:r>
          </w:p>
        </w:tc>
        <w:tc>
          <w:tcPr>
            <w:tcW w:w="2187" w:type="pct"/>
          </w:tcPr>
          <w:p w14:paraId="3F2B8021" w14:textId="77777777" w:rsidR="00D576B1" w:rsidRDefault="00D576B1" w:rsidP="00D576B1">
            <w:pPr>
              <w:pStyle w:val="TableBullet1"/>
              <w:rPr>
                <w:lang w:eastAsia="ja-JP"/>
              </w:rPr>
            </w:pPr>
            <w:r>
              <w:rPr>
                <w:lang w:eastAsia="ja-JP"/>
              </w:rPr>
              <w:t xml:space="preserve">You must have </w:t>
            </w:r>
            <w:r w:rsidRPr="00D576B1">
              <w:rPr>
                <w:b/>
                <w:bCs/>
                <w:lang w:eastAsia="ja-JP"/>
              </w:rPr>
              <w:t xml:space="preserve">completed the site induction </w:t>
            </w:r>
            <w:r>
              <w:rPr>
                <w:lang w:eastAsia="ja-JP"/>
              </w:rPr>
              <w:t>and provided evidence of completion prior to leaving Sofitel.</w:t>
            </w:r>
          </w:p>
          <w:p w14:paraId="02DF398D" w14:textId="77777777" w:rsidR="00D576B1" w:rsidRDefault="00D576B1" w:rsidP="00D576B1">
            <w:pPr>
              <w:pStyle w:val="TableBullet1"/>
              <w:rPr>
                <w:lang w:eastAsia="ja-JP"/>
              </w:rPr>
            </w:pPr>
            <w:r>
              <w:rPr>
                <w:lang w:eastAsia="ja-JP"/>
              </w:rPr>
              <w:t xml:space="preserve">Closed shoes </w:t>
            </w:r>
            <w:r w:rsidRPr="00D576B1">
              <w:rPr>
                <w:b/>
                <w:bCs/>
                <w:lang w:eastAsia="ja-JP"/>
              </w:rPr>
              <w:t>must</w:t>
            </w:r>
            <w:r>
              <w:rPr>
                <w:lang w:eastAsia="ja-JP"/>
              </w:rPr>
              <w:t xml:space="preserve"> be worn.</w:t>
            </w:r>
          </w:p>
          <w:p w14:paraId="48AF753E" w14:textId="77777777" w:rsidR="00D576B1" w:rsidRDefault="00D576B1" w:rsidP="00D576B1">
            <w:pPr>
              <w:pStyle w:val="TableBullet1"/>
              <w:rPr>
                <w:lang w:eastAsia="ja-JP"/>
              </w:rPr>
            </w:pPr>
            <w:r>
              <w:rPr>
                <w:lang w:eastAsia="ja-JP"/>
              </w:rPr>
              <w:t>Safety vests will be provided.</w:t>
            </w:r>
          </w:p>
          <w:p w14:paraId="783CD6DE" w14:textId="0E31AD03" w:rsidR="00D576B1" w:rsidRDefault="00D576B1" w:rsidP="00D576B1">
            <w:pPr>
              <w:pStyle w:val="TableBullet1"/>
              <w:rPr>
                <w:lang w:eastAsia="ja-JP"/>
              </w:rPr>
            </w:pPr>
            <w:r>
              <w:rPr>
                <w:lang w:eastAsia="ja-JP"/>
              </w:rPr>
              <w:t>Do not leave anything on bus.</w:t>
            </w:r>
          </w:p>
        </w:tc>
      </w:tr>
      <w:tr w:rsidR="00D576B1" w14:paraId="54445BC0" w14:textId="77777777" w:rsidTr="008A7DAE">
        <w:tc>
          <w:tcPr>
            <w:tcW w:w="936" w:type="pct"/>
            <w:tcBorders>
              <w:bottom w:val="single" w:sz="4" w:space="0" w:color="auto"/>
            </w:tcBorders>
          </w:tcPr>
          <w:p w14:paraId="51CB39EA" w14:textId="01C2E8BE" w:rsidR="00D576B1" w:rsidRDefault="00D576B1" w:rsidP="008A7DAE">
            <w:pPr>
              <w:pStyle w:val="TableText"/>
              <w:rPr>
                <w:lang w:eastAsia="ja-JP"/>
              </w:rPr>
            </w:pPr>
            <w:r>
              <w:rPr>
                <w:lang w:eastAsia="ja-JP"/>
              </w:rPr>
              <w:t>10:00 – 10:15am</w:t>
            </w:r>
          </w:p>
        </w:tc>
        <w:tc>
          <w:tcPr>
            <w:tcW w:w="1877" w:type="pct"/>
            <w:tcBorders>
              <w:bottom w:val="single" w:sz="4" w:space="0" w:color="auto"/>
            </w:tcBorders>
          </w:tcPr>
          <w:p w14:paraId="37054D5E" w14:textId="77777777" w:rsidR="00D576B1" w:rsidRDefault="00D576B1" w:rsidP="00D576B1">
            <w:pPr>
              <w:pStyle w:val="TableText"/>
              <w:rPr>
                <w:lang w:eastAsia="ja-JP"/>
              </w:rPr>
            </w:pPr>
            <w:r>
              <w:rPr>
                <w:lang w:eastAsia="ja-JP"/>
              </w:rPr>
              <w:t>Arrive at field site main location.</w:t>
            </w:r>
          </w:p>
          <w:p w14:paraId="6175E730" w14:textId="77777777" w:rsidR="00D576B1" w:rsidRDefault="00D576B1" w:rsidP="00D576B1">
            <w:pPr>
              <w:pStyle w:val="TableText"/>
              <w:rPr>
                <w:lang w:eastAsia="ja-JP"/>
              </w:rPr>
            </w:pPr>
            <w:r>
              <w:rPr>
                <w:lang w:eastAsia="ja-JP"/>
              </w:rPr>
              <w:t>Transfer to assigned group minibus.</w:t>
            </w:r>
          </w:p>
          <w:p w14:paraId="033306B1" w14:textId="77777777" w:rsidR="00D576B1" w:rsidRDefault="00D576B1" w:rsidP="00D576B1">
            <w:pPr>
              <w:pStyle w:val="TableText"/>
              <w:rPr>
                <w:lang w:eastAsia="ja-JP"/>
              </w:rPr>
            </w:pPr>
            <w:r>
              <w:rPr>
                <w:lang w:eastAsia="ja-JP"/>
              </w:rPr>
              <w:t>Visit 3 demonstration sites (20 mins per site):</w:t>
            </w:r>
          </w:p>
          <w:p w14:paraId="57945724" w14:textId="77777777" w:rsidR="00D576B1" w:rsidRDefault="00D576B1" w:rsidP="00D576B1">
            <w:pPr>
              <w:pStyle w:val="TableBullet1"/>
              <w:rPr>
                <w:lang w:eastAsia="ja-JP"/>
              </w:rPr>
            </w:pPr>
            <w:r>
              <w:rPr>
                <w:lang w:eastAsia="ja-JP"/>
              </w:rPr>
              <w:lastRenderedPageBreak/>
              <w:t>Container inspections and contamination removal methods</w:t>
            </w:r>
          </w:p>
          <w:p w14:paraId="70DFEBAD" w14:textId="77777777" w:rsidR="00D576B1" w:rsidRDefault="00D576B1" w:rsidP="00D576B1">
            <w:pPr>
              <w:pStyle w:val="TableBullet1"/>
              <w:rPr>
                <w:lang w:eastAsia="ja-JP"/>
              </w:rPr>
            </w:pPr>
            <w:r>
              <w:rPr>
                <w:lang w:eastAsia="ja-JP"/>
              </w:rPr>
              <w:t>Container treatment</w:t>
            </w:r>
          </w:p>
          <w:p w14:paraId="59613665" w14:textId="77777777" w:rsidR="00D576B1" w:rsidRDefault="00D576B1" w:rsidP="00D576B1">
            <w:pPr>
              <w:pStyle w:val="TableBullet1"/>
              <w:rPr>
                <w:lang w:eastAsia="ja-JP"/>
              </w:rPr>
            </w:pPr>
            <w:r>
              <w:rPr>
                <w:lang w:eastAsia="ja-JP"/>
              </w:rPr>
              <w:t>Container designs.</w:t>
            </w:r>
          </w:p>
          <w:p w14:paraId="7C79A3AA" w14:textId="0170A5EC" w:rsidR="00D576B1" w:rsidRDefault="00D576B1" w:rsidP="00D576B1">
            <w:pPr>
              <w:pStyle w:val="TableText"/>
              <w:rPr>
                <w:lang w:eastAsia="ja-JP"/>
              </w:rPr>
            </w:pPr>
            <w:r>
              <w:rPr>
                <w:lang w:eastAsia="ja-JP"/>
              </w:rPr>
              <w:t>Transfer into big bus for departure.</w:t>
            </w:r>
          </w:p>
        </w:tc>
        <w:tc>
          <w:tcPr>
            <w:tcW w:w="2187" w:type="pct"/>
            <w:tcBorders>
              <w:bottom w:val="single" w:sz="4" w:space="0" w:color="auto"/>
            </w:tcBorders>
          </w:tcPr>
          <w:p w14:paraId="1F4DCA35" w14:textId="77777777" w:rsidR="00D576B1" w:rsidRDefault="00D576B1" w:rsidP="00D576B1">
            <w:pPr>
              <w:pStyle w:val="TableBullet1"/>
              <w:rPr>
                <w:lang w:eastAsia="ja-JP"/>
              </w:rPr>
            </w:pPr>
            <w:r>
              <w:rPr>
                <w:lang w:eastAsia="ja-JP"/>
              </w:rPr>
              <w:lastRenderedPageBreak/>
              <w:t>You have a designated ‘group’ minibus (Kangaroo, Koala, Kookaburra).</w:t>
            </w:r>
          </w:p>
          <w:p w14:paraId="06530B27" w14:textId="77777777" w:rsidR="00D576B1" w:rsidRDefault="00D576B1" w:rsidP="00D576B1">
            <w:pPr>
              <w:pStyle w:val="TableBullet1"/>
              <w:rPr>
                <w:lang w:eastAsia="ja-JP"/>
              </w:rPr>
            </w:pPr>
            <w:r>
              <w:rPr>
                <w:lang w:eastAsia="ja-JP"/>
              </w:rPr>
              <w:t>The minibus will operate as a hop on-hop off service and rotate you across the 3 site areas for the demonstrations.</w:t>
            </w:r>
          </w:p>
          <w:p w14:paraId="43BC5DE9" w14:textId="77777777" w:rsidR="00D576B1" w:rsidRDefault="00D576B1" w:rsidP="00D576B1">
            <w:pPr>
              <w:pStyle w:val="TableBullet1"/>
              <w:rPr>
                <w:lang w:eastAsia="ja-JP"/>
              </w:rPr>
            </w:pPr>
            <w:r>
              <w:rPr>
                <w:lang w:eastAsia="ja-JP"/>
              </w:rPr>
              <w:lastRenderedPageBreak/>
              <w:t>Please be prompt returning to the minibus after each demonstration.</w:t>
            </w:r>
          </w:p>
          <w:p w14:paraId="6188B2E8" w14:textId="50861ABB" w:rsidR="00D576B1" w:rsidRDefault="00D576B1" w:rsidP="00D576B1">
            <w:pPr>
              <w:pStyle w:val="TableBullet1"/>
              <w:rPr>
                <w:lang w:eastAsia="ja-JP"/>
              </w:rPr>
            </w:pPr>
            <w:r>
              <w:rPr>
                <w:lang w:eastAsia="ja-JP"/>
              </w:rPr>
              <w:t>Personal items can be left inside minibus while visiting sites.</w:t>
            </w:r>
          </w:p>
        </w:tc>
      </w:tr>
      <w:tr w:rsidR="00D576B1" w14:paraId="0243F732" w14:textId="77777777" w:rsidTr="008A7DAE">
        <w:tc>
          <w:tcPr>
            <w:tcW w:w="936" w:type="pct"/>
            <w:tcBorders>
              <w:top w:val="single" w:sz="4" w:space="0" w:color="auto"/>
              <w:bottom w:val="single" w:sz="4" w:space="0" w:color="auto"/>
            </w:tcBorders>
          </w:tcPr>
          <w:p w14:paraId="5D80BD0C" w14:textId="2852A3C8" w:rsidR="00D576B1" w:rsidRDefault="00D576B1" w:rsidP="008A7DAE">
            <w:pPr>
              <w:pStyle w:val="TableText"/>
              <w:rPr>
                <w:lang w:eastAsia="ja-JP"/>
              </w:rPr>
            </w:pPr>
            <w:r>
              <w:rPr>
                <w:lang w:eastAsia="ja-JP"/>
              </w:rPr>
              <w:t>12pm</w:t>
            </w:r>
          </w:p>
        </w:tc>
        <w:tc>
          <w:tcPr>
            <w:tcW w:w="1877" w:type="pct"/>
            <w:tcBorders>
              <w:top w:val="single" w:sz="4" w:space="0" w:color="auto"/>
              <w:bottom w:val="single" w:sz="4" w:space="0" w:color="auto"/>
            </w:tcBorders>
          </w:tcPr>
          <w:p w14:paraId="1981F155" w14:textId="7DCF7829" w:rsidR="00D576B1" w:rsidRDefault="00D576B1" w:rsidP="008A7DAE">
            <w:pPr>
              <w:pStyle w:val="TableText"/>
              <w:rPr>
                <w:lang w:eastAsia="ja-JP"/>
              </w:rPr>
            </w:pPr>
            <w:r>
              <w:rPr>
                <w:lang w:eastAsia="ja-JP"/>
              </w:rPr>
              <w:t>Return to Sofitel</w:t>
            </w:r>
          </w:p>
        </w:tc>
        <w:tc>
          <w:tcPr>
            <w:tcW w:w="2187" w:type="pct"/>
            <w:tcBorders>
              <w:top w:val="single" w:sz="4" w:space="0" w:color="auto"/>
              <w:bottom w:val="single" w:sz="4" w:space="0" w:color="auto"/>
            </w:tcBorders>
          </w:tcPr>
          <w:p w14:paraId="291413AF" w14:textId="5240357A" w:rsidR="00D576B1" w:rsidRDefault="00D576B1" w:rsidP="008A7DAE">
            <w:pPr>
              <w:pStyle w:val="TableText"/>
              <w:rPr>
                <w:lang w:eastAsia="ja-JP"/>
              </w:rPr>
            </w:pPr>
          </w:p>
        </w:tc>
      </w:tr>
    </w:tbl>
    <w:p w14:paraId="64756A63" w14:textId="77777777" w:rsidR="00512042" w:rsidRDefault="00512042" w:rsidP="00512042">
      <w:pPr>
        <w:rPr>
          <w:lang w:eastAsia="ja-JP"/>
        </w:rPr>
      </w:pPr>
    </w:p>
    <w:p w14:paraId="3AB40350" w14:textId="49411B69" w:rsidR="00512042" w:rsidRDefault="00512042" w:rsidP="00512042">
      <w:pPr>
        <w:pStyle w:val="Heading2"/>
        <w:numPr>
          <w:ilvl w:val="0"/>
          <w:numId w:val="0"/>
        </w:numPr>
        <w:ind w:left="720" w:hanging="720"/>
      </w:pPr>
      <w:r>
        <w:t>Demonstrations</w:t>
      </w:r>
    </w:p>
    <w:p w14:paraId="44EAC254" w14:textId="5D5BEEE7" w:rsidR="00512042" w:rsidRDefault="00512042" w:rsidP="00512042">
      <w:pPr>
        <w:pStyle w:val="Heading3"/>
        <w:numPr>
          <w:ilvl w:val="0"/>
          <w:numId w:val="0"/>
        </w:numPr>
        <w:ind w:left="964" w:hanging="964"/>
        <w:rPr>
          <w:lang w:eastAsia="ja-JP"/>
        </w:rPr>
      </w:pPr>
      <w:r>
        <w:rPr>
          <w:lang w:eastAsia="ja-JP"/>
        </w:rPr>
        <w:t>Container inspections and contamination removal methods</w:t>
      </w:r>
    </w:p>
    <w:p w14:paraId="12C240FE" w14:textId="77777777" w:rsidR="00512042" w:rsidRDefault="00512042" w:rsidP="00512042">
      <w:pPr>
        <w:pStyle w:val="ListBullet"/>
        <w:numPr>
          <w:ilvl w:val="0"/>
          <w:numId w:val="0"/>
        </w:numPr>
        <w:ind w:left="425" w:hanging="425"/>
        <w:rPr>
          <w:lang w:eastAsia="ja-JP"/>
        </w:rPr>
      </w:pPr>
      <w:r w:rsidRPr="00512042">
        <w:rPr>
          <w:b/>
          <w:bCs/>
          <w:lang w:eastAsia="ja-JP"/>
        </w:rPr>
        <w:t>DAFF coordinators</w:t>
      </w:r>
      <w:r>
        <w:rPr>
          <w:lang w:eastAsia="ja-JP"/>
        </w:rPr>
        <w:t>: Joel Freeman and Joanne Parsons</w:t>
      </w:r>
    </w:p>
    <w:p w14:paraId="3A41D379" w14:textId="6E176673" w:rsidR="00512042" w:rsidRDefault="00512042" w:rsidP="00512042">
      <w:pPr>
        <w:pStyle w:val="ListBullet"/>
        <w:numPr>
          <w:ilvl w:val="0"/>
          <w:numId w:val="0"/>
        </w:numPr>
        <w:ind w:left="425" w:hanging="425"/>
        <w:rPr>
          <w:lang w:eastAsia="ja-JP"/>
        </w:rPr>
      </w:pPr>
      <w:r w:rsidRPr="00512042">
        <w:rPr>
          <w:b/>
          <w:bCs/>
          <w:lang w:eastAsia="ja-JP"/>
        </w:rPr>
        <w:t>Location</w:t>
      </w:r>
      <w:r>
        <w:rPr>
          <w:lang w:eastAsia="ja-JP"/>
        </w:rPr>
        <w:t>: Qube Logistics Pty Ltd. (Bingera Drive -</w:t>
      </w:r>
      <w:r>
        <w:rPr>
          <w:lang w:eastAsia="ja-JP"/>
        </w:rPr>
        <w:t xml:space="preserve"> </w:t>
      </w:r>
      <w:r>
        <w:rPr>
          <w:lang w:eastAsia="ja-JP"/>
        </w:rPr>
        <w:t>approved arrangement 1.1 site)</w:t>
      </w:r>
    </w:p>
    <w:p w14:paraId="0A5A928A" w14:textId="77777777" w:rsidR="00512042" w:rsidRDefault="00512042" w:rsidP="00512042">
      <w:pPr>
        <w:pStyle w:val="ListBullet"/>
        <w:numPr>
          <w:ilvl w:val="0"/>
          <w:numId w:val="0"/>
        </w:numPr>
        <w:ind w:left="425" w:hanging="425"/>
        <w:rPr>
          <w:lang w:eastAsia="ja-JP"/>
        </w:rPr>
      </w:pPr>
      <w:r w:rsidRPr="00512042">
        <w:rPr>
          <w:b/>
          <w:bCs/>
          <w:lang w:eastAsia="ja-JP"/>
        </w:rPr>
        <w:t>Project partner</w:t>
      </w:r>
      <w:r>
        <w:rPr>
          <w:lang w:eastAsia="ja-JP"/>
        </w:rPr>
        <w:t>: Qube Logistics Pty Ltd</w:t>
      </w:r>
    </w:p>
    <w:p w14:paraId="4FB479D8" w14:textId="77777777" w:rsidR="00512042" w:rsidRDefault="00512042" w:rsidP="00512042">
      <w:pPr>
        <w:rPr>
          <w:lang w:eastAsia="ja-JP"/>
        </w:rPr>
      </w:pPr>
      <w:r>
        <w:rPr>
          <w:lang w:eastAsia="ja-JP"/>
        </w:rPr>
        <w:t>Showcases draft Commission on Phytosanitary Measures (CPM) recommendations (CPM - R06):</w:t>
      </w:r>
    </w:p>
    <w:p w14:paraId="59B338C5" w14:textId="77777777" w:rsidR="00512042" w:rsidRDefault="00512042" w:rsidP="00512042">
      <w:pPr>
        <w:pStyle w:val="ListBullet"/>
        <w:rPr>
          <w:lang w:eastAsia="ja-JP"/>
        </w:rPr>
      </w:pPr>
      <w:r>
        <w:rPr>
          <w:lang w:eastAsia="ja-JP"/>
        </w:rPr>
        <w:t>Visual examination for contamination of sea containers and their cargoes.</w:t>
      </w:r>
    </w:p>
    <w:p w14:paraId="6A392651" w14:textId="4B95CD95" w:rsidR="00512042" w:rsidRDefault="00512042" w:rsidP="00512042">
      <w:pPr>
        <w:pStyle w:val="ListBullet"/>
        <w:rPr>
          <w:lang w:eastAsia="ja-JP"/>
        </w:rPr>
      </w:pPr>
      <w:r>
        <w:rPr>
          <w:lang w:eastAsia="ja-JP"/>
        </w:rPr>
        <w:t>Methods to remove contamination.</w:t>
      </w:r>
    </w:p>
    <w:p w14:paraId="09D7A34D" w14:textId="3D014889" w:rsidR="00512042" w:rsidRDefault="00512042" w:rsidP="00512042">
      <w:pPr>
        <w:pStyle w:val="Heading4"/>
        <w:numPr>
          <w:ilvl w:val="0"/>
          <w:numId w:val="0"/>
        </w:numPr>
        <w:ind w:left="964" w:hanging="964"/>
        <w:rPr>
          <w:lang w:eastAsia="ja-JP"/>
        </w:rPr>
      </w:pPr>
      <w:r>
        <w:rPr>
          <w:lang w:eastAsia="ja-JP"/>
        </w:rPr>
        <w:t>References</w:t>
      </w:r>
    </w:p>
    <w:p w14:paraId="432B075F" w14:textId="0A0E135F" w:rsidR="00512042" w:rsidRDefault="00512042" w:rsidP="00512042">
      <w:pPr>
        <w:pStyle w:val="ListBullet"/>
        <w:rPr>
          <w:lang w:eastAsia="ja-JP"/>
        </w:rPr>
      </w:pPr>
      <w:r>
        <w:rPr>
          <w:lang w:eastAsia="ja-JP"/>
        </w:rPr>
        <w:t>IPPC Sea Containers Surveys Guidelines for National Plant Protection Organizations (NPPOs):</w:t>
      </w:r>
      <w:r>
        <w:rPr>
          <w:lang w:eastAsia="ja-JP"/>
        </w:rPr>
        <w:t xml:space="preserve"> </w:t>
      </w:r>
      <w:hyperlink r:id="rId16" w:history="1">
        <w:r w:rsidRPr="002322EE">
          <w:rPr>
            <w:rStyle w:val="Hyperlink"/>
            <w:lang w:eastAsia="ja-JP"/>
          </w:rPr>
          <w:t>https://www.ippc.int/en/publications/87069/</w:t>
        </w:r>
      </w:hyperlink>
      <w:r>
        <w:rPr>
          <w:lang w:eastAsia="ja-JP"/>
        </w:rPr>
        <w:t xml:space="preserve"> </w:t>
      </w:r>
    </w:p>
    <w:p w14:paraId="33202BC2" w14:textId="10BF3378" w:rsidR="00512042" w:rsidRDefault="00512042" w:rsidP="00512042">
      <w:pPr>
        <w:pStyle w:val="ListBullet"/>
        <w:rPr>
          <w:lang w:eastAsia="ja-JP"/>
        </w:rPr>
      </w:pPr>
      <w:r>
        <w:rPr>
          <w:lang w:eastAsia="ja-JP"/>
        </w:rPr>
        <w:t>CAL (Country Action List) Countries and effective measures webpage:</w:t>
      </w:r>
      <w:r>
        <w:rPr>
          <w:lang w:eastAsia="ja-JP"/>
        </w:rPr>
        <w:t xml:space="preserve"> </w:t>
      </w:r>
      <w:hyperlink r:id="rId17" w:history="1">
        <w:r w:rsidRPr="002322EE">
          <w:rPr>
            <w:rStyle w:val="Hyperlink"/>
            <w:lang w:eastAsia="ja-JP"/>
          </w:rPr>
          <w:t>https://www.agriculture.gov.au/biosecurity-trade/import/arrival/pests/cal</w:t>
        </w:r>
      </w:hyperlink>
      <w:r>
        <w:rPr>
          <w:lang w:eastAsia="ja-JP"/>
        </w:rPr>
        <w:t xml:space="preserve"> </w:t>
      </w:r>
    </w:p>
    <w:p w14:paraId="79E28234" w14:textId="69EFA772" w:rsidR="00512042" w:rsidRDefault="00512042" w:rsidP="00512042">
      <w:pPr>
        <w:pStyle w:val="ListBullet"/>
        <w:rPr>
          <w:lang w:eastAsia="ja-JP"/>
        </w:rPr>
      </w:pPr>
      <w:r>
        <w:rPr>
          <w:lang w:eastAsia="ja-JP"/>
        </w:rPr>
        <w:t>DAFF Approved arrangements (1.1 and rural tailgate):</w:t>
      </w:r>
      <w:r>
        <w:rPr>
          <w:lang w:eastAsia="ja-JP"/>
        </w:rPr>
        <w:t xml:space="preserve"> </w:t>
      </w:r>
      <w:hyperlink r:id="rId18" w:history="1">
        <w:r w:rsidRPr="002322EE">
          <w:rPr>
            <w:rStyle w:val="Hyperlink"/>
            <w:lang w:eastAsia="ja-JP"/>
          </w:rPr>
          <w:t>https://www.agriculture.gov.au/biosecurity-trade/import/arrival/arrangements/requirements#class-1</w:t>
        </w:r>
      </w:hyperlink>
      <w:r>
        <w:rPr>
          <w:lang w:eastAsia="ja-JP"/>
        </w:rPr>
        <w:t xml:space="preserve"> </w:t>
      </w:r>
    </w:p>
    <w:p w14:paraId="510D1525" w14:textId="144B0E4A" w:rsidR="00512042" w:rsidRDefault="00512042" w:rsidP="00512042">
      <w:pPr>
        <w:pStyle w:val="Heading3"/>
        <w:numPr>
          <w:ilvl w:val="0"/>
          <w:numId w:val="0"/>
        </w:numPr>
        <w:ind w:left="964" w:hanging="964"/>
        <w:rPr>
          <w:lang w:eastAsia="ja-JP"/>
        </w:rPr>
      </w:pPr>
      <w:r>
        <w:rPr>
          <w:lang w:eastAsia="ja-JP"/>
        </w:rPr>
        <w:t>Container treatment</w:t>
      </w:r>
    </w:p>
    <w:p w14:paraId="71083ABF" w14:textId="77777777" w:rsidR="00512042" w:rsidRDefault="00512042" w:rsidP="00512042">
      <w:pPr>
        <w:rPr>
          <w:lang w:eastAsia="ja-JP"/>
        </w:rPr>
      </w:pPr>
      <w:r w:rsidRPr="00512042">
        <w:rPr>
          <w:b/>
          <w:bCs/>
          <w:lang w:eastAsia="ja-JP"/>
        </w:rPr>
        <w:t>DAFF coordinator</w:t>
      </w:r>
      <w:r>
        <w:rPr>
          <w:lang w:eastAsia="ja-JP"/>
        </w:rPr>
        <w:t>: Sarah Bruce</w:t>
      </w:r>
    </w:p>
    <w:p w14:paraId="63C2AC31" w14:textId="77777777" w:rsidR="00512042" w:rsidRDefault="00512042" w:rsidP="00512042">
      <w:pPr>
        <w:rPr>
          <w:lang w:eastAsia="ja-JP"/>
        </w:rPr>
      </w:pPr>
      <w:r w:rsidRPr="00512042">
        <w:rPr>
          <w:b/>
          <w:bCs/>
          <w:lang w:eastAsia="ja-JP"/>
        </w:rPr>
        <w:t>Location</w:t>
      </w:r>
      <w:r>
        <w:rPr>
          <w:lang w:eastAsia="ja-JP"/>
        </w:rPr>
        <w:t>: Qube Logistics Pty Ltd. (Port Drive – approved arrangement 4.7 site)</w:t>
      </w:r>
    </w:p>
    <w:p w14:paraId="3E54C8EA" w14:textId="77777777" w:rsidR="00512042" w:rsidRDefault="00512042" w:rsidP="00512042">
      <w:pPr>
        <w:rPr>
          <w:lang w:eastAsia="ja-JP"/>
        </w:rPr>
      </w:pPr>
      <w:r w:rsidRPr="00512042">
        <w:rPr>
          <w:b/>
          <w:bCs/>
          <w:lang w:eastAsia="ja-JP"/>
        </w:rPr>
        <w:t>Project Partners</w:t>
      </w:r>
      <w:r>
        <w:rPr>
          <w:lang w:eastAsia="ja-JP"/>
        </w:rPr>
        <w:t>: N/A</w:t>
      </w:r>
    </w:p>
    <w:p w14:paraId="57FD86D7" w14:textId="2BB16F7A" w:rsidR="00512042" w:rsidRDefault="00512042" w:rsidP="00512042">
      <w:pPr>
        <w:rPr>
          <w:lang w:eastAsia="ja-JP"/>
        </w:rPr>
      </w:pPr>
      <w:r>
        <w:rPr>
          <w:lang w:eastAsia="ja-JP"/>
        </w:rPr>
        <w:t>Showcases draft Commission on Phytosanitary Measures (CPM) recommendations (CPM - R06)</w:t>
      </w:r>
      <w:r>
        <w:rPr>
          <w:lang w:eastAsia="ja-JP"/>
        </w:rPr>
        <w:t xml:space="preserve">: </w:t>
      </w:r>
      <w:r>
        <w:rPr>
          <w:lang w:eastAsia="ja-JP"/>
        </w:rPr>
        <w:t>Methods to remove contamination.</w:t>
      </w:r>
    </w:p>
    <w:p w14:paraId="342AC99C" w14:textId="77777777" w:rsidR="00512042" w:rsidRPr="00512042" w:rsidRDefault="00512042" w:rsidP="00512042">
      <w:pPr>
        <w:rPr>
          <w:b/>
          <w:bCs/>
          <w:lang w:eastAsia="ja-JP"/>
        </w:rPr>
      </w:pPr>
      <w:r w:rsidRPr="00512042">
        <w:rPr>
          <w:b/>
          <w:bCs/>
          <w:lang w:eastAsia="ja-JP"/>
        </w:rPr>
        <w:t>Qube Indoor Fumigation Chamber (4.7 sub class)</w:t>
      </w:r>
    </w:p>
    <w:p w14:paraId="688547E7" w14:textId="77777777" w:rsidR="00512042" w:rsidRDefault="00512042" w:rsidP="00512042">
      <w:pPr>
        <w:rPr>
          <w:lang w:eastAsia="ja-JP"/>
        </w:rPr>
      </w:pPr>
      <w:r>
        <w:rPr>
          <w:lang w:eastAsia="ja-JP"/>
        </w:rPr>
        <w:t>Initial construction of chamber (built in 2019):</w:t>
      </w:r>
    </w:p>
    <w:p w14:paraId="5C2447C7" w14:textId="77777777" w:rsidR="00512042" w:rsidRDefault="00512042" w:rsidP="00512042">
      <w:pPr>
        <w:pStyle w:val="ListBullet"/>
        <w:rPr>
          <w:lang w:eastAsia="ja-JP"/>
        </w:rPr>
      </w:pPr>
      <w:r>
        <w:rPr>
          <w:lang w:eastAsia="ja-JP"/>
        </w:rPr>
        <w:t>Dimensions were 18m in length, 5.6m in width and 3.2m in height to accommodate 40ft containers side by side.</w:t>
      </w:r>
    </w:p>
    <w:p w14:paraId="76E2757B" w14:textId="77777777" w:rsidR="00512042" w:rsidRDefault="00512042" w:rsidP="00512042">
      <w:pPr>
        <w:pStyle w:val="ListBullet"/>
        <w:rPr>
          <w:lang w:eastAsia="ja-JP"/>
        </w:rPr>
      </w:pPr>
      <w:r>
        <w:rPr>
          <w:lang w:eastAsia="ja-JP"/>
        </w:rPr>
        <w:t>Containers run on 32.5-ton rated trolleys on a concrete surface.</w:t>
      </w:r>
    </w:p>
    <w:p w14:paraId="68C1E7DE" w14:textId="77777777" w:rsidR="00512042" w:rsidRDefault="00512042" w:rsidP="00512042">
      <w:pPr>
        <w:pStyle w:val="ListBullet"/>
        <w:rPr>
          <w:lang w:eastAsia="ja-JP"/>
        </w:rPr>
      </w:pPr>
      <w:r>
        <w:rPr>
          <w:lang w:eastAsia="ja-JP"/>
        </w:rPr>
        <w:lastRenderedPageBreak/>
        <w:t>Steel frame, black tarp and one exhaust fan (as per to biosecurity specifications).</w:t>
      </w:r>
    </w:p>
    <w:p w14:paraId="16233ACE" w14:textId="5B429536" w:rsidR="00512042" w:rsidRDefault="00512042" w:rsidP="00512042">
      <w:pPr>
        <w:rPr>
          <w:lang w:eastAsia="ja-JP"/>
        </w:rPr>
      </w:pPr>
      <w:r>
        <w:rPr>
          <w:lang w:eastAsia="ja-JP"/>
        </w:rPr>
        <w:t>The rationale behind the steel construction (as opposed to wood) is to prevent the absorption of methyl bromide as</w:t>
      </w:r>
      <w:r>
        <w:rPr>
          <w:lang w:eastAsia="ja-JP"/>
        </w:rPr>
        <w:t xml:space="preserve"> </w:t>
      </w:r>
      <w:r>
        <w:rPr>
          <w:lang w:eastAsia="ja-JP"/>
        </w:rPr>
        <w:t>observed with wooden structures. The tarp was to alleviate any leakage.</w:t>
      </w:r>
    </w:p>
    <w:p w14:paraId="6093BD7C" w14:textId="77777777" w:rsidR="00512042" w:rsidRDefault="00512042" w:rsidP="00512042">
      <w:pPr>
        <w:rPr>
          <w:lang w:eastAsia="ja-JP"/>
        </w:rPr>
      </w:pPr>
      <w:r>
        <w:rPr>
          <w:lang w:eastAsia="ja-JP"/>
        </w:rPr>
        <w:t>Due to rising demand, today’s chamber:</w:t>
      </w:r>
    </w:p>
    <w:p w14:paraId="1ED93748" w14:textId="77777777" w:rsidR="00512042" w:rsidRDefault="00512042" w:rsidP="00512042">
      <w:pPr>
        <w:pStyle w:val="ListBullet"/>
        <w:rPr>
          <w:lang w:eastAsia="ja-JP"/>
        </w:rPr>
      </w:pPr>
      <w:r>
        <w:rPr>
          <w:lang w:eastAsia="ja-JP"/>
        </w:rPr>
        <w:t>Over double the initial size: 36.5m in length, 5.6m in width and 3.2m in height.</w:t>
      </w:r>
    </w:p>
    <w:p w14:paraId="0E2A9AF4" w14:textId="77777777" w:rsidR="00512042" w:rsidRDefault="00512042" w:rsidP="00512042">
      <w:pPr>
        <w:pStyle w:val="ListBullet"/>
        <w:rPr>
          <w:lang w:eastAsia="ja-JP"/>
        </w:rPr>
      </w:pPr>
      <w:r>
        <w:rPr>
          <w:lang w:eastAsia="ja-JP"/>
        </w:rPr>
        <w:t>Tarp upgraded to white for easy identification and assessment of pests post fumigation.</w:t>
      </w:r>
    </w:p>
    <w:p w14:paraId="1387354C" w14:textId="77777777" w:rsidR="00512042" w:rsidRDefault="00512042" w:rsidP="00512042">
      <w:pPr>
        <w:pStyle w:val="ListBullet"/>
        <w:rPr>
          <w:lang w:eastAsia="ja-JP"/>
        </w:rPr>
      </w:pPr>
      <w:r>
        <w:rPr>
          <w:lang w:eastAsia="ja-JP"/>
        </w:rPr>
        <w:t>Floor upgraded to allow for a railway system for ease of entrance.</w:t>
      </w:r>
    </w:p>
    <w:p w14:paraId="45144FFE" w14:textId="77777777" w:rsidR="00512042" w:rsidRDefault="00512042" w:rsidP="00512042">
      <w:pPr>
        <w:pStyle w:val="ListBullet"/>
        <w:rPr>
          <w:lang w:eastAsia="ja-JP"/>
        </w:rPr>
      </w:pPr>
      <w:r>
        <w:rPr>
          <w:lang w:eastAsia="ja-JP"/>
        </w:rPr>
        <w:t>Internal fans upgraded and two high powered exhaust fans fitted to expedite the residual chemical post fumigation.</w:t>
      </w:r>
    </w:p>
    <w:p w14:paraId="4404E658" w14:textId="0C17B285" w:rsidR="00512042" w:rsidRDefault="00512042" w:rsidP="00512042">
      <w:pPr>
        <w:rPr>
          <w:lang w:eastAsia="ja-JP"/>
        </w:rPr>
      </w:pPr>
      <w:r>
        <w:rPr>
          <w:lang w:eastAsia="ja-JP"/>
        </w:rPr>
        <w:t>In both constructions, all biosecurity and workplace health and safety legislation were implemented, such as external</w:t>
      </w:r>
      <w:r>
        <w:rPr>
          <w:lang w:eastAsia="ja-JP"/>
        </w:rPr>
        <w:t xml:space="preserve"> </w:t>
      </w:r>
      <w:r>
        <w:rPr>
          <w:lang w:eastAsia="ja-JP"/>
        </w:rPr>
        <w:t>separation distances, foot traps, ventilation and lighting.</w:t>
      </w:r>
    </w:p>
    <w:p w14:paraId="10BA074A" w14:textId="2EE9B685" w:rsidR="00512042" w:rsidRDefault="00512042" w:rsidP="00512042">
      <w:pPr>
        <w:rPr>
          <w:lang w:eastAsia="ja-JP"/>
        </w:rPr>
      </w:pPr>
      <w:r>
        <w:rPr>
          <w:lang w:eastAsia="ja-JP"/>
        </w:rPr>
        <w:t>Following an unpack, Qube physically hands the chamber over to an approved contractor for fumigation and may not</w:t>
      </w:r>
      <w:r>
        <w:rPr>
          <w:lang w:eastAsia="ja-JP"/>
        </w:rPr>
        <w:t xml:space="preserve"> </w:t>
      </w:r>
      <w:r>
        <w:rPr>
          <w:lang w:eastAsia="ja-JP"/>
        </w:rPr>
        <w:t>enter the chamber until checked and deemed safe by the fumigator.</w:t>
      </w:r>
    </w:p>
    <w:p w14:paraId="4BB65429" w14:textId="570BDAFD" w:rsidR="00512042" w:rsidRDefault="00512042" w:rsidP="00512042">
      <w:pPr>
        <w:pStyle w:val="Heading4"/>
        <w:numPr>
          <w:ilvl w:val="0"/>
          <w:numId w:val="0"/>
        </w:numPr>
        <w:ind w:left="964" w:hanging="964"/>
        <w:rPr>
          <w:lang w:eastAsia="ja-JP"/>
        </w:rPr>
      </w:pPr>
      <w:r>
        <w:rPr>
          <w:lang w:eastAsia="ja-JP"/>
        </w:rPr>
        <w:t>References</w:t>
      </w:r>
    </w:p>
    <w:p w14:paraId="7C3FDFDB" w14:textId="5FD06A72" w:rsidR="00512042" w:rsidRDefault="00512042" w:rsidP="00512042">
      <w:pPr>
        <w:pStyle w:val="ListBullet"/>
        <w:rPr>
          <w:lang w:eastAsia="ja-JP"/>
        </w:rPr>
      </w:pPr>
      <w:r>
        <w:rPr>
          <w:lang w:eastAsia="ja-JP"/>
        </w:rPr>
        <w:t>DAFF Approved Arrangements (4.7):</w:t>
      </w:r>
      <w:r>
        <w:rPr>
          <w:lang w:eastAsia="ja-JP"/>
        </w:rPr>
        <w:t xml:space="preserve"> </w:t>
      </w:r>
      <w:hyperlink r:id="rId19" w:history="1">
        <w:r w:rsidRPr="002322EE">
          <w:rPr>
            <w:rStyle w:val="Hyperlink"/>
            <w:lang w:eastAsia="ja-JP"/>
          </w:rPr>
          <w:t>https://www.agriculture.gov.au/biosecurity-trade/import/arrival/arrangements/requirements#class-4</w:t>
        </w:r>
      </w:hyperlink>
      <w:r>
        <w:rPr>
          <w:lang w:eastAsia="ja-JP"/>
        </w:rPr>
        <w:t xml:space="preserve"> </w:t>
      </w:r>
    </w:p>
    <w:p w14:paraId="5BFA8CE7" w14:textId="6BF83A65" w:rsidR="00512042" w:rsidRDefault="00512042" w:rsidP="00512042">
      <w:pPr>
        <w:pStyle w:val="ListBullet"/>
        <w:rPr>
          <w:lang w:eastAsia="ja-JP"/>
        </w:rPr>
      </w:pPr>
      <w:r>
        <w:rPr>
          <w:lang w:eastAsia="ja-JP"/>
        </w:rPr>
        <w:t>DAFF seasonal BMSB (Brown Marmorated Stink Bug) treatment measures:</w:t>
      </w:r>
      <w:r>
        <w:rPr>
          <w:lang w:eastAsia="ja-JP"/>
        </w:rPr>
        <w:t xml:space="preserve"> </w:t>
      </w:r>
      <w:hyperlink r:id="rId20" w:history="1">
        <w:r w:rsidRPr="002322EE">
          <w:rPr>
            <w:rStyle w:val="Hyperlink"/>
            <w:lang w:eastAsia="ja-JP"/>
          </w:rPr>
          <w:t>https://www.agriculture.gov.au/biosecurity-trade/import/before/brown-marmorated-stink-bugs</w:t>
        </w:r>
      </w:hyperlink>
      <w:r>
        <w:rPr>
          <w:lang w:eastAsia="ja-JP"/>
        </w:rPr>
        <w:t xml:space="preserve"> </w:t>
      </w:r>
    </w:p>
    <w:p w14:paraId="35FC5CAD" w14:textId="7FF2E056" w:rsidR="00512042" w:rsidRDefault="00512042" w:rsidP="00512042">
      <w:pPr>
        <w:pStyle w:val="ListBullet"/>
        <w:rPr>
          <w:lang w:eastAsia="ja-JP"/>
        </w:rPr>
      </w:pPr>
      <w:r>
        <w:rPr>
          <w:lang w:eastAsia="ja-JP"/>
        </w:rPr>
        <w:t xml:space="preserve">DAFF Treatments page: </w:t>
      </w:r>
      <w:hyperlink r:id="rId21" w:history="1">
        <w:r w:rsidRPr="002322EE">
          <w:rPr>
            <w:rStyle w:val="Hyperlink"/>
            <w:lang w:eastAsia="ja-JP"/>
          </w:rPr>
          <w:t>https://www.agriculture.gov.au/biosecurity-trade/import/arrival/treatments</w:t>
        </w:r>
      </w:hyperlink>
      <w:r>
        <w:rPr>
          <w:lang w:eastAsia="ja-JP"/>
        </w:rPr>
        <w:t xml:space="preserve"> </w:t>
      </w:r>
    </w:p>
    <w:p w14:paraId="14062595" w14:textId="3FA5C63E" w:rsidR="00512042" w:rsidRDefault="00512042" w:rsidP="00512042">
      <w:pPr>
        <w:pStyle w:val="ListBullet"/>
        <w:rPr>
          <w:lang w:eastAsia="ja-JP"/>
        </w:rPr>
      </w:pPr>
      <w:r>
        <w:rPr>
          <w:lang w:eastAsia="ja-JP"/>
        </w:rPr>
        <w:t xml:space="preserve">High Priority Pests: </w:t>
      </w:r>
      <w:hyperlink r:id="rId22" w:history="1">
        <w:r w:rsidRPr="002322EE">
          <w:rPr>
            <w:rStyle w:val="Hyperlink"/>
            <w:lang w:eastAsia="ja-JP"/>
          </w:rPr>
          <w:t>https://www.agriculture.gov.au/biosecurity-trade/pests-diseases-weeds/plant</w:t>
        </w:r>
      </w:hyperlink>
      <w:r>
        <w:rPr>
          <w:lang w:eastAsia="ja-JP"/>
        </w:rPr>
        <w:t xml:space="preserve"> </w:t>
      </w:r>
    </w:p>
    <w:p w14:paraId="7A6BEDFD" w14:textId="00B73647" w:rsidR="00512042" w:rsidRDefault="00512042" w:rsidP="00512042">
      <w:pPr>
        <w:pStyle w:val="Heading3"/>
        <w:numPr>
          <w:ilvl w:val="0"/>
          <w:numId w:val="0"/>
        </w:numPr>
        <w:ind w:left="964" w:hanging="964"/>
        <w:rPr>
          <w:lang w:eastAsia="ja-JP"/>
        </w:rPr>
      </w:pPr>
      <w:r>
        <w:rPr>
          <w:lang w:eastAsia="ja-JP"/>
        </w:rPr>
        <w:t>Container designs</w:t>
      </w:r>
    </w:p>
    <w:p w14:paraId="0450F343" w14:textId="77777777" w:rsidR="00512042" w:rsidRDefault="00512042" w:rsidP="00512042">
      <w:pPr>
        <w:rPr>
          <w:lang w:eastAsia="ja-JP"/>
        </w:rPr>
      </w:pPr>
      <w:r w:rsidRPr="00512042">
        <w:rPr>
          <w:b/>
          <w:bCs/>
          <w:lang w:eastAsia="ja-JP"/>
        </w:rPr>
        <w:t>DAFF coordinator</w:t>
      </w:r>
      <w:r>
        <w:rPr>
          <w:lang w:eastAsia="ja-JP"/>
        </w:rPr>
        <w:t>: Cindy Pretty</w:t>
      </w:r>
    </w:p>
    <w:p w14:paraId="3091093D" w14:textId="77777777" w:rsidR="00512042" w:rsidRDefault="00512042" w:rsidP="00512042">
      <w:pPr>
        <w:rPr>
          <w:lang w:eastAsia="ja-JP"/>
        </w:rPr>
      </w:pPr>
      <w:r w:rsidRPr="00512042">
        <w:rPr>
          <w:b/>
          <w:bCs/>
          <w:lang w:eastAsia="ja-JP"/>
        </w:rPr>
        <w:t>Location</w:t>
      </w:r>
      <w:r>
        <w:rPr>
          <w:lang w:eastAsia="ja-JP"/>
        </w:rPr>
        <w:t>: Patrick Cargolink Container Yard</w:t>
      </w:r>
    </w:p>
    <w:p w14:paraId="471C2FF8" w14:textId="77777777" w:rsidR="00512042" w:rsidRDefault="00512042" w:rsidP="00512042">
      <w:pPr>
        <w:rPr>
          <w:lang w:eastAsia="ja-JP"/>
        </w:rPr>
      </w:pPr>
      <w:r w:rsidRPr="00512042">
        <w:rPr>
          <w:b/>
          <w:bCs/>
          <w:lang w:eastAsia="ja-JP"/>
        </w:rPr>
        <w:t>Project Partners</w:t>
      </w:r>
      <w:r>
        <w:rPr>
          <w:lang w:eastAsia="ja-JP"/>
        </w:rPr>
        <w:t>: Murdoch University, Harry Butler Institute</w:t>
      </w:r>
    </w:p>
    <w:p w14:paraId="1B9F17A6" w14:textId="403B8212" w:rsidR="00512042" w:rsidRDefault="00512042" w:rsidP="00512042">
      <w:pPr>
        <w:rPr>
          <w:lang w:eastAsia="ja-JP"/>
        </w:rPr>
      </w:pPr>
      <w:r>
        <w:rPr>
          <w:lang w:eastAsia="ja-JP"/>
        </w:rPr>
        <w:t>Showcases draft CPM recommendations</w:t>
      </w:r>
      <w:r>
        <w:rPr>
          <w:lang w:eastAsia="ja-JP"/>
        </w:rPr>
        <w:t xml:space="preserve">: </w:t>
      </w:r>
      <w:r>
        <w:rPr>
          <w:lang w:eastAsia="ja-JP"/>
        </w:rPr>
        <w:t>Container structure.</w:t>
      </w:r>
    </w:p>
    <w:p w14:paraId="415AF719" w14:textId="77777777" w:rsidR="00512042" w:rsidRDefault="00512042" w:rsidP="00512042">
      <w:pPr>
        <w:rPr>
          <w:lang w:eastAsia="ja-JP"/>
        </w:rPr>
      </w:pPr>
      <w:r>
        <w:rPr>
          <w:lang w:eastAsia="ja-JP"/>
        </w:rPr>
        <w:t>Objectives:</w:t>
      </w:r>
    </w:p>
    <w:p w14:paraId="59C651F9" w14:textId="77777777" w:rsidR="00512042" w:rsidRDefault="00512042" w:rsidP="00512042">
      <w:pPr>
        <w:pStyle w:val="ListBullet"/>
        <w:rPr>
          <w:lang w:eastAsia="ja-JP"/>
        </w:rPr>
      </w:pPr>
      <w:r>
        <w:rPr>
          <w:lang w:eastAsia="ja-JP"/>
        </w:rPr>
        <w:t>See visual comparison of different internal floor types.</w:t>
      </w:r>
    </w:p>
    <w:p w14:paraId="284399C5" w14:textId="77777777" w:rsidR="00512042" w:rsidRDefault="00512042" w:rsidP="00512042">
      <w:pPr>
        <w:pStyle w:val="ListBullet"/>
        <w:rPr>
          <w:lang w:eastAsia="ja-JP"/>
        </w:rPr>
      </w:pPr>
      <w:r>
        <w:rPr>
          <w:lang w:eastAsia="ja-JP"/>
        </w:rPr>
        <w:t>View underside of modified sea container with enclosed V-shaped crossbeams.</w:t>
      </w:r>
    </w:p>
    <w:p w14:paraId="446EEC03" w14:textId="4E178CB4" w:rsidR="00512042" w:rsidRDefault="00512042" w:rsidP="00512042">
      <w:pPr>
        <w:pStyle w:val="Heading4"/>
        <w:numPr>
          <w:ilvl w:val="0"/>
          <w:numId w:val="0"/>
        </w:numPr>
        <w:ind w:left="964" w:hanging="964"/>
        <w:rPr>
          <w:lang w:eastAsia="ja-JP"/>
        </w:rPr>
      </w:pPr>
      <w:r>
        <w:rPr>
          <w:lang w:eastAsia="ja-JP"/>
        </w:rPr>
        <w:t>References</w:t>
      </w:r>
    </w:p>
    <w:p w14:paraId="6E6119EF" w14:textId="4C6365E1" w:rsidR="00512042" w:rsidRDefault="00512042" w:rsidP="00512042">
      <w:pPr>
        <w:pStyle w:val="ListBullet"/>
        <w:rPr>
          <w:lang w:eastAsia="ja-JP"/>
        </w:rPr>
      </w:pPr>
      <w:r>
        <w:rPr>
          <w:lang w:eastAsia="ja-JP"/>
        </w:rPr>
        <w:t xml:space="preserve">Murdoch University, Harry Butler Institute website: </w:t>
      </w:r>
      <w:hyperlink r:id="rId23" w:history="1">
        <w:r w:rsidRPr="002322EE">
          <w:rPr>
            <w:rStyle w:val="Hyperlink"/>
            <w:lang w:eastAsia="ja-JP"/>
          </w:rPr>
          <w:t>www.murdoch.edu.au/research/hbi</w:t>
        </w:r>
      </w:hyperlink>
      <w:r>
        <w:rPr>
          <w:lang w:eastAsia="ja-JP"/>
        </w:rPr>
        <w:t xml:space="preserve"> </w:t>
      </w:r>
    </w:p>
    <w:p w14:paraId="3B9E2AFF" w14:textId="2A2CE222" w:rsidR="00512042" w:rsidRDefault="00512042" w:rsidP="00512042">
      <w:pPr>
        <w:pStyle w:val="ListBullet"/>
        <w:rPr>
          <w:lang w:eastAsia="ja-JP"/>
        </w:rPr>
      </w:pPr>
      <w:r>
        <w:rPr>
          <w:lang w:eastAsia="ja-JP"/>
        </w:rPr>
        <w:lastRenderedPageBreak/>
        <w:t>Refer to recommendation on container structure:</w:t>
      </w:r>
      <w:r>
        <w:rPr>
          <w:lang w:eastAsia="ja-JP"/>
        </w:rPr>
        <w:t xml:space="preserve"> </w:t>
      </w:r>
      <w:hyperlink r:id="rId24" w:history="1">
        <w:r w:rsidRPr="002322EE">
          <w:rPr>
            <w:rStyle w:val="Hyperlink"/>
            <w:lang w:eastAsia="ja-JP"/>
          </w:rPr>
          <w:t>www.ippc.int/en/core-activities/governance/cpm/current-consultations-for-cpm-recommendations</w:t>
        </w:r>
      </w:hyperlink>
      <w:r>
        <w:rPr>
          <w:lang w:eastAsia="ja-JP"/>
        </w:rPr>
        <w:t xml:space="preserve"> </w:t>
      </w:r>
    </w:p>
    <w:p w14:paraId="0CE6206B" w14:textId="616A9387" w:rsidR="00512042" w:rsidRDefault="00512042" w:rsidP="00512042">
      <w:pPr>
        <w:pStyle w:val="Heading3"/>
        <w:numPr>
          <w:ilvl w:val="0"/>
          <w:numId w:val="0"/>
        </w:numPr>
        <w:ind w:left="964" w:hanging="964"/>
        <w:rPr>
          <w:lang w:eastAsia="ja-JP"/>
        </w:rPr>
      </w:pPr>
      <w:r>
        <w:rPr>
          <w:lang w:eastAsia="ja-JP"/>
        </w:rPr>
        <w:t>Handheld camera detection device</w:t>
      </w:r>
    </w:p>
    <w:p w14:paraId="791B6947" w14:textId="77777777" w:rsidR="00753B59" w:rsidRDefault="00753B59" w:rsidP="00753B59">
      <w:pPr>
        <w:rPr>
          <w:lang w:eastAsia="ja-JP"/>
        </w:rPr>
      </w:pPr>
      <w:r w:rsidRPr="00753B59">
        <w:rPr>
          <w:b/>
          <w:bCs/>
          <w:lang w:eastAsia="ja-JP"/>
        </w:rPr>
        <w:t>DAFF coordinator</w:t>
      </w:r>
      <w:r>
        <w:rPr>
          <w:lang w:eastAsia="ja-JP"/>
        </w:rPr>
        <w:t>: Judy Bellati</w:t>
      </w:r>
    </w:p>
    <w:p w14:paraId="2BA2D429" w14:textId="77777777" w:rsidR="00753B59" w:rsidRDefault="00753B59" w:rsidP="00753B59">
      <w:pPr>
        <w:rPr>
          <w:lang w:eastAsia="ja-JP"/>
        </w:rPr>
      </w:pPr>
      <w:r w:rsidRPr="00753B59">
        <w:rPr>
          <w:b/>
          <w:bCs/>
          <w:lang w:eastAsia="ja-JP"/>
        </w:rPr>
        <w:t>Location</w:t>
      </w:r>
      <w:r>
        <w:rPr>
          <w:lang w:eastAsia="ja-JP"/>
        </w:rPr>
        <w:t>: Sofitel Ballroom 3</w:t>
      </w:r>
    </w:p>
    <w:p w14:paraId="20B1FD0B" w14:textId="77777777" w:rsidR="00753B59" w:rsidRDefault="00753B59" w:rsidP="00753B59">
      <w:pPr>
        <w:rPr>
          <w:lang w:eastAsia="ja-JP"/>
        </w:rPr>
      </w:pPr>
      <w:r w:rsidRPr="00753B59">
        <w:rPr>
          <w:b/>
          <w:bCs/>
          <w:lang w:eastAsia="ja-JP"/>
        </w:rPr>
        <w:t>Project Partner</w:t>
      </w:r>
      <w:r>
        <w:rPr>
          <w:lang w:eastAsia="ja-JP"/>
        </w:rPr>
        <w:t>: Intelligent System Design</w:t>
      </w:r>
    </w:p>
    <w:p w14:paraId="66FA0ECA" w14:textId="781799E8" w:rsidR="00753B59" w:rsidRDefault="00753B59" w:rsidP="00753B59">
      <w:pPr>
        <w:pStyle w:val="ListBullet"/>
        <w:rPr>
          <w:lang w:eastAsia="ja-JP"/>
        </w:rPr>
      </w:pPr>
      <w:r>
        <w:rPr>
          <w:lang w:eastAsia="ja-JP"/>
        </w:rPr>
        <w:t>The handheld camera system combines visible and hyperspectral</w:t>
      </w:r>
      <w:r>
        <w:rPr>
          <w:lang w:eastAsia="ja-JP"/>
        </w:rPr>
        <w:t xml:space="preserve"> </w:t>
      </w:r>
      <w:r>
        <w:rPr>
          <w:lang w:eastAsia="ja-JP"/>
        </w:rPr>
        <w:t>technology with a machine-learning detection algorithm.</w:t>
      </w:r>
    </w:p>
    <w:p w14:paraId="4E823E23" w14:textId="6C47E73F" w:rsidR="00753B59" w:rsidRDefault="00753B59" w:rsidP="00753B59">
      <w:pPr>
        <w:pStyle w:val="ListBullet"/>
        <w:rPr>
          <w:lang w:eastAsia="ja-JP"/>
        </w:rPr>
      </w:pPr>
      <w:r>
        <w:rPr>
          <w:lang w:eastAsia="ja-JP"/>
        </w:rPr>
        <w:t>The prototype device enables ‘real time’ pest detection and is equipped</w:t>
      </w:r>
      <w:r>
        <w:rPr>
          <w:lang w:eastAsia="ja-JP"/>
        </w:rPr>
        <w:t xml:space="preserve"> </w:t>
      </w:r>
      <w:r>
        <w:rPr>
          <w:lang w:eastAsia="ja-JP"/>
        </w:rPr>
        <w:t>with edge processing capability.</w:t>
      </w:r>
    </w:p>
    <w:p w14:paraId="30F100DE" w14:textId="35C100EF" w:rsidR="00753B59" w:rsidRDefault="00753B59" w:rsidP="00753B59">
      <w:pPr>
        <w:pStyle w:val="ListBullet"/>
        <w:rPr>
          <w:lang w:eastAsia="ja-JP"/>
        </w:rPr>
      </w:pPr>
      <w:r>
        <w:rPr>
          <w:lang w:eastAsia="ja-JP"/>
        </w:rPr>
        <w:t>Specific-use case models initially developed for the prototype includes</w:t>
      </w:r>
      <w:r>
        <w:rPr>
          <w:lang w:eastAsia="ja-JP"/>
        </w:rPr>
        <w:t xml:space="preserve"> </w:t>
      </w:r>
      <w:r>
        <w:rPr>
          <w:lang w:eastAsia="ja-JP"/>
        </w:rPr>
        <w:t>the external and internal surfaces of sea containers.</w:t>
      </w:r>
    </w:p>
    <w:p w14:paraId="26C3003C" w14:textId="2B1B1AC9" w:rsidR="00753B59" w:rsidRDefault="00753B59" w:rsidP="00753B59">
      <w:pPr>
        <w:rPr>
          <w:lang w:eastAsia="ja-JP"/>
        </w:rPr>
      </w:pPr>
      <w:r>
        <w:rPr>
          <w:lang w:eastAsia="ja-JP"/>
        </w:rPr>
        <w:t>The device uses two lens types: hyperspectral and Red-Green-Blue (RGB) light wavelength lenses. Combined with</w:t>
      </w:r>
      <w:r>
        <w:rPr>
          <w:lang w:eastAsia="ja-JP"/>
        </w:rPr>
        <w:t xml:space="preserve"> </w:t>
      </w:r>
      <w:r>
        <w:rPr>
          <w:lang w:eastAsia="ja-JP"/>
        </w:rPr>
        <w:t>a machine learning algorithm, it is trained to detect the presence of an initial set of key pest taxa groups such as</w:t>
      </w:r>
      <w:r>
        <w:rPr>
          <w:lang w:eastAsia="ja-JP"/>
        </w:rPr>
        <w:t xml:space="preserve"> </w:t>
      </w:r>
      <w:r>
        <w:rPr>
          <w:lang w:eastAsia="ja-JP"/>
        </w:rPr>
        <w:t>dermestids, snails, invasive ants and weed seeds.</w:t>
      </w:r>
    </w:p>
    <w:p w14:paraId="12CF1FC8" w14:textId="17AF32A7" w:rsidR="00753B59" w:rsidRDefault="00753B59" w:rsidP="00753B59">
      <w:pPr>
        <w:rPr>
          <w:lang w:eastAsia="ja-JP"/>
        </w:rPr>
      </w:pPr>
      <w:r>
        <w:rPr>
          <w:lang w:eastAsia="ja-JP"/>
        </w:rPr>
        <w:t>The device will be used for the fast, real-time scanning within a range of intended use environments and settings,</w:t>
      </w:r>
      <w:r>
        <w:rPr>
          <w:lang w:eastAsia="ja-JP"/>
        </w:rPr>
        <w:t xml:space="preserve"> </w:t>
      </w:r>
      <w:r>
        <w:rPr>
          <w:lang w:eastAsia="ja-JP"/>
        </w:rPr>
        <w:t>including the cracks, crevices and joints in sea containers.</w:t>
      </w:r>
    </w:p>
    <w:p w14:paraId="2F0300E4" w14:textId="77777777" w:rsidR="00753B59" w:rsidRDefault="00753B59" w:rsidP="00753B59">
      <w:pPr>
        <w:rPr>
          <w:lang w:eastAsia="ja-JP"/>
        </w:rPr>
      </w:pPr>
      <w:r>
        <w:rPr>
          <w:lang w:eastAsia="ja-JP"/>
        </w:rPr>
        <w:t>Trials are already underway with promising results.</w:t>
      </w:r>
    </w:p>
    <w:p w14:paraId="2145FE60" w14:textId="77777777" w:rsidR="00753B59" w:rsidRDefault="00753B59" w:rsidP="00753B59">
      <w:pPr>
        <w:pStyle w:val="Heading4"/>
        <w:numPr>
          <w:ilvl w:val="0"/>
          <w:numId w:val="0"/>
        </w:numPr>
        <w:ind w:left="964" w:hanging="964"/>
        <w:rPr>
          <w:lang w:eastAsia="ja-JP"/>
        </w:rPr>
      </w:pPr>
      <w:r>
        <w:rPr>
          <w:lang w:eastAsia="ja-JP"/>
        </w:rPr>
        <w:t>References</w:t>
      </w:r>
    </w:p>
    <w:p w14:paraId="376DBE21" w14:textId="05797980" w:rsidR="00512042" w:rsidRPr="00512042" w:rsidRDefault="00753B59" w:rsidP="00753B59">
      <w:pPr>
        <w:rPr>
          <w:lang w:eastAsia="ja-JP"/>
        </w:rPr>
      </w:pPr>
      <w:r>
        <w:rPr>
          <w:lang w:eastAsia="ja-JP"/>
        </w:rPr>
        <w:t xml:space="preserve">ISD website: </w:t>
      </w:r>
      <w:hyperlink r:id="rId25" w:history="1">
        <w:r w:rsidRPr="002322EE">
          <w:rPr>
            <w:rStyle w:val="Hyperlink"/>
            <w:lang w:eastAsia="ja-JP"/>
          </w:rPr>
          <w:t>https://isd.ai/</w:t>
        </w:r>
      </w:hyperlink>
      <w:r>
        <w:rPr>
          <w:lang w:eastAsia="ja-JP"/>
        </w:rPr>
        <w:t xml:space="preserve"> </w:t>
      </w:r>
    </w:p>
    <w:p w14:paraId="0F135678" w14:textId="77777777" w:rsidR="008D1B48" w:rsidRDefault="008D1B48" w:rsidP="008D1B48">
      <w:pPr>
        <w:pStyle w:val="Normalsmall"/>
      </w:pPr>
      <w:r>
        <w:rPr>
          <w:rStyle w:val="Strong"/>
        </w:rPr>
        <w:t>Acknowledgement of Country</w:t>
      </w:r>
    </w:p>
    <w:p w14:paraId="73E8F888"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B93696C" w14:textId="77777777" w:rsidR="00262394" w:rsidRDefault="00262394" w:rsidP="00262394">
      <w:pPr>
        <w:pStyle w:val="Normalsmall"/>
        <w:spacing w:before="360"/>
      </w:pPr>
      <w:r>
        <w:t>© Commonwealth of Australia 202</w:t>
      </w:r>
      <w:r w:rsidR="00340820">
        <w:t>3</w:t>
      </w:r>
    </w:p>
    <w:p w14:paraId="7140435A"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4964BBD8" w14:textId="77777777" w:rsidR="00262394" w:rsidRDefault="00262394" w:rsidP="00262394">
      <w:pPr>
        <w:pStyle w:val="Normalsmall"/>
      </w:pPr>
      <w:r>
        <w:t xml:space="preserve">All material in this publication is licensed under a </w:t>
      </w:r>
      <w:hyperlink r:id="rId26" w:history="1">
        <w:r>
          <w:rPr>
            <w:rStyle w:val="Hyperlink"/>
          </w:rPr>
          <w:t>Creative Commons Attribution 4.0 International Licence</w:t>
        </w:r>
      </w:hyperlink>
      <w:r>
        <w:t xml:space="preserve"> except content supplied by third parties, logos and the Commonwealth Coat of Arms.</w:t>
      </w:r>
    </w:p>
    <w:p w14:paraId="388739E4"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headerReference w:type="default" r:id="rId27"/>
      <w:footerReference w:type="default" r:id="rId28"/>
      <w:headerReference w:type="first" r:id="rId29"/>
      <w:footerReference w:type="first" r:id="rId30"/>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8F6D" w14:textId="77777777" w:rsidR="00475DC1" w:rsidRDefault="00475DC1">
      <w:r>
        <w:separator/>
      </w:r>
    </w:p>
    <w:p w14:paraId="0F7C35C5" w14:textId="77777777" w:rsidR="00475DC1" w:rsidRDefault="00475DC1"/>
    <w:p w14:paraId="2B2792FF" w14:textId="77777777" w:rsidR="00475DC1" w:rsidRDefault="00475DC1"/>
  </w:endnote>
  <w:endnote w:type="continuationSeparator" w:id="0">
    <w:p w14:paraId="13BA3C1B" w14:textId="77777777" w:rsidR="00475DC1" w:rsidRDefault="00475DC1">
      <w:r>
        <w:continuationSeparator/>
      </w:r>
    </w:p>
    <w:p w14:paraId="6AA08955" w14:textId="77777777" w:rsidR="00475DC1" w:rsidRDefault="00475DC1"/>
    <w:p w14:paraId="2BC1848E" w14:textId="77777777" w:rsidR="00475DC1" w:rsidRDefault="00475DC1"/>
  </w:endnote>
  <w:endnote w:type="continuationNotice" w:id="1">
    <w:p w14:paraId="3B8BD6C1" w14:textId="77777777" w:rsidR="00475DC1" w:rsidRDefault="00475DC1">
      <w:pPr>
        <w:pStyle w:val="Footer"/>
      </w:pPr>
    </w:p>
    <w:p w14:paraId="7EBA84B3" w14:textId="77777777" w:rsidR="00475DC1" w:rsidRDefault="00475DC1"/>
    <w:p w14:paraId="5481B805" w14:textId="77777777" w:rsidR="00475DC1" w:rsidRDefault="00475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1864" w14:textId="77777777" w:rsidR="002A193C" w:rsidRDefault="007B1F92">
    <w:pPr>
      <w:pStyle w:val="Footer"/>
    </w:pPr>
    <w:r w:rsidRPr="007B1F92">
      <w:t>Department of Agriculture, Fisheries and Forestry</w:t>
    </w:r>
  </w:p>
  <w:p w14:paraId="11B9B103"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DF76" w14:textId="77777777" w:rsidR="002A193C" w:rsidRDefault="002A193C">
    <w:pPr>
      <w:pStyle w:val="Footer"/>
    </w:pPr>
    <w:r>
      <w:t xml:space="preserve">Department of Agriculture, </w:t>
    </w:r>
    <w:r w:rsidR="00A9002C">
      <w:t>Fisheries and Forestry</w:t>
    </w:r>
  </w:p>
  <w:p w14:paraId="18888E2E"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D0DD" w14:textId="77777777" w:rsidR="00475DC1" w:rsidRDefault="00475DC1">
      <w:r>
        <w:separator/>
      </w:r>
    </w:p>
    <w:p w14:paraId="05FDB768" w14:textId="77777777" w:rsidR="00475DC1" w:rsidRDefault="00475DC1"/>
    <w:p w14:paraId="7171D3D7" w14:textId="77777777" w:rsidR="00475DC1" w:rsidRDefault="00475DC1"/>
  </w:footnote>
  <w:footnote w:type="continuationSeparator" w:id="0">
    <w:p w14:paraId="3680681A" w14:textId="77777777" w:rsidR="00475DC1" w:rsidRDefault="00475DC1">
      <w:r>
        <w:continuationSeparator/>
      </w:r>
    </w:p>
    <w:p w14:paraId="77268ACE" w14:textId="77777777" w:rsidR="00475DC1" w:rsidRDefault="00475DC1"/>
    <w:p w14:paraId="1CA7E71E" w14:textId="77777777" w:rsidR="00475DC1" w:rsidRDefault="00475DC1"/>
  </w:footnote>
  <w:footnote w:type="continuationNotice" w:id="1">
    <w:p w14:paraId="4BCF816D" w14:textId="77777777" w:rsidR="00475DC1" w:rsidRDefault="00475DC1">
      <w:pPr>
        <w:pStyle w:val="Footer"/>
      </w:pPr>
    </w:p>
    <w:p w14:paraId="72A51487" w14:textId="77777777" w:rsidR="00475DC1" w:rsidRDefault="00475DC1"/>
    <w:p w14:paraId="42116864" w14:textId="77777777" w:rsidR="00475DC1" w:rsidRDefault="00475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3BBE" w14:textId="6531254B" w:rsidR="002A193C" w:rsidRDefault="005324B4">
    <w:pPr>
      <w:pStyle w:val="Header"/>
    </w:pPr>
    <w:r>
      <w:t>Field trip handbook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42CA" w14:textId="5EAA2ECD" w:rsidR="002A193C" w:rsidRDefault="00D36729">
    <w:pPr>
      <w:pStyle w:val="Header"/>
      <w:jc w:val="left"/>
    </w:pPr>
    <w:r>
      <w:rPr>
        <w:noProof/>
        <w:lang w:eastAsia="en-AU"/>
      </w:rPr>
      <w:drawing>
        <wp:inline distT="0" distB="0" distL="0" distR="0" wp14:anchorId="1992D77C" wp14:editId="31618205">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B4"/>
    <w:rsid w:val="000D6DD8"/>
    <w:rsid w:val="00112B86"/>
    <w:rsid w:val="001567E9"/>
    <w:rsid w:val="00183612"/>
    <w:rsid w:val="001A1F79"/>
    <w:rsid w:val="001B1009"/>
    <w:rsid w:val="001C3583"/>
    <w:rsid w:val="001D77BC"/>
    <w:rsid w:val="001E1C4C"/>
    <w:rsid w:val="00201500"/>
    <w:rsid w:val="00262394"/>
    <w:rsid w:val="002A193C"/>
    <w:rsid w:val="00305911"/>
    <w:rsid w:val="00340820"/>
    <w:rsid w:val="00357095"/>
    <w:rsid w:val="00362353"/>
    <w:rsid w:val="00381D23"/>
    <w:rsid w:val="00396339"/>
    <w:rsid w:val="003A4B4A"/>
    <w:rsid w:val="003D3CE1"/>
    <w:rsid w:val="003D44DC"/>
    <w:rsid w:val="00402404"/>
    <w:rsid w:val="00406AC2"/>
    <w:rsid w:val="00460750"/>
    <w:rsid w:val="004705F2"/>
    <w:rsid w:val="00473964"/>
    <w:rsid w:val="00475DC1"/>
    <w:rsid w:val="004837B1"/>
    <w:rsid w:val="0048569E"/>
    <w:rsid w:val="00486C20"/>
    <w:rsid w:val="00490E7F"/>
    <w:rsid w:val="004C6362"/>
    <w:rsid w:val="004C6C47"/>
    <w:rsid w:val="00512042"/>
    <w:rsid w:val="005324B4"/>
    <w:rsid w:val="005F0E4D"/>
    <w:rsid w:val="00611DA7"/>
    <w:rsid w:val="006416D4"/>
    <w:rsid w:val="00726F21"/>
    <w:rsid w:val="007405CB"/>
    <w:rsid w:val="00753B59"/>
    <w:rsid w:val="007B1F92"/>
    <w:rsid w:val="007C5B94"/>
    <w:rsid w:val="008153FE"/>
    <w:rsid w:val="0082249A"/>
    <w:rsid w:val="00833933"/>
    <w:rsid w:val="008A3190"/>
    <w:rsid w:val="008D1B48"/>
    <w:rsid w:val="0090774C"/>
    <w:rsid w:val="009679F4"/>
    <w:rsid w:val="00991227"/>
    <w:rsid w:val="00A26D23"/>
    <w:rsid w:val="00A9002C"/>
    <w:rsid w:val="00AA70E3"/>
    <w:rsid w:val="00AB0FBE"/>
    <w:rsid w:val="00AF1EB9"/>
    <w:rsid w:val="00AF5211"/>
    <w:rsid w:val="00B01FB8"/>
    <w:rsid w:val="00B35721"/>
    <w:rsid w:val="00B43A41"/>
    <w:rsid w:val="00B5453F"/>
    <w:rsid w:val="00BA0AFF"/>
    <w:rsid w:val="00BB6ACE"/>
    <w:rsid w:val="00BC6BA3"/>
    <w:rsid w:val="00BD2275"/>
    <w:rsid w:val="00C00AAC"/>
    <w:rsid w:val="00C05EA8"/>
    <w:rsid w:val="00C06619"/>
    <w:rsid w:val="00C51E35"/>
    <w:rsid w:val="00C759F8"/>
    <w:rsid w:val="00D06356"/>
    <w:rsid w:val="00D36729"/>
    <w:rsid w:val="00D45274"/>
    <w:rsid w:val="00D45E0E"/>
    <w:rsid w:val="00D576B1"/>
    <w:rsid w:val="00D666DC"/>
    <w:rsid w:val="00D912A7"/>
    <w:rsid w:val="00DF0CF5"/>
    <w:rsid w:val="00E05D92"/>
    <w:rsid w:val="00E362EF"/>
    <w:rsid w:val="00E732BE"/>
    <w:rsid w:val="00E96E54"/>
    <w:rsid w:val="00F35EE8"/>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A5FBE"/>
  <w15:docId w15:val="{98E67240-AC93-48DE-B3F8-38D07615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D5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trick.com.au/" TargetMode="External"/><Relationship Id="rId18" Type="http://schemas.openxmlformats.org/officeDocument/2006/relationships/hyperlink" Target="https://www.agriculture.gov.au/biosecurity-trade/import/arrival/arrangements/requirements#class-1" TargetMode="External"/><Relationship Id="rId26" Type="http://schemas.openxmlformats.org/officeDocument/2006/relationships/hyperlink" Target="https://creativecommons.org/licenses/by/4.0/legalcode" TargetMode="External"/><Relationship Id="rId3" Type="http://schemas.openxmlformats.org/officeDocument/2006/relationships/customXml" Target="../customXml/item3.xml"/><Relationship Id="rId21" Type="http://schemas.openxmlformats.org/officeDocument/2006/relationships/hyperlink" Target="https://www.agriculture.gov.au/biosecurity-trade/import/arrival/treatments" TargetMode="External"/><Relationship Id="rId7" Type="http://schemas.openxmlformats.org/officeDocument/2006/relationships/settings" Target="settings.xml"/><Relationship Id="rId12" Type="http://schemas.openxmlformats.org/officeDocument/2006/relationships/hyperlink" Target="https://qube.com.au/" TargetMode="External"/><Relationship Id="rId17" Type="http://schemas.openxmlformats.org/officeDocument/2006/relationships/hyperlink" Target="https://www.agriculture.gov.au/biosecurity-trade/import/arrival/pests/cal" TargetMode="External"/><Relationship Id="rId25" Type="http://schemas.openxmlformats.org/officeDocument/2006/relationships/hyperlink" Target="https://isd.ai/" TargetMode="External"/><Relationship Id="rId2" Type="http://schemas.openxmlformats.org/officeDocument/2006/relationships/customXml" Target="../customXml/item2.xml"/><Relationship Id="rId16" Type="http://schemas.openxmlformats.org/officeDocument/2006/relationships/hyperlink" Target="https://www.ippc.int/en/publications/87069/" TargetMode="External"/><Relationship Id="rId20" Type="http://schemas.openxmlformats.org/officeDocument/2006/relationships/hyperlink" Target="https://www.agriculture.gov.au/biosecurity-trade/import/before/brown-marmorated-stink-bug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rapidglobal.com/access/searching" TargetMode="External"/><Relationship Id="rId24" Type="http://schemas.openxmlformats.org/officeDocument/2006/relationships/hyperlink" Target="http://www.ippc.int/en/core-activities/governance/cpm/current-consultations-for-cpm-recommendat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sd.ai/" TargetMode="External"/><Relationship Id="rId23" Type="http://schemas.openxmlformats.org/officeDocument/2006/relationships/hyperlink" Target="http://www.murdoch.edu.au/research/hbi"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griculture.gov.au/biosecurity-trade/import/arrival/arrangements/requirements#class-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rdoch.edu.au/research/hbi" TargetMode="External"/><Relationship Id="rId22" Type="http://schemas.openxmlformats.org/officeDocument/2006/relationships/hyperlink" Target="https://www.agriculture.gov.au/biosecurity-trade/pests-diseases-weeds/plant"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450657-0F3E-4AED-BA52-A46C944E7B1C}"/>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Short_document_template.dotx</Template>
  <TotalTime>33</TotalTime>
  <Pages>6</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12642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McAlpine, Alex</dc:creator>
  <cp:lastModifiedBy>McAlpine, Alex</cp:lastModifiedBy>
  <cp:revision>3</cp:revision>
  <cp:lastPrinted>2019-02-13T02:42:00Z</cp:lastPrinted>
  <dcterms:created xsi:type="dcterms:W3CDTF">2023-07-12T22:02:00Z</dcterms:created>
  <dcterms:modified xsi:type="dcterms:W3CDTF">2023-07-12T22:35:00Z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