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Default Extension="tiff" ContentType="image/tiff"/>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691" w:rsidRPr="00557A7B" w:rsidRDefault="003053F0" w:rsidP="00AA64A3">
      <w:pPr>
        <w:pStyle w:val="StyleCentered"/>
      </w:pPr>
      <w:r>
        <w:rPr>
          <w:noProof/>
          <w:lang w:eastAsia="en-AU"/>
        </w:rPr>
        <w:drawing>
          <wp:anchor distT="0" distB="0" distL="114300" distR="114300" simplePos="0" relativeHeight="251662336" behindDoc="0" locked="0" layoutInCell="1" allowOverlap="1" wp14:anchorId="00663ABC" wp14:editId="629029E0">
            <wp:simplePos x="0" y="0"/>
            <wp:positionH relativeFrom="column">
              <wp:posOffset>319087</wp:posOffset>
            </wp:positionH>
            <wp:positionV relativeFrom="paragraph">
              <wp:posOffset>134620</wp:posOffset>
            </wp:positionV>
            <wp:extent cx="3509153" cy="1889185"/>
            <wp:effectExtent l="19050" t="0" r="0" b="0"/>
            <wp:wrapNone/>
            <wp:docPr id="37" name="Picture 37" descr="DOEE_SS_sta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EE_SS_stacked"/>
                    <pic:cNvPicPr>
                      <a:picLocks noChangeAspect="1" noChangeArrowheads="1"/>
                    </pic:cNvPicPr>
                  </pic:nvPicPr>
                  <pic:blipFill>
                    <a:blip r:embed="rId7" cstate="screen"/>
                    <a:srcRect/>
                    <a:stretch>
                      <a:fillRect/>
                    </a:stretch>
                  </pic:blipFill>
                  <pic:spPr bwMode="auto">
                    <a:xfrm>
                      <a:off x="0" y="0"/>
                      <a:ext cx="3509153" cy="1889185"/>
                    </a:xfrm>
                    <a:prstGeom prst="rect">
                      <a:avLst/>
                    </a:prstGeom>
                    <a:noFill/>
                  </pic:spPr>
                </pic:pic>
              </a:graphicData>
            </a:graphic>
          </wp:anchor>
        </w:drawing>
      </w:r>
      <w:r w:rsidR="00071B27">
        <w:rPr>
          <w:noProof/>
          <w:lang w:eastAsia="en-AU"/>
        </w:rPr>
        <mc:AlternateContent>
          <mc:Choice Requires="wpg">
            <w:drawing>
              <wp:anchor distT="0" distB="0" distL="114300" distR="114300" simplePos="0" relativeHeight="251659264" behindDoc="0" locked="0" layoutInCell="1" allowOverlap="1" wp14:anchorId="7A519B35" wp14:editId="156C2A80">
                <wp:simplePos x="0" y="0"/>
                <wp:positionH relativeFrom="column">
                  <wp:posOffset>5066665</wp:posOffset>
                </wp:positionH>
                <wp:positionV relativeFrom="paragraph">
                  <wp:posOffset>73660</wp:posOffset>
                </wp:positionV>
                <wp:extent cx="1652270" cy="1945640"/>
                <wp:effectExtent l="0" t="5080" r="7620" b="1905"/>
                <wp:wrapNone/>
                <wp:docPr id="17"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2270" cy="1945640"/>
                          <a:chOff x="8546" y="683"/>
                          <a:chExt cx="2602" cy="3064"/>
                        </a:xfrm>
                      </wpg:grpSpPr>
                      <wps:wsp>
                        <wps:cNvPr id="18" name="Rectangle 20"/>
                        <wps:cNvSpPr>
                          <a:spLocks noChangeArrowheads="1"/>
                        </wps:cNvSpPr>
                        <wps:spPr bwMode="auto">
                          <a:xfrm>
                            <a:off x="9951" y="683"/>
                            <a:ext cx="1197" cy="2984"/>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2" name="Text Box 21"/>
                        <wps:cNvSpPr txBox="1">
                          <a:spLocks noChangeArrowheads="1"/>
                        </wps:cNvSpPr>
                        <wps:spPr bwMode="auto">
                          <a:xfrm>
                            <a:off x="10041" y="2337"/>
                            <a:ext cx="1052" cy="12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1B68" w:rsidRPr="0086045D" w:rsidRDefault="001E1B68" w:rsidP="00E9208F">
                              <w:pPr>
                                <w:jc w:val="center"/>
                                <w:rPr>
                                  <w:rFonts w:ascii="Arial Narrow" w:hAnsi="Arial Narrow"/>
                                  <w:color w:val="FFFFFF"/>
                                  <w:spacing w:val="-4"/>
                                  <w:w w:val="50"/>
                                  <w:sz w:val="120"/>
                                  <w:szCs w:val="120"/>
                                </w:rPr>
                              </w:pPr>
                              <w:r>
                                <w:rPr>
                                  <w:rFonts w:ascii="Arial Narrow" w:hAnsi="Arial Narrow"/>
                                  <w:color w:val="FFFFFF"/>
                                  <w:spacing w:val="-4"/>
                                  <w:w w:val="50"/>
                                  <w:sz w:val="120"/>
                                  <w:szCs w:val="120"/>
                                </w:rPr>
                                <w:t>627</w:t>
                              </w:r>
                            </w:p>
                          </w:txbxContent>
                        </wps:txbx>
                        <wps:bodyPr rot="0" vert="horz" wrap="square" lIns="0" tIns="0" rIns="0" bIns="0" anchor="t" anchorCtr="0" upright="1">
                          <a:noAutofit/>
                        </wps:bodyPr>
                      </wps:wsp>
                      <wps:wsp>
                        <wps:cNvPr id="24" name="Text Box 22"/>
                        <wps:cNvSpPr txBox="1">
                          <a:spLocks noChangeArrowheads="1"/>
                        </wps:cNvSpPr>
                        <wps:spPr bwMode="auto">
                          <a:xfrm>
                            <a:off x="8546" y="2515"/>
                            <a:ext cx="1302" cy="12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1B68" w:rsidRPr="0086045D" w:rsidRDefault="001E1B68" w:rsidP="00E9208F">
                              <w:pPr>
                                <w:spacing w:after="0" w:line="400" w:lineRule="exact"/>
                                <w:jc w:val="right"/>
                                <w:rPr>
                                  <w:i/>
                                  <w:spacing w:val="20"/>
                                  <w:sz w:val="32"/>
                                  <w:szCs w:val="32"/>
                                </w:rPr>
                              </w:pPr>
                              <w:r w:rsidRPr="0086045D">
                                <w:rPr>
                                  <w:i/>
                                  <w:spacing w:val="20"/>
                                  <w:sz w:val="32"/>
                                  <w:szCs w:val="32"/>
                                </w:rPr>
                                <w:t>internal report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519B35" id="Group 19" o:spid="_x0000_s1026" style="position:absolute;left:0;text-align:left;margin-left:398.95pt;margin-top:5.8pt;width:130.1pt;height:153.2pt;z-index:251659264" coordorigin="8546,683" coordsize="2602,3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TjzgAMAAJgMAAAOAAAAZHJzL2Uyb0RvYy54bWzsV9tu2zgQfS+w/0Dw3ZFIS7IlRCmapA4K&#10;ZNuilw+gJeqClUgtSUdOi/33DklZtdMCG2TRAAXWDwqpoYYzZ84ZMucv932H7rjSrRQ5JmchRlwU&#10;smxFnePPnzaLNUbaMFGyTgqe43uu8cuLP16cj0PGqWxkV3KFwInQ2TjkuDFmyIJAFw3vmT6TAxdg&#10;rKTqmYGpqoNSsRG8911AwzAJRqnKQcmCaw1vr70RXzj/VcUL866qNDeoyzHEZtxTuefWPoOLc5bV&#10;ig1NW0xhsCdE0bNWwKazq2tmGNqp9gdXfVsoqWVlzgrZB7Kq2oK7HCAbEj7I5kbJ3eByqbOxHmaY&#10;ANoHOD3ZbfH27r1CbQm1W2EkWA81ctsiklpwxqHOYM2NGj4O75XPEIa3svhLgzl4aLfz2i9G2/FP&#10;WYI/tjPSgbOvVG9dQNpo72pwP9eA7w0q4CVJYkpXUKoCbCSN4iSaqlQ0UEr73TqOEozAnKyXvoBF&#10;83r6nCYh9d8uwySy1oBlfl8X6xSbTQwIp79jqv8bph8bNnBXKm3xOmAK7PeYfgAmMlF3HFGXjt0e&#10;1h1A1R5RJORVA8v4K6Xk2HBWQljEZXHygZ1oqMe/QpymMTmFasaZpFBwCzJN16dAsWxQ2txw2SM7&#10;yLGC4F0B2d2tNh7TwxJbTy27tty0Xecmqt5edQrdMSs595vKcLKsE2jMcRrT2Hk+senHuehbA72j&#10;a3ugxLwPyyxsr0UJYbLMsLbzY6BBJxxhPXSeAVtZ3gOMSvrGAI0MBo1UXzAaoSnkWP+9Y4pj1L0R&#10;UIqURMBGZNwkildQS6SOLdtjCxMFuMqxwcgPr4zvPLtBtXUDOxGXu5CvQCFV65C1pfVRTcECSZ+J&#10;rRSU49n6ybLkUu4RdeQ74h4ye3h/iPxX0ZaEYeR5S5fLldf4TNwwnhRO6Mrpf1b4MxHXEktIy3cv&#10;BcsrlkF8II5p5Hv/15TQKLyk6WKTrFeLaBPFi3QVrhchSS/TJIzS6Hrzj+UAibKmLUsublvBD+cQ&#10;iR7Xk6YT0Z8g7iR6bmmdhO9aLqBx+OtQgeZ7rDuz3+4BvO9kf7QEZ/nN0oOBlx0MfjvJRT9Kjlq+&#10;P7vk5kOVxiR+oLjl4UwldOmi+xWK27jfz4+K/xVnETg+zJ6kOH/PO9Drdzn73L0Nrr+un0xXdXu/&#10;Pp7D+PgfiotvAAAA//8DAFBLAwQUAAYACAAAACEAYVYQbuEAAAALAQAADwAAAGRycy9kb3ducmV2&#10;LnhtbEyPUWvCMBSF3wf7D+EO9jaTTNRam4rIticZTAfDt9hc22JzU5rY1n+/+LQ9Xs7HOd/N1qNt&#10;WI+drx0pkBMBDKlwpqZSwffh/SUB5oMmoxtHqOCGHtb540OmU+MG+sJ+H0oWS8inWkEVQpty7osK&#10;rfYT1yLF7Ow6q0M8u5KbTg+x3Db8VYg5t7qmuFDpFrcVFpf91Sr4GPSwmcq3fnc5b2/Hw+zzZydR&#10;qeencbMCFnAMfzDc9aM65NHp5K5kPGsULJaLZURjIOfA7oCYJRLYScFUJgJ4nvH/P+S/AAAA//8D&#10;AFBLAQItABQABgAIAAAAIQC2gziS/gAAAOEBAAATAAAAAAAAAAAAAAAAAAAAAABbQ29udGVudF9U&#10;eXBlc10ueG1sUEsBAi0AFAAGAAgAAAAhADj9If/WAAAAlAEAAAsAAAAAAAAAAAAAAAAALwEAAF9y&#10;ZWxzLy5yZWxzUEsBAi0AFAAGAAgAAAAhAHedOPOAAwAAmAwAAA4AAAAAAAAAAAAAAAAALgIAAGRy&#10;cy9lMm9Eb2MueG1sUEsBAi0AFAAGAAgAAAAhAGFWEG7hAAAACwEAAA8AAAAAAAAAAAAAAAAA2gUA&#10;AGRycy9kb3ducmV2LnhtbFBLBQYAAAAABAAEAPMAAADoBgAAAAA=&#10;">
                <v:rect id="Rectangle 20" o:spid="_x0000_s1027" style="position:absolute;left:9951;top:683;width:1197;height:2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kuvcEA&#10;AADbAAAADwAAAGRycy9kb3ducmV2LnhtbESPwarCQAxF9w/8hyGCG9GpLh5SHUUFQdzIq35A6MS2&#10;2MmUzmirX28Wwtsl3Jt7T1ab3tXqSW2oPBuYTRNQxLm3FRcGrpfDZAEqRGSLtWcy8KIAm/XgZ4Wp&#10;9R3/0TOLhZIQDikaKGNsUq1DXpLDMPUNsWg33zqMsraFti12Eu5qPU+SX+2wYmkosaF9Sfk9ezgD&#10;u66rbud3xuNTsetPczxcMNbGjIb9dgkqUh//zd/roxV8gZVfZAC9/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5Lr3BAAAA2wAAAA8AAAAAAAAAAAAAAAAAmAIAAGRycy9kb3du&#10;cmV2LnhtbFBLBQYAAAAABAAEAPUAAACGAwAAAAA=&#10;" fillcolor="black"/>
                <v:shapetype id="_x0000_t202" coordsize="21600,21600" o:spt="202" path="m,l,21600r21600,l21600,xe">
                  <v:stroke joinstyle="miter"/>
                  <v:path gradientshapeok="t" o:connecttype="rect"/>
                </v:shapetype>
                <v:shape id="Text Box 21" o:spid="_x0000_s1028" type="#_x0000_t202" style="position:absolute;left:10041;top:2337;width:1052;height:1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NJgsUA&#10;AADbAAAADwAAAGRycy9kb3ducmV2LnhtbESPQWuDQBSE74X8h+UFemtWPQRrsgkSEmgOhWraQ24P&#10;90Ul7ltxt2r767uFQo/DzHzDbPez6cRIg2stK4hXEQjiyuqWawXvl9NTCsJ5ZI2dZVLwRQ72u8XD&#10;FjNtJy5oLH0tAoRdhgoa7/tMSlc1ZNCtbE8cvJsdDPogh1rqAacAN51MomgtDbYcFhrs6dBQdS8/&#10;jYJeX1/j5+/0/vGG5zS5HCdfFLlSj8s534DwNPv/8F/7RStIEvj9En6A3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o0mCxQAAANsAAAAPAAAAAAAAAAAAAAAAAJgCAABkcnMv&#10;ZG93bnJldi54bWxQSwUGAAAAAAQABAD1AAAAigMAAAAA&#10;" fillcolor="black" stroked="f">
                  <v:textbox inset="0,0,0,0">
                    <w:txbxContent>
                      <w:p w:rsidR="001E1B68" w:rsidRPr="0086045D" w:rsidRDefault="001E1B68" w:rsidP="00E9208F">
                        <w:pPr>
                          <w:jc w:val="center"/>
                          <w:rPr>
                            <w:rFonts w:ascii="Arial Narrow" w:hAnsi="Arial Narrow"/>
                            <w:color w:val="FFFFFF"/>
                            <w:spacing w:val="-4"/>
                            <w:w w:val="50"/>
                            <w:sz w:val="120"/>
                            <w:szCs w:val="120"/>
                          </w:rPr>
                        </w:pPr>
                        <w:r>
                          <w:rPr>
                            <w:rFonts w:ascii="Arial Narrow" w:hAnsi="Arial Narrow"/>
                            <w:color w:val="FFFFFF"/>
                            <w:spacing w:val="-4"/>
                            <w:w w:val="50"/>
                            <w:sz w:val="120"/>
                            <w:szCs w:val="120"/>
                          </w:rPr>
                          <w:t>627</w:t>
                        </w:r>
                      </w:p>
                    </w:txbxContent>
                  </v:textbox>
                </v:shape>
                <v:shape id="Text Box 22" o:spid="_x0000_s1029" type="#_x0000_t202" style="position:absolute;left:8546;top:2515;width:1302;height:1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3w8QA&#10;AADbAAAADwAAAGRycy9kb3ducmV2LnhtbESP3WrCQBSE7wu+w3KE3hTdKKk/0U1oCxZvoz7AMXtM&#10;gtmzIbs1ydt3hUIvh5n5htlng2nEgzpXW1awmEcgiAuray4VXM6H2QaE88gaG8ukYCQHWTp52WOi&#10;bc85PU6+FAHCLkEFlfdtIqUrKjLo5rYlDt7NdgZ9kF0pdYd9gJtGLqNoJQ3WHBYqbOmrouJ++jEK&#10;bsf+7X3bX7/9ZZ3Hq0+s11c7KvU6HT52IDwN/j/81z5qBcsY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2N8PEAAAA2wAAAA8AAAAAAAAAAAAAAAAAmAIAAGRycy9k&#10;b3ducmV2LnhtbFBLBQYAAAAABAAEAPUAAACJAwAAAAA=&#10;" stroked="f">
                  <v:textbox>
                    <w:txbxContent>
                      <w:p w:rsidR="001E1B68" w:rsidRPr="0086045D" w:rsidRDefault="001E1B68" w:rsidP="00E9208F">
                        <w:pPr>
                          <w:spacing w:after="0" w:line="400" w:lineRule="exact"/>
                          <w:jc w:val="right"/>
                          <w:rPr>
                            <w:i/>
                            <w:spacing w:val="20"/>
                            <w:sz w:val="32"/>
                            <w:szCs w:val="32"/>
                          </w:rPr>
                        </w:pPr>
                        <w:proofErr w:type="gramStart"/>
                        <w:r w:rsidRPr="0086045D">
                          <w:rPr>
                            <w:i/>
                            <w:spacing w:val="20"/>
                            <w:sz w:val="32"/>
                            <w:szCs w:val="32"/>
                          </w:rPr>
                          <w:t>internal</w:t>
                        </w:r>
                        <w:proofErr w:type="gramEnd"/>
                        <w:r w:rsidRPr="0086045D">
                          <w:rPr>
                            <w:i/>
                            <w:spacing w:val="20"/>
                            <w:sz w:val="32"/>
                            <w:szCs w:val="32"/>
                          </w:rPr>
                          <w:t xml:space="preserve"> report</w:t>
                        </w:r>
                      </w:p>
                    </w:txbxContent>
                  </v:textbox>
                </v:shape>
              </v:group>
            </w:pict>
          </mc:Fallback>
        </mc:AlternateContent>
      </w:r>
      <w:r w:rsidR="00071B27">
        <w:rPr>
          <w:noProof/>
          <w:lang w:eastAsia="en-AU"/>
        </w:rPr>
        <mc:AlternateContent>
          <mc:Choice Requires="wps">
            <w:drawing>
              <wp:anchor distT="0" distB="0" distL="114300" distR="114300" simplePos="0" relativeHeight="251657216" behindDoc="0" locked="0" layoutInCell="1" allowOverlap="1" wp14:anchorId="7A519B36" wp14:editId="57758B4B">
                <wp:simplePos x="0" y="0"/>
                <wp:positionH relativeFrom="column">
                  <wp:posOffset>4157980</wp:posOffset>
                </wp:positionH>
                <wp:positionV relativeFrom="paragraph">
                  <wp:posOffset>3124200</wp:posOffset>
                </wp:positionV>
                <wp:extent cx="2621915" cy="2500630"/>
                <wp:effectExtent l="3175" t="0" r="3810" b="0"/>
                <wp:wrapNone/>
                <wp:docPr id="1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1915" cy="2500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1B68" w:rsidRPr="007A4E86" w:rsidRDefault="001E1B68" w:rsidP="00E9208F">
                            <w:pPr>
                              <w:spacing w:after="0" w:line="720" w:lineRule="atLeast"/>
                              <w:jc w:val="left"/>
                              <w:rPr>
                                <w:rFonts w:ascii="Arial" w:hAnsi="Arial" w:cs="Arial"/>
                                <w:spacing w:val="-2"/>
                                <w:sz w:val="36"/>
                                <w:szCs w:val="36"/>
                              </w:rPr>
                            </w:pPr>
                            <w:bookmarkStart w:id="0" w:name="_GoBack"/>
                            <w:r>
                              <w:rPr>
                                <w:rFonts w:ascii="Arial" w:hAnsi="Arial" w:cs="Arial"/>
                                <w:spacing w:val="-2"/>
                                <w:sz w:val="36"/>
                                <w:szCs w:val="36"/>
                              </w:rPr>
                              <w:t>Pb-210 determination using liquid scintillation counting (LSC)</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519B36" id="_x0000_t202" coordsize="21600,21600" o:spt="202" path="m,l,21600r21600,l21600,xe">
                <v:stroke joinstyle="miter"/>
                <v:path gradientshapeok="t" o:connecttype="rect"/>
              </v:shapetype>
              <v:shape id="Text Box 17" o:spid="_x0000_s1030" type="#_x0000_t202" style="position:absolute;left:0;text-align:left;margin-left:327.4pt;margin-top:246pt;width:206.45pt;height:19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wzfhgIAABk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IMuJti&#10;pEgHHD3wwaNrPaBsHurTG1eB270BRz/APvjGXJ250/SzQ0rftERt+ZW1um85YRBfFk4mZ0dHHBdA&#10;Nv07zeAesvM6Ag2N7ULxoBwI0IGnxxM3IRYKm/ksz8oQIwVbPgXqX0X2ElIdjxvr/BuuOxQmNbZA&#10;foQn+zvnQzikOrqE25yWgq2FlHFht5sbadGegFDW8YsZPHOTKjgrHY6NiOMORAl3BFuINxL/VGZ5&#10;kV7n5WQ9W8wnxbqYTsp5upikWXldztKiLG7X30KAWVG1gjGu7oTiRxFmxd+RfGiHUT5RhqivcTnN&#10;pyNHf0wyjd/vkuyEh56Uoqvx4uREqsDsa8UgbVJ5IuQ4T34OP1YZanD8x6pEHQTqRxH4YTNEyeVH&#10;eW00ewRhWA20AfvwnsCk1fYrRj30Zo3dlx2xHCP5VoG4yqwoQjPHRTGd57Cw55bNuYUoClA19hiN&#10;0xs/PgA7Y8W2hZtGOSt9BYJsRJRKUO4Y1UHG0H8xp8NbERr8fB29frxoq+8AAAD//wMAUEsDBBQA&#10;BgAIAAAAIQBKKcbC3wAAAAwBAAAPAAAAZHJzL2Rvd25yZXYueG1sTI/NTsMwEITvSLyDtUhcEHWo&#10;8tcQpwIkENf+PMAm3iYR8TqK3SZ9e9wTHEczmvmm3C5mEBeaXG9ZwcsqAkHcWN1zq+B4+HzOQTiP&#10;rHGwTAqu5GBb3d+VWGg7844ue9+KUMKuQAWd92MhpWs6MuhWdiQO3slOBn2QUyv1hHMoN4NcR1Eq&#10;DfYcFjoc6aOj5md/NgpO3/NTspnrL3/MdnH6jn1W26tSjw/L2ysIT4v/C8MNP6BDFZhqe2btxKAg&#10;TeKA7hXEm3U4dUtEaZaBqBXkeZKDrEr5/0T1CwAA//8DAFBLAQItABQABgAIAAAAIQC2gziS/gAA&#10;AOEBAAATAAAAAAAAAAAAAAAAAAAAAABbQ29udGVudF9UeXBlc10ueG1sUEsBAi0AFAAGAAgAAAAh&#10;ADj9If/WAAAAlAEAAAsAAAAAAAAAAAAAAAAALwEAAF9yZWxzLy5yZWxzUEsBAi0AFAAGAAgAAAAh&#10;AHxXDN+GAgAAGQUAAA4AAAAAAAAAAAAAAAAALgIAAGRycy9lMm9Eb2MueG1sUEsBAi0AFAAGAAgA&#10;AAAhAEopxsLfAAAADAEAAA8AAAAAAAAAAAAAAAAA4AQAAGRycy9kb3ducmV2LnhtbFBLBQYAAAAA&#10;BAAEAPMAAADsBQAAAAA=&#10;" stroked="f">
                <v:textbox>
                  <w:txbxContent>
                    <w:p w:rsidR="001E1B68" w:rsidRPr="007A4E86" w:rsidRDefault="001E1B68" w:rsidP="00E9208F">
                      <w:pPr>
                        <w:spacing w:after="0" w:line="720" w:lineRule="atLeast"/>
                        <w:jc w:val="left"/>
                        <w:rPr>
                          <w:rFonts w:ascii="Arial" w:hAnsi="Arial" w:cs="Arial"/>
                          <w:spacing w:val="-2"/>
                          <w:sz w:val="36"/>
                          <w:szCs w:val="36"/>
                        </w:rPr>
                      </w:pPr>
                      <w:bookmarkStart w:id="1" w:name="_GoBack"/>
                      <w:r>
                        <w:rPr>
                          <w:rFonts w:ascii="Arial" w:hAnsi="Arial" w:cs="Arial"/>
                          <w:spacing w:val="-2"/>
                          <w:sz w:val="36"/>
                          <w:szCs w:val="36"/>
                        </w:rPr>
                        <w:t>Pb-210 determination using liquid scintillation counting (LSC)</w:t>
                      </w:r>
                      <w:bookmarkEnd w:id="1"/>
                    </w:p>
                  </w:txbxContent>
                </v:textbox>
              </v:shape>
            </w:pict>
          </mc:Fallback>
        </mc:AlternateContent>
      </w:r>
      <w:r w:rsidR="00071B27">
        <w:rPr>
          <w:noProof/>
          <w:lang w:eastAsia="en-AU"/>
        </w:rPr>
        <mc:AlternateContent>
          <mc:Choice Requires="wps">
            <w:drawing>
              <wp:anchor distT="0" distB="0" distL="114300" distR="114300" simplePos="0" relativeHeight="251658240" behindDoc="0" locked="0" layoutInCell="1" allowOverlap="1" wp14:anchorId="7A519B37" wp14:editId="09662EF0">
                <wp:simplePos x="0" y="0"/>
                <wp:positionH relativeFrom="column">
                  <wp:posOffset>4157980</wp:posOffset>
                </wp:positionH>
                <wp:positionV relativeFrom="paragraph">
                  <wp:posOffset>6271895</wp:posOffset>
                </wp:positionV>
                <wp:extent cx="2620645" cy="2610485"/>
                <wp:effectExtent l="3175" t="2540" r="0" b="0"/>
                <wp:wrapNone/>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0645" cy="2610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1B68" w:rsidRPr="00172461" w:rsidRDefault="001E1B68" w:rsidP="00371D2F">
                            <w:pPr>
                              <w:pStyle w:val="cover-author"/>
                            </w:pPr>
                            <w:r>
                              <w:t>Peter Medley</w:t>
                            </w:r>
                          </w:p>
                          <w:p w:rsidR="001E1B68" w:rsidRPr="00172461" w:rsidRDefault="001E1B68" w:rsidP="00E9208F">
                            <w:pPr>
                              <w:spacing w:after="0" w:line="600" w:lineRule="atLeast"/>
                              <w:jc w:val="left"/>
                              <w:rPr>
                                <w:rFonts w:ascii="Calibri" w:hAnsi="Calibri"/>
                                <w:spacing w:val="-2"/>
                                <w:sz w:val="28"/>
                                <w:szCs w:val="28"/>
                              </w:rPr>
                            </w:pPr>
                          </w:p>
                          <w:p w:rsidR="001E1B68" w:rsidRPr="00E60B6B" w:rsidRDefault="001E1B68" w:rsidP="00371D2F">
                            <w:pPr>
                              <w:pStyle w:val="cover-author"/>
                            </w:pPr>
                            <w:r w:rsidRPr="00E60B6B">
                              <w:t>November 2016</w:t>
                            </w:r>
                          </w:p>
                          <w:p w:rsidR="001E1B68" w:rsidRPr="001C3FE3" w:rsidRDefault="001E1B68" w:rsidP="00E9208F">
                            <w:pPr>
                              <w:spacing w:after="0" w:line="600" w:lineRule="atLeast"/>
                              <w:jc w:val="left"/>
                              <w:rPr>
                                <w:rFonts w:ascii="Calibri" w:hAnsi="Calibri"/>
                                <w:spacing w:val="-2"/>
                                <w:sz w:val="28"/>
                                <w:szCs w:val="28"/>
                                <w:highlight w:val="yellow"/>
                              </w:rPr>
                            </w:pPr>
                          </w:p>
                          <w:p w:rsidR="001E1B68" w:rsidRPr="00E60B6B" w:rsidRDefault="001E1B68" w:rsidP="00371D2F">
                            <w:pPr>
                              <w:pStyle w:val="cover-author"/>
                            </w:pPr>
                            <w:r w:rsidRPr="00E60B6B">
                              <w:t>Release status – unrestricted</w:t>
                            </w:r>
                          </w:p>
                          <w:p w:rsidR="001E1B68" w:rsidRPr="003535B5" w:rsidRDefault="001E1B68" w:rsidP="00371D2F">
                            <w:pPr>
                              <w:pStyle w:val="cover-autho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519B37" id="Text Box 18" o:spid="_x0000_s1031" type="#_x0000_t202" style="position:absolute;left:0;text-align:left;margin-left:327.4pt;margin-top:493.85pt;width:206.35pt;height:20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E0ShgIAABgFAAAOAAAAZHJzL2Uyb0RvYy54bWysVFtv2yAUfp+0/4B4T32Zk8ZWnapNlmlS&#10;d5Ha/QACOEbDwIDE7qb99x1wkqa7SNM0P2Auh+9cvu9wdT10Eu25dUKrGmcXKUZcUc2E2tb408N6&#10;MsfIeaIYkVrxGj9yh68XL19c9abiuW61ZNwiAFGu6k2NW+9NlSSOtrwj7kIbruCw0bYjHpZ2mzBL&#10;ekDvZJKn6SzptWXGasqdg93VeIgXEb9pOPUfmsZxj2SNITYfRxvHTRiTxRWptpaYVtBDGOQfouiI&#10;UOD0BLUinqCdFb9AdYJa7XTjL6juEt00gvKYA2STpT9lc98Sw2MuUBxnTmVy/w+Wvt9/tEiwGpcY&#10;KdIBRQ988OhWDyibh/L0xlVgdW/Azg+wDzTHVJ250/SzQ0ovW6K2/MZa3becMAgvCzeTs6sjjgsg&#10;m/6dZuCH7LyOQENju1A7qAYCdKDp8URNiIXCZj7L01kxxYjCWT7L0mI+jT5IdbxurPNvuO5QmNTY&#10;AvcRnuzvnA/hkOpoErw5LQVbCynjwm43S2nRnoBO1vE7oD8zkyoYKx2ujYjjDkQJPsJZiDfy/q3M&#10;8iK9zcvJeja/nBTrYjopL9P5JM3K23KWFmWxWn8PAWZF1QrGuLoTih81mBV/x/GhG0b1RBWiHric&#10;5tORoz8mmcbvd0l2wkNLStHVeH4yIlVg9rVikDapPBFynCfPw49Vhhoc/7EqUQeB+lEEftgMUXGv&#10;gvegkY1mjyAMq4E2YB+eE5i02n7FqIfWrLH7siOWYyTfKhBXmRVF6OW4KKaXOSzs+cnm/IQoClA1&#10;9hiN06Uf+39nrNi24GmUs9I3IMhGRKk8RXWQMbRfzOnwVIT+Pl9Hq6cHbfEDAAD//wMAUEsDBBQA&#10;BgAIAAAAIQCSwAuJ4QAAAA0BAAAPAAAAZHJzL2Rvd25yZXYueG1sTI9BT4NAEIXvJv6HzZh4MXZR&#10;CwvI0qiJxmtrf8AAUyCys4TdFvrv3Z7sbV7m5b3vFZvFDOJEk+sta3haRSCIa9v03GrY/3w+piCc&#10;R25wsEwazuRgU97eFJg3duYtnXa+FSGEXY4aOu/HXEpXd2TQrexIHH4HOxn0QU6tbCacQ7gZ5HMU&#10;JdJgz6Ghw5E+Oqp/d0ej4fA9P8TZXH35vdquk3fsVWXPWt/fLW+vIDwt/t8MF/yADmVgquyRGycG&#10;DUm8DuheQ5YqBeLiiBIVg6jC9ZKlKciykNcryj8AAAD//wMAUEsBAi0AFAAGAAgAAAAhALaDOJL+&#10;AAAA4QEAABMAAAAAAAAAAAAAAAAAAAAAAFtDb250ZW50X1R5cGVzXS54bWxQSwECLQAUAAYACAAA&#10;ACEAOP0h/9YAAACUAQAACwAAAAAAAAAAAAAAAAAvAQAAX3JlbHMvLnJlbHNQSwECLQAUAAYACAAA&#10;ACEAJyRNEoYCAAAYBQAADgAAAAAAAAAAAAAAAAAuAgAAZHJzL2Uyb0RvYy54bWxQSwECLQAUAAYA&#10;CAAAACEAksALieEAAAANAQAADwAAAAAAAAAAAAAAAADgBAAAZHJzL2Rvd25yZXYueG1sUEsFBgAA&#10;AAAEAAQA8wAAAO4FAAAAAA==&#10;" stroked="f">
                <v:textbox>
                  <w:txbxContent>
                    <w:p w:rsidR="001E1B68" w:rsidRPr="00172461" w:rsidRDefault="001E1B68" w:rsidP="00371D2F">
                      <w:pPr>
                        <w:pStyle w:val="cover-author"/>
                      </w:pPr>
                      <w:r>
                        <w:t>Peter Medley</w:t>
                      </w:r>
                    </w:p>
                    <w:p w:rsidR="001E1B68" w:rsidRPr="00172461" w:rsidRDefault="001E1B68" w:rsidP="00E9208F">
                      <w:pPr>
                        <w:spacing w:after="0" w:line="600" w:lineRule="atLeast"/>
                        <w:jc w:val="left"/>
                        <w:rPr>
                          <w:rFonts w:ascii="Calibri" w:hAnsi="Calibri"/>
                          <w:spacing w:val="-2"/>
                          <w:sz w:val="28"/>
                          <w:szCs w:val="28"/>
                        </w:rPr>
                      </w:pPr>
                    </w:p>
                    <w:p w:rsidR="001E1B68" w:rsidRPr="00E60B6B" w:rsidRDefault="001E1B68" w:rsidP="00371D2F">
                      <w:pPr>
                        <w:pStyle w:val="cover-author"/>
                      </w:pPr>
                      <w:r w:rsidRPr="00E60B6B">
                        <w:t>November 2016</w:t>
                      </w:r>
                    </w:p>
                    <w:p w:rsidR="001E1B68" w:rsidRPr="001C3FE3" w:rsidRDefault="001E1B68" w:rsidP="00E9208F">
                      <w:pPr>
                        <w:spacing w:after="0" w:line="600" w:lineRule="atLeast"/>
                        <w:jc w:val="left"/>
                        <w:rPr>
                          <w:rFonts w:ascii="Calibri" w:hAnsi="Calibri"/>
                          <w:spacing w:val="-2"/>
                          <w:sz w:val="28"/>
                          <w:szCs w:val="28"/>
                          <w:highlight w:val="yellow"/>
                        </w:rPr>
                      </w:pPr>
                    </w:p>
                    <w:p w:rsidR="001E1B68" w:rsidRPr="00E60B6B" w:rsidRDefault="001E1B68" w:rsidP="00371D2F">
                      <w:pPr>
                        <w:pStyle w:val="cover-author"/>
                      </w:pPr>
                      <w:r w:rsidRPr="00E60B6B">
                        <w:t>Release status – unrestricted</w:t>
                      </w:r>
                    </w:p>
                    <w:p w:rsidR="001E1B68" w:rsidRPr="003535B5" w:rsidRDefault="001E1B68" w:rsidP="00371D2F">
                      <w:pPr>
                        <w:pStyle w:val="cover-author"/>
                      </w:pPr>
                    </w:p>
                  </w:txbxContent>
                </v:textbox>
              </v:shape>
            </w:pict>
          </mc:Fallback>
        </mc:AlternateContent>
      </w:r>
      <w:r w:rsidR="003F6691">
        <w:rPr>
          <w:noProof/>
          <w:lang w:eastAsia="en-AU"/>
        </w:rPr>
        <w:drawing>
          <wp:anchor distT="0" distB="0" distL="114300" distR="114300" simplePos="0" relativeHeight="251656192" behindDoc="0" locked="0" layoutInCell="1" allowOverlap="1" wp14:anchorId="7A519B38" wp14:editId="7A519B39">
            <wp:simplePos x="0" y="0"/>
            <wp:positionH relativeFrom="column">
              <wp:posOffset>3422015</wp:posOffset>
            </wp:positionH>
            <wp:positionV relativeFrom="paragraph">
              <wp:posOffset>5932805</wp:posOffset>
            </wp:positionV>
            <wp:extent cx="3239770" cy="111760"/>
            <wp:effectExtent l="19050" t="0" r="0" b="0"/>
            <wp:wrapNone/>
            <wp:docPr id="16" name="Picture 16" descr="Wave-sh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ave-short"/>
                    <pic:cNvPicPr>
                      <a:picLocks noChangeAspect="1" noChangeArrowheads="1"/>
                    </pic:cNvPicPr>
                  </pic:nvPicPr>
                  <pic:blipFill>
                    <a:blip r:embed="rId8" cstate="print"/>
                    <a:srcRect/>
                    <a:stretch>
                      <a:fillRect/>
                    </a:stretch>
                  </pic:blipFill>
                  <pic:spPr bwMode="auto">
                    <a:xfrm>
                      <a:off x="0" y="0"/>
                      <a:ext cx="3239770" cy="111760"/>
                    </a:xfrm>
                    <a:prstGeom prst="rect">
                      <a:avLst/>
                    </a:prstGeom>
                    <a:noFill/>
                    <a:ln w="9525">
                      <a:noFill/>
                      <a:miter lim="800000"/>
                      <a:headEnd/>
                      <a:tailEnd/>
                    </a:ln>
                  </pic:spPr>
                </pic:pic>
              </a:graphicData>
            </a:graphic>
          </wp:anchor>
        </w:drawing>
      </w:r>
      <w:r w:rsidR="00071B27">
        <w:rPr>
          <w:noProof/>
          <w:lang w:eastAsia="en-AU"/>
        </w:rPr>
        <mc:AlternateContent>
          <mc:Choice Requires="wpg">
            <w:drawing>
              <wp:anchor distT="0" distB="0" distL="114300" distR="114300" simplePos="0" relativeHeight="251655168" behindDoc="0" locked="0" layoutInCell="1" allowOverlap="1" wp14:anchorId="7A519B3A" wp14:editId="47B586CA">
                <wp:simplePos x="0" y="0"/>
                <wp:positionH relativeFrom="column">
                  <wp:posOffset>233045</wp:posOffset>
                </wp:positionH>
                <wp:positionV relativeFrom="paragraph">
                  <wp:posOffset>2463165</wp:posOffset>
                </wp:positionV>
                <wp:extent cx="3669030" cy="7580630"/>
                <wp:effectExtent l="31115" t="32385" r="33655" b="0"/>
                <wp:wrapNone/>
                <wp:docPr id="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69030" cy="7580630"/>
                          <a:chOff x="989" y="3418"/>
                          <a:chExt cx="5933" cy="11608"/>
                        </a:xfrm>
                      </wpg:grpSpPr>
                      <pic:pic xmlns:pic="http://schemas.openxmlformats.org/drawingml/2006/picture">
                        <pic:nvPicPr>
                          <pic:cNvPr id="5" name="Picture 14" descr="pandanu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24" y="4703"/>
                            <a:ext cx="5708" cy="10323"/>
                          </a:xfrm>
                          <a:prstGeom prst="rect">
                            <a:avLst/>
                          </a:prstGeom>
                          <a:noFill/>
                          <a:extLst>
                            <a:ext uri="{909E8E84-426E-40DD-AFC4-6F175D3DCCD1}">
                              <a14:hiddenFill xmlns:a14="http://schemas.microsoft.com/office/drawing/2010/main">
                                <a:solidFill>
                                  <a:srgbClr val="FFFFFF"/>
                                </a:solidFill>
                              </a14:hiddenFill>
                            </a:ext>
                          </a:extLst>
                        </pic:spPr>
                      </pic:pic>
                      <wps:wsp>
                        <wps:cNvPr id="8" name="Rectangle 15"/>
                        <wps:cNvSpPr>
                          <a:spLocks noChangeArrowheads="1"/>
                        </wps:cNvSpPr>
                        <wps:spPr bwMode="auto">
                          <a:xfrm>
                            <a:off x="989" y="3418"/>
                            <a:ext cx="5933" cy="11208"/>
                          </a:xfrm>
                          <a:prstGeom prst="rect">
                            <a:avLst/>
                          </a:prstGeom>
                          <a:noFill/>
                          <a:ln w="571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35B556" id="Group 13" o:spid="_x0000_s1026" style="position:absolute;margin-left:18.35pt;margin-top:193.95pt;width:288.9pt;height:596.9pt;z-index:251655168" coordorigin="989,3418" coordsize="5933,116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MiEHQQAAKQKAAAOAAAAZHJzL2Uyb0RvYy54bWzkVluP4jYUfq/U/2Dl&#10;nSGBcIsGVpTLaKVtO+q2P8A4DrE2sV3bDDOt+t97zkkCDIy6o93HIgG+nhx/lxPff3iuK/YknVdG&#10;z6PkLo6Y1MLkSu/n0R+/b3vTiPnAdc4ro+U8epE++rD48Yf7o83kwJSmyqVjEET77GjnURmCzfp9&#10;L0pZc39nrNQwWRhX8wBdt+/njh8hel31B3E87h+Ny60zQnoPo+tmMlpQ/KKQIvxaFF4GVs0jyC3Q&#10;r6PfHf72F/c82ztuSyXaNPg3ZFFzpeGhp1BrHjg7OHUTqlbCGW+KcCdM3TdFoYSkM8BpkvjqNA/O&#10;HCydZZ8d9/YEE0B7hdM3hxW/PD06pvJ5lEZM8xoooqeyZIjYHO0+gyUPzn62j645IDQ/GfHFw3T/&#10;eh77+2Yx2x1/NjnE44dgCJvnwtUYAk7NnomClxMF8jkwAYPD8XgWD4EpAXOT0TQeQ4dIEiUwiftm&#10;01nEYHaYJtNuatNuH82Gw2Zvkoxjmu7zrHkwJdsmt7i3SmTwbTGF1g2mX9ce7AoHJ6M2SP2uGDV3&#10;Xw62B/RbHtROVSq8kJQBI0xKPz0qgVhj50zPqKMHZvGhLAHCcukFiNmiv/TBIxrdriYGxzMSW0yb&#10;Vcn1Xi69BVeAVyFgN+ScOZaS5x6HkdfXUaj7Kq9dpexWVRXSie0WAcjlSphvgNiIfm3EoZY6NC52&#10;sgIwjPalsj5iLpP1ToIo3ccc8hRQQQIoyTqlA0kJ5PLJB3w6CoeM9vdguozj2eCn3moUr3ppPNn0&#10;lrN00pvEm0kap9Nklaz+wd1Jmh28BFR4tbaqTR1Gb5J/01Vt/Wn8Sr5nT5yqCwJHCXX/lCIMIUKY&#10;q3fiN8Ce5OyDk0GUOFwAkO04LD5NEOpnoJESDyb8qq+SeADSAIOkk5hM3ICE7hpNwBNkrSQeDmjy&#10;ZA+QivPhQZqaYQOwh1QJbP4EB2kO1y3BtLVBBdBh3qJjFs8208007aWD8QboWK97y+0q7Y23yWS0&#10;Hq5Xq3XS0VGqPJcaw30/GwS0qVTe6dO7/W5VuYalLX1I4wD1eVkfVXFOo2Ow+2+Y7CiAUWzCFysk&#10;vLh8ZwDovU9F+Np6q+R/LrmVgDqGPZsfSGtqM8oETFyB/Ud4iHZZV5x9U5n/w9ivNmDnXZK6Lblo&#10;O1LURcEdXBXc71FUpdkR9ZqMYtLgBVXoowtGY/rcMsqzWgW4W1SqnkfT0yKeYaHb6JyEG7iqmjb4&#10;oNKonf+JljvuGw3tTP4CpcUZ8D28fOFCB43SuL8idoTL0Tzyfx44vumqjxoUPkvSFG9T1ElHkwF0&#10;3OXM7nKGawGh5lGIWNNcBejBlgMU9H0JT0qIY22WcFUoFNUazK/JCtyGHTAZtegqRL5sr21417rs&#10;06rz5XLxL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KI+NKPiAAAACwEAAA8A&#10;AABkcnMvZG93bnJldi54bWxMj01Lw0AQhu+C/2EZwZvdrDUfxmxKKeqpFGwF8bbNTpPQ7G7IbpP0&#10;3zue9DQM8/DO8xar2XRsxMG3zkoQiwgY2srp1tYSPg9vDxkwH5TVqnMWJVzRw6q8vSlUrt1kP3Dc&#10;h5pRiPW5ktCE0Oec+6pBo/zC9WjpdnKDUYHWoeZ6UBOFm44/RlHCjWotfWhUj5sGq/P+YiS8T2pa&#10;L8XruD2fNtfvQ7z72gqU8v5uXr8ACziHPxh+9UkdSnI6uovVnnUSlklKJM0sfQZGQCKeYmBHIuNM&#10;pMDLgv/vUP4AAAD//wMAUEsDBAoAAAAAAAAAIQDDqRcG1pIAANaSAAAUAAAAZHJzL21lZGlhL2lt&#10;YWdlMS5wbmeJUE5HDQoaCgAAAA1JSERSAAAEpAAACGYBAwAAAPxtlVgAAAABc1JHQgCuzhzpAAAA&#10;BGdBTUEAALGPC/xhBQAAACBjSFJNAAB6JgAAgIQAAPoAAACA6AAAdTAAAOpgAAA6mAAAF3CculE8&#10;AAAABlBMVEUAAAD///+l2Z/dAAAACXBIWXMAAC4jAAAuIwF4pT92AAAADXRFWHREZXNjcmlwdGlv&#10;bgAIfq0f7AAAkhRJREFUeNrt/U2u3baWAP5SV0GURmCm6YZhZQhpumFYGUqG4KYbhsUgwEszQ6iZ&#10;vGIQ4KX3zxCKQRq390oXt1G6KJX0xLUWvyTqgxK3faqeN6pujs85W/t3JIrix+Iim57gq2OfWvBZ&#10;9Vn1WfX0Xp9Vn1WfVZ9Vn1UPVv3Pk1T960mq+s+qz6rPqs+qz6rPqs+qz6rPqs+qz6rPqs+qz6qn&#10;o2o/q/53q4bPqtOqp3kFn6bqaV5Bq/p4ugTV2DwpVfNZ9Vn1WfUkVPWTUtWfVedU/2U1T0n1z8+q&#10;RBXMEfKno/oLVP94kqrusypNVT0l1f/zJFX/n1ml2vnLn5+SSj5JleJPUdU9GVXPnao3qp8+tapj&#10;hvXXNDwZ1cTM9+f66umoBlY/QdUkKqPSTxr5RFSqsKrq6ajMD2ZV+XRUA2uXqh8/vWpijVEVVNqf&#10;gkrwp6hSlad6MlewK42KPSFVXzxJFbOq9umoqGrwVOIJqKhqeGoqURtV84RU8kmqdHsdVTWp2ieg&#10;6qqnqOrLhYo9CVVhVPwJqQb2FFUjKLSqeqqq6amosHJ/ciqo3H+bNSWoxs+q7Z9J/hRV0EbWquKz&#10;6kgFLfffYCREq4ZPq/r7k1T9Rf+FByGo2mTVeOsviKn+XKrEU1B19F94PKNKN0P7JFWTW2WCiODk&#10;aJV8CiobGKMfhKBqklVTfpU5oh6F1CpFqpQDZ1fZSVOrqp+AarIqfl1Vp/zyKRWn/+ohrF9nVfck&#10;VGZqRI8j31P9kVFlhmUlqd5yMZ2Y8nmw6teViiWr/i27yjxyVBmoik+rUuaHN1S/ZFd1Lf23QNW7&#10;6kmomqeo6mv6L/NV6hOr9DxloPrbk1BVRtWC6j17CqqRVEOgkmXKgf/Iryrvq37PrpoWqg+suKj6&#10;PaeKZiF0Y9SpxBNSyfl/n4hKhqr2Sammp6WCqdMJx7StiiWpfnuAqnmKKvN4FqQSV1W/ZVXVC5UG&#10;saQIukequFONaapf86tM+JV8WqoqVMknoRrKTKpfU95yqKKmlKp8FU85sMyvGiOq4dOrWKhST0I1&#10;PVFV+xRVYq3qTfzhuZd6hKrBn5agarqnocIIiyen4kYl5gJ1SdXmVylSFU7VPQFVFVE16aqsz0ET&#10;PgequVz1T1alrqjyXkEK6uufmIo51WBU7adWDaFKD/M9CVVLKnlV1eRX0Xx8z/A5qFXyikqmvOVQ&#10;RQGQpGr0b8m0/KgPVA3XVd0jVBiWqVXtU1LxUNVOQv/mn+cPXD9AJdcqGIWsP62qQlVrVTiGdbpP&#10;+BCVggeh7swHKna6evgoqgZUIzvdyHqICqeSjGp+Mo8M+s/s7ASFXkn3MFUTqAbGztYPD1Fho2Gp&#10;6j+5qt1QtZ9QNcAjx6lqGCh6cqpBq7oEVfUA1QhVwPy/oJKkUudV/eNU0xNTTTgCY1UchmRSVCWp&#10;/jurqjKqyalksqqd/vlIVW9UzadU4QzXrGo8lUhQFQ9RwVHFrNLVwxNVVTBQxD61CpvpTtUZVf0U&#10;VMxTjSkqfH9mFXaVBXeq5kmoGquqGSu1arii+uvc759TdQuVPncpquFBqjqu4mdV7QNUOGQsufBU&#10;fbqqya3SHy8rrXrJvi31Pdmz8kmpviu0qmOlODt3aVV/P/f751TQnprUQlVtqxbR/7Zc5VHRPOoA&#10;4QtOpZ9As0puq5pHqmiseDSquR/xgn0H3VPF+I6qjqkyXcG5/q7wv0VEVW+rFimfsDvCMqls5woj&#10;DEtUvXWqzbiUMAlOXpUyVdJSpTNasFptq8LZkbwqXVFi00qfsqWq2VGF44BZVfBQwWpdqzqnqjR0&#10;T2Wilx+g6kClQVIftiu06jnrSdV226q+8f815lQpVFVUQ6DqG1+1OYA1BHcnqfLUVwJVDG44o2Ja&#10;xeEG2FGNwU+w851JRaj5aJDWKUUVrvHNqRqMqiEVY0ZVw6LLfkcVDHtb1ZXQvoWqc6qehoa0qgDV&#10;eKBSfsHKqVILVe+r9AO73xmCDBYLzKq5FZFHZQr7bOhpyDFUDTuqwf+RVunBgAyq0aDmMjUsVA00&#10;ufZUwSJfrarzqKBhXg6kKhaq/kBFE2XZVR1ePKlVo6cqSaWtOwNYFMeSWyWxqlK6Jh8ZC1RYg+2q&#10;/JtwZHzkeVSCUTtK339aNSN4oBr3VL33jNTBiXlUI/X3Omi3MOyXOpXCAZBtVXATZlP1ND7Vg0qQ&#10;avBVu3NxwU2oVWMOVUctvgH+I3G8w6iobbM7XOsPQsyqKotK1+zlhFdyW9VsH82/CbOppGuzU1Nm&#10;oWoPVMor7vORfs6iYq5/A8UIbjmtquChLA5V/tFyqUbTkdA1hK0I9D1YQbMKyGJvAKv3yLlUPaMe&#10;qr6UuoFV2XNFqulA5Ue6zu/+KYeqsyN5Ch8wZaAaj1Wj19fIpXLzIco0ZZyqpD7+rmrynt25VMLO&#10;KnemKeOrBlyDtqsSrmAZ1c/Tf95SUW01QQmjpoxVVVbFdw7nmUU1/YqqP+6oRjfoOWCjAVSVU5WH&#10;KuWGbDKpBjdJM9imDKq4VvWeamvPHK9jlknlTcCP1GjwVBy7F6QyC3aWL6+zMatkBpXywk2YqTU9&#10;VYcjpfi/PH64wVX9mVSSudqGmSeMVdWUIxlVW6v2vPCeTCrhjaULfSX0bb6h2uyrMlvcM6n8GUlp&#10;Wi7CqaDRh9dxu6cj7PmeT6e6rxr9yBypy5SufKyq8VX9ZttP2rPoVP9xQzV4xUqXfGzKeCpJqpJ+&#10;HH0p+6flUfX+FE3H4OQEKnyadDhAutXK6qxXqz7Mv1ZRAolrKuV/Um/GiqyqJVWPHY0tVW9vQlTV&#10;N1XSv6/g4LoISVDVqGqNanuqfrBnPI9KeMUKD947lYKqy6jG7cCU0VYNWvX69hUM5m5JVXoqbPTB&#10;N/eCw1Yqfkc1BhcF/uTBqSSjpii0Z7qd8D5bELKoFhUjo2ae1P0bUA1OpXZUtmoQRQZVHw7vM2oS&#10;k0owavQRdXt01FYNWVQqbM0J6D44lR2n1SrBWLl1QFs1kGq8pRLhvS6xcaUfxvpzYPSYgoCLibHt&#10;WUJbNWRRLUqKClQvoYgb1binsjdhDtWwuCYKm3ytrzJzrP1uVIOp93Koluvw4EEIM29a9RpuPFIx&#10;15uNvUzVMKu6FzdVy9U2UGiFjiFfq+SuylQNoSptc0yjkotbfcCx5BpVr+Bu5PATM3ex9TJtL8ng&#10;hJNKbb9hR7UsvnArXVINdCJRVQ+oEldU4/KSwCNHQUdwVn0HlVTtqbYvyEi3QqAa0xbUkWqdefJA&#10;tXNIqhqcqva2RUlSrXNb6eq7g678rPoWqk78c8WRiqqGQNWdDUUKVJKvjw1VVA8qtlTtrZ6gqiFQ&#10;qUuqdWGU8JC5oqKqwahqrTodIOWrxvUV0Q/CXg8eo6q0kxKgKncPCb8p9YQ+q/taB9Dsv2ND1a//&#10;Ev3IAVUZU+395T2eVV81XlJFhlj0Xzy3WgajGk6rBhs7YlXD+XU8nkrGfsCahWpyKr5zyHGtSlgx&#10;46kip1c/CFEFU5llf1o14Y99VXdFFdsbcsD5SnuubMiAOAxlFTT85lRq92mwpYr8gGYGraoLVM3e&#10;MTFyTHkqcfSWmCr2ggchY++dqjTX5+gjFAbfgYr3tZ7oPTq9CapyPtoHo1KBqt0/JnOqblaNh0Xx&#10;QCXsV1oltKoLVOOxCltYniolUjim8lo0AtoJb5wK66jh6OFsqlFP1R1VcQeqPhwadSobvtofPQZN&#10;Neqp1NFD6kDlPdv1g1Dq3k2oUseqMVDNbWR5/J5dlRekqodGPZUg75m/m+Hqq0arVDNwdlMl3Jv1&#10;2N986pYqeUIlQtWzw+brocofkaw9FfM7EwclV1K0Yo+qL46a+idUrf3JfMhZY1W1/u54RqVwnNmo&#10;2FG36Ejl1cE9TnWRitMPBlL1+wfNruJOpadQSfWMjgr/mH/HZD+MvnoMAfJVr5IeOWuVuToUXLFQ&#10;KVLt9joHDNLwVf1NVekODVFrqPqaVHAL6jbOlqqbJhxCJZVs4E+7qzJVgw6ccypzD2FvsN5OpaTq&#10;CcOhAlV1V+UNKsP4Waiigqs2PwNTRsJ8i6fi/c3SbquG+ctARVRQbUc1YBCur+rw5F5XjfYO/jmu&#10;oru83bweA83C1qSqBKja2yo+Yfy1gE8PVT1++X6zuQS/EKr0bbszo3hSVU3YmZahqsBfh1e3qYJf&#10;qPVYF11BUBX3VeWE6wsUlJ9QhdUV+35TBTUHD1QSh3duqjCyr4bH81IlmXltPAqh5qgUDH6hqhX6&#10;l2+r9Hd6iF8IVKX90D0VW6sYzjXeVbUTTA3CfT2rlKdiByo8AHTTFFQHXLxnOC97vX01gqHGeJeF&#10;qpr8mO6NcoU1R+Gp9HOZ+bPkl1QdNW9h6q2S7gpW9KGv9lRYcxQ9jM+j6jsKIr7eQh6hmYCJGNoB&#10;Ckig0h/6bk9Fv+ur8OLfVA3MhAaM0Au0Kk4fOuyp6Gq/g3mpeoA2LP2Zt1QjPTLm0kUqFagKUtV7&#10;qtehiudQMYrkwfNkVDV+aLmrklFVs4hLSFdhXC2cdrFSSQwx2lZRffYC5vCsqr2vEgwCnGB+Xjds&#10;fZXA4MNtFVUbz0LVZMa0rqp0XAUuVyoWqgY/tB7dP1cv+Nl8fr8MVEUGlcJBPigZusniqfS3mz2V&#10;Po9U8DxVeVM14HMUy44evNCPC6fS325J1caOBk10VGG+Hn0tMeTuvgqH93Qj8o1TtZTSaU+l6zM8&#10;0TBGMcC1JNX18asBH8ow3w1V88tA1Z1R1dNSxTOoBlOd6wtQBypdp+6qFMNJdKdimVT6U9/CwQZ8&#10;jJFqMrGb9p/rl2QYD8hwPCdQ8dsqeOlqPlQJWj20qRKMWi0r1Z3R2sF9Kk4JVgIa6VTpMFoHyr7a&#10;UOHvddlV3Dw1ns8fvFCNVvU6rhqxcsKB7MwqaR6wcz+glPZ6YnWFSWXex59qEEDzF6UHWarqeyos&#10;Rx/iKkwqM8RVsPBQcKuiIlrnUHVYmplO5eRUNtfbAG2sqEr/QsOqca1KSIp4pNJpD+DEFXjzQSUK&#10;df+GqoNzDI0h3bgOVc09Fc0+CP3nFr5K2cWFuyp95bOqYLBswGIk9YFRVaJKmiY9p2itf1scTEGR&#10;g3GAhWq4rRqNSs/gdEbFvUq0oSUUy4eIxEcozJBY1Rekau+psFjo9r9RVcJUVFj1t6BaL6kX2NzQ&#10;/TWnepZJJaCO6aAlCirOcFEvrtIxKrH6JAGD4XiLzCcaVS8zqaRRvTPPaYZLw3GdFQaFUPsgeDFS&#10;db7qDa0pTUBFVcp8/KuVqsHqoad2cB0ca8RqCptnsworrg+ZVJ1RvdCRVwxbWTVVoopU0jxL3GvA&#10;h/JCBUPz3X1Vb07N1zTW8dKdJbi8NmHCWgXjjTRMD6piyKH6kR5nNOjz3KkUrez1VGHVACdTMjv0&#10;DKoyUPXXVC/nizTaKgBaUqhqvZaoVZWLY8GkcExlhhl2J6W2VTSI71rCTiWsdUOl8EGFQ88sqjqZ&#10;e3qt4qZJ6VRvmB17GAJVsVRVvgpqhipQnWz7rVWVaX4Lq3rNMFYaazHsVeMrOJbEgRx6EHbYXw1U&#10;48kxkLWqNLM5C9UIVxc8boA7KCbCdAaNqvNUcLHPVvFrVWGSUEpfVVAlCtT39ieN/25Gozm6uQgq&#10;ZVU0zNCdbPxFMmyYJJQqVPWmcPkv/zPguY1JGbXqLTzUtaq1KnUyMCWiamiOyaneMbOwZDxQUapI&#10;hSrmqSje9lzBiqhqmmPqfBXMxBQuNw+9uPfmwfb3OargVfWeSrBzBSui4tTs60OVItqmqme0rIlB&#10;EJEZAe9x9b2dRGiuqbA5UISqCqt2tVDVwaFMfQY336tQxSdqe/NrKhq79q7WW6oeK+++XKuUfXpC&#10;OG5E1WPRSFV15tQwnJvwVfBnioWqCVX1vqrDi3BNRR/o7reOClvtVwwwyNV6b5aYqMCUgee+itFK&#10;25MFK1T5xcYjGFXjVwzNUiWYSfa5UE2mQy9XV/2Uyi823uXqcODPv6g42LxYsMb8kmlUnVOJayq/&#10;2FTuXwoHSWH+37zaZZWIE0CoGp2qdipvMCRJ5RfkMlTp6+WVO9uVti+cLKMCzai9SKqR2U55uip4&#10;nhTuekpqj3vlrjFdafvq7QgJDJ3Y4kmqBlXf3VR5rSiJzYDSK3dTEKuFR3KDX3GVvrpv01WDmzxi&#10;MOfhVLqX4JU0UvkfoCgeE94qQhUOfnR04ySqaHHX/PqB0a1viYJqUnN5cVLHe7OkiNptlcJKLlXV&#10;2WaVBtX9QsVHXzUsVILmAaHUuUsNO0kN5mflBZWieAgY92DcV8H1Gpaq1nuzmXFbqpRVCXxup6qk&#10;fZJRP8C94Hr1vmqxFmI0M24xFcbusGsqYXqDgCj9W3LwC9rfaFTdr0QHM7cFhUmtVDQ4ck3VUAoe&#10;RjW0OTe9f1Nyqi/9SrQ38zW7quaCitkbWIft+LUOqGx1VVOOhio4kP+ow7OqRy4bWdAwAxTEdBXd&#10;61CmZHh/w2S9ra6MinsHUlj251+jC8Vw5NKp4A+7rIIypS9B41Rlx2gc3apkeHyJZZ8GnFHFdW0h&#10;C4rd6ainlKganAorLHcnaaUr/V9E8llQDPr8a5Iao1gOSIW0EtcGJ6loRAY+XLeSuSuz8FFB62qZ&#10;z8LmidMXHyeuoQjAzsKKRr6qC6rOU+mhhcqpYGx7pWqDq89JpawKAhZFHhV8+NdUmDyV/wSqqOnp&#10;q2rCKdNNKqxK0kg4v6BSnupvzIsUxWAJ/2ldmSeMd/UbLJq6Voiq2Pn4vlAlrUpPKDF3cnSwRKN8&#10;1WJrr87G3oJqtKrJqPAOT1fJQrmGrGC2U04XtJULlV+1K5O9AZ+WC5WAzBg0MJ6oEhWo3Bl6bb/S&#10;jXC/r1GZ5579i9DYk2paq/BpfkHFF6qXzHsVfl+j9BLH4HvR2MMKTXosoAoLeoWV6AWVrjYbX/XM&#10;VwVNiMJLsoPvxX/1NLBGKkUq6j6WF1Sw61Pjd+srXxU0t9jiFjdzpR2poIEVqqRW/XFB1S5UpfBV&#10;ftMUHv7e4c0wbEcDmL6qsqpq0lXsMcpXDboBFagKX+U9f6iaaP3DFJOvgpYQM6qRxgf4eEU1LVTB&#10;y3tWM2zXeYcxqwuVCetk/rkyqrpPV/WFVX0XUTXBv3gY1OhWzKHqpVEVVgUnuExWdbpv3EwUzrd6&#10;fQj+VYUhcaboK2rjfB2oBhoCbrUqcVStKzF1mloK8PUu+FcZVKJ2zkGSim5UT6XvYHh6JKpUZVWr&#10;kUZmw7C80+WOYidwpdnjbqWCql2wWyrJjl/cHcUuOxYr1YihgrrBUbjNLM6rJEeVpImIo1ftjmIX&#10;jgo3WrRWlXaxSIqqdqp+R1PJlcouZRIu/MeqIOWArt+qKyrRONW4ozItmsa+08XmCBv+Y1QDqmCk&#10;abihEtSc3TpVptC19p2DrYT8kUan6mhMp7+gMvm9RXB3r1524tAdxG2ssKvCHnXa3MSIa/5ItV3c&#10;p7WqMx81+mPF8Ag3KqzaUfVXkmoyqsr7e5evwqi8O9zmsh1twHmgUjTSJFF1vPG6Uw2BakxRCVPY&#10;t1W2garHMRNUfUEqfyBq/bJlzpXa0V5NCkkTgQoGNWGkCb7JhyRVGag2ivuriMoVdnoe+qoe8mhB&#10;1xLPP++OW6NO1VVWxaet4l70VlV5xyhDlVyrlJ135Oq49xyqOoxS5dNWced9tVa5xM30lJ5/oZAr&#10;FQ0+cJGi0smEPVW8uE8RlRd16VQwAGZUAv6pB7W+h45TfVkVLe4VbJC8ULma3agEjedoVYcqid9S&#10;eLrOq3S4j6+KFfcmpvJiITsztLZSCWxUd4uLf1plOsWR4l7gGV2o5BIIA6v67Q2p8N1zv4fGng4f&#10;hU6l1+v7qkhx57ggXUL5sIf2VmTj3dj7KmVVjR0RO2z4RVX4t8cuIJxRCeXDW2/fhir90dCnDVWt&#10;6+meV+HSlsblqloXLP3NBn7QuUP7OzEpWwFDNVCjim7n0U0Ntckqm5R2VbBKqyq8zLWdV3iVfVgZ&#10;1VwlmJn9wQ1iNmdVkFrNqPg0TetWMqfrTCo6tPQ+g1KDM5rMCFSQooGOWZ9WFZ6Kwt3WxUpvCWlU&#10;dGivlNRQy+M430AqySjxh65IzawZP6saSk+Ff75Y1Qt4naWfYtRLTCrxm4O5XguVdKEH6arOVkYq&#10;VOGW3fDpUBtWy2IlGa2VXqiQortGpro5qkatCpLjWZWfjMG/gBNmtiqdyt/LgXkT4h9WKnFFpc9q&#10;b1V8XbAmT6WYqUa925xU0qo4qOiycS/W7bRKP+C8cxW0KW29gPeEr/LXddDdhe9641R4xJee6uiR&#10;41Q1qZQr20HB4r5KmtLvpaYyiTDYpspG5Z1WqYUq6JrbOsZXUVOqCVQYQ/cDjvZx2LiXVK+9CMaj&#10;B6FTNQsVWxR3zKWLOe9wGLedgtqK+us9xVI4FR7xrRftef5cNVTalccIizuj+sNT+WmUKRyww8cN&#10;J5WNt1FeoNlplWxJJb2qQCxYDakqc0P42UyxzOiuaNXj7G6FKmlUNtbt9D0op5WqWLeSXy1U/uPf&#10;PTf1/Ga1UOnuRWOKBD+rEp7qS7b5QtWXMCdWh/tJuntDf3q5UOl/21i3+qzqR0/Fu21WS+0nqY/9&#10;j9+mmEpPmoDK5LxhOPtiy+xpVWFUwsTOb7HwXlP61/7TP5S9TYpwqt6qXPRbc1ZVBirFDl66Xb4o&#10;s/Y9OP0rTb8U/8Qv/EjBs6oxVA1HKt6vVNL+DKIbpOk82BNfuYGta6qdEUj65GFV60ickTCRiGuV&#10;Cz2YTqqGKlR1B6p6nbZX6BVYdCYkPHVA5UKT6u6uqj9STaunmTDz1NOGCkcgv0roD0Lzyqjq43PV&#10;+MkZo6pvTQ47e91wSPxVQt95qZKHKrm8EHaqrDUqaEg7FRbWPkVVB1dwPEDFIhP8BDjw+QsVhV50&#10;CaMfXWNUDDdWSVLp/thoY0WqUGWORSsfuoSRooXq6AJikFdDB4EQx9HP38ViKoznVimqNlAdoZiN&#10;19EvhRGdhflbTAHARZdGhYFT+pfqa6rDqp25XQkmXFHsPw6aQEVnEJdBY4vmrErRpWjMktdD1ci8&#10;GYkwIt8E4cIVtCqMJoC4yGuqHQ71OVsvEYQtxeZVdb7K/Ik4yV+yE9EfUdX2q5io2m+9tCer620g&#10;2PE3qvdWdYSyql/Pq0wubzseGlQj3+v/EfQPUEn6Rx8cJLtKGlVpjuFdvIDoq0y+o4epvqdRjoiq&#10;HrZUpTlnJ2ZTjeonKiHNQaUAKmmz52GZDH6+UtHlhP/CMqvj2dRUVUMq7g3TSvfjKnyu954KQswg&#10;gISfVv28VlUyotJHlMqM6eF7hXcBw+sJEbr0tW6oFidzphvVL2tVLSKqilRVXNWGd6SvghLVEf2k&#10;ihuVO2gbu4Kw6S2q7PA/s8vy9E/HhcoPDsTqtTmtqleqKl7CWlSVk+3Oa8YHp5p2VNj9bW+o6ngb&#10;q3Yqmn6EGCZPJUPV1/6bQXWI2lFt9FTnSy0kXUmnGj2V2la1aaqxWaq2Wn6lU0kbI2pbdvRv83rL&#10;mOmOIbpjZ6r2TVU5bbT8dNyewM+nVM36kwT9tKFzR6sHFypcmXwiUGal6sypijx6IFKz9VTcqLzr&#10;O1EWGaN65X6K6zNPBMoYVbtQtbEOBTxgaX1aq9/LF+XI3YR/i6l4omqwKkV/VbSfivkbjKq3i+O9&#10;8kwqbMN/x4IoTxx05ZdVzRS9BT8wO97TUha2xUBJTSqcjV+oWrPc4KxqMir8jCk+KvMGfmbcWvXL&#10;4q7gpnL/wai+dT80Cf3SVfD2corfghAy2xrV6K+opVdpGsxwir4Jfobh7Qkx21b12n3k4vV2/v9n&#10;+oZvYDi3DlWlou5Eu93vpmbOBdUrcwFXx9Y/+VKfytruqOCPdCqKym+2h3M45cg5reqNypzq9bGh&#10;NtTF7ktQ8Qm3YzTvUBSFuDOmWp9OZrGpWh37GZ4SPD72uoQNLK21qsOCJbdUzWrl9oHqX/gv7yG7&#10;LMbY0qUHUi0pcMFlhZRmIKcVW6pptXI7WbU6ZqnPAXWBPJVkFOhQk6pmOyqWlMtipYIESMFfDY8b&#10;zBcDmfzgKmP5a/VZMKrN6RY6an1e9d+BiiqdUEVbf0KpqRWpWrsKTTRHQ3HVeo30gWpaqjShDI8K&#10;XQObPBTv09YuZxTtkYqbnI3XVfrDn4VHfQ9/b79WwV01f9ntq+pplWgiVaUv1OvwqG+YTRhDK0x6&#10;F8g5Mb+KUxsqeSn3jlMJtlrTUTM75GlVtRnGGkH1A5Xr6LVsgs1bUlU/mM9eHFvP2VJVoFUt7rRA&#10;EZAjrB+ms1VEO20thtalqwY8/Rh174/e6ReugcYmklNR4OoAKhNEER3YsctxU1VwdjqK0bBDh/TC&#10;NdC4elVRu6I2wZgD3LdU91axZlBhF75eUinqIVULVYEHHeIqHS9smhA81mQsT7f5Yrl3io7SjuBI&#10;tPfCoKuRVPqPhuWvODeMKnroxNoNlR0kTFUpo4L3L/9gKqxLFc53clDRAylWdXGTGS1ZJYxKf7Ea&#10;k8G+BEyKSWpg1WY1nJ6dohXztq4NX/X59FcLFRQfRYuMVjfSG1s6rIqbgO2OVLSMJFI1NPjNNlk1&#10;0q2G+y2tow2FuZO0qkIVRdbq2SmJUcyMsVjHu7UD9YkqE6kAtWC5+nthXSOpvscGFjcDM6qhOHc6&#10;L2sVPZHSVb1RQR95VTYgbwZmnZE/YFOPm6E1nXZS2NmySNVgyly6qjMq/QVfqWCkrkVVRyozDClR&#10;RUukI413sx4qXaWMSn/h5vnNC+OwjQq6HNysL9EhSd75WVdY5uKmqySpYDiqWR24GpyqJ5WJNhSh&#10;ys9PQJffbVSUqBK6pWceNJGLgM1uXdoFPmgU76lpokOS/DOzuvymAX1PFQkJK20yTy4GUpnQ2oVq&#10;fQObpmq6inmqMnYbCYpjBFWrg0yN6qdQta6CbWqsVNXoq2KtEVx1DqqRVCawr1yMlywfV3Z5WLJq&#10;8FWxeXrMG6BI1eiVRSZedLlgbTndYhdKJqt6VOH1ryMPDYi6RBWuu+6Nalyq+ELF6QKnZ4jVqq+N&#10;KjZ92fa0OH5WwfOvrwTNmvCFqpThW7G1+M0FVeer2shjvx2ocHFmVHRJtCp8gwrf2tD+VtdUX5gA&#10;yFgTCc4fqeBR3H9JHzPUO8sz4Q+Co891LwYvJarMvFR0ITZE7La+ip1VYQ/15KTlpqqKNb1hAgDW&#10;CDNsg9rgvr7ZD2/D/AjV2erdVykYhUFVdCARZpyaUFWdUmFzn9u4kTSVNG2FOjaQCCeQVB2p8Hro&#10;4J89FcZ6mpHCRFUpzWxlGz5wviBVR4HrDPs2Nq7oWOXl3Dwfz4CqyqqmmApC6kkFjQW7EYiaptjt&#10;YV+NyZFPhSxJpUOcai+ttX196VTPjKrwFn8eqVocJOouqxovBbh9acpzHH8g1UAqLLq/HqgockyZ&#10;fyWopFNVi76TUdF3QcW89dcHqoLy55t/palgVAOGNxZ1olZ97aJgOEOQzcf+076qdOsvr6g6etgt&#10;B4RJZe5MVLUwv2RValuF8xZfWuNF1XLolaPMU004eEdDd6VTxSqIsE4+H1O0UE0RFXcZI1ClRw44&#10;vrWyqug4X73IHpyiEqjqXUc3UFVOVTGMsTCbT+uGjF1wLNeqsLHGU1U9VnVVVCXsc8ioOqquPFV0&#10;HUH4vVSVrhWgt7AM2o6qapwymbAhQz+qp1jnqL+tUpFDw+aG0oapVAzjUeRa1UQX/3bXVVhXQWtl&#10;pRIRlR55wXfqhgz9qI1MWS8aa3W6qqC0k2ytUrYoVwzjUQIV/h3TNK3Ke72OebimGk+oKrtOD2Kr&#10;BRahaV2fLnpxzRUVY7Tvy0IFOxFLaNVUUKFV9jGoJqMqY6pFYGWyasTh0GZ5e5ee6kujKocN1fIK&#10;evHcX19QtZsqyXB/ZAlPngoGIkubjOtPq8JZucXLO3m4qU26KvZw3lB1RvWbtfBpfQ/6g06vc6sY&#10;VRugav81wEDlUlVPkQZ8577Uc46HKF81wjg5pRPotlUvQdUPmEEd3vqzVbXTbpPmmmrCxRcrFQR5&#10;jZg+mlRwneRSFStWC9X5aENP1THTJVmqPuAQ7htUtfBtVLnSNO317OejDJdUguYm5SlVuVRFI2z8&#10;cpBf1YQqoSc2QTXWRoUht1uvClTnIzNRpccooFyvVjpjOApOmqBqgLGZpWovc1YGFYuphK/Sy61r&#10;VA2NUX25m1RvPuNnVsStVTKuYqTioaqBde6eapEpdf26pRr3VX/TKqUrClBBQ+Z4FZZ+dSlRrKgq&#10;rWqIqWpJqkKrIP5jqfr+BCxNNThVfaAS87Ophrl8UEHzCt4iT6jSriCpdLlYR9yDSsEUwUtIuqBV&#10;5VJVnlGltWQOVRxVL1AF0124GBKaV/1pVUq2N1JBUOF6xnJX9adRVedUCfmvApVaHqhbqiadqAJz&#10;mGBDxl8RdPQ6nTXiQPV2paqc6nej4idVR9fQU/VHqgpVX+viM+k00Eb1i1WdRB21seKqVeAOqjpo&#10;5xgV5Gy9qmrPq6pt1XcrVSlA9T8TLZvBebxHqVi0fGhViaovSAWjGnV/TrUc1mquqFZH/capGKqg&#10;dIAKF6jon3y9qaoXbYl01Q8b5WNLhYsu9E9ebKr0b/gXoE5TcV1jxq9E2ZOqkjR3QarJqJ5vXkD9&#10;G+MVVWdU3WlV29fdNP3Psaqyv5Ku4qBaRmRGVa2nwpdiy9Ub3otPi5OVqHpGqmp9aN2lX6q4Vclj&#10;1bT6xnlVeVbVscZTiT2VWZX54aaK76n0KK2Yv24Gp2K7ry/aifZD8AtasurZkUoXs9qpjnJycPid&#10;6YKqBhVOAr2MHNlXjXpuW6vw2nidCRln3VGJr2km/Ug16NwSnsqtst24lk0O1esDVa87QpxU/+nV&#10;RXyjE1ZBYLd0v5Wmwvn99weqTl9Eo/rDG/Nopo2JcVJhzNNF1bCjmhulLRQtPlqVLU3ttHGyah1u&#10;brYzqM+r5j9TfIW5SKLh/O+MqtO3+FxMKqcSXqmOq7hOmi1pjqhNVUEXNbr04R2lftAqPS0xqyro&#10;5fzhqqsCDxUtWH2JKfrF0RiWp1IwUfIcVeWB6gMLVaP77GljYK3QQfACF4CUySoYZDAz11uq9zhc&#10;aVX2mkExFjEV06m8BQaOVokqGpCJql471TvYrrucjMotv5826/m2wxDv4XAyLqJqzfaFe6pvYWq8&#10;INUvriRt3oL61uU0L3w07bWlqmOqV07FtlSbhV1XczXNCx8NgGyqVFwlQdWvVObXozNx5mcSVSql&#10;76xoWhB3KTtUCVCVpJL0K+V2YWc4Ctyus4ztq1pPJSMHfU4qPZCkJwCkUf1sIXzaa9Sg6rC62lS1&#10;Ryo9ATDX7z+ByrUT6mlvhLQFVdKYjDyhKq2Ky8apXM+43i7sDAOevBRVCSqMSoqWDf9c1cpX2dPT&#10;THv560A1HM+Hb6iKqOorT6UHtedrTipbieqbi+2oMLakSVHRvrVjNLodXjjGXw84fGxV85OAkqq1&#10;uy14WOTepeRvd6rhhIqHKmWGRHcLO6pObAi1UA12a8EDVU2q31AlzdZo24UdZ6lh6jpltNaq+h0V&#10;o3JFqgZUYyWogtuZH9QrVFpMnpCws0Og2srYZ1WNVnV0rsYvzZKU6Ap8Uo3QHCmnE+E7axXHZ/qu&#10;SjdbO09lc9JGV+A7VT3CoF+doipI1cVVOr4WE7LU+pHZ1b6K1lCV24Vd1/98hICRJl0Fy4Bi6xOe&#10;OZW0ql9VQwkFjWqjsEOBmjsqVZ82Y3JGhcGVtW5RoupPrRpsjLcJvYsMr+mKeS7xupF7hFqqelrq&#10;2m6oMEq6Zqjqnaoxaz9R9y6mkqA6s3+dpxIFJcKU8bUcbpTm5VqFq7NtwtNYD4lUJ6qrQFU61bSr&#10;eg4qblW9XTBFSZe8fYU9ldJFncu0eFGrEnFVMM5GqolUZsEUDatHe0it0r1MLtKiDUnVpqvcDo20&#10;0jna6m9gaSlPjOs7VImIStllsqCiQt9sq75OjL+yKnaoeqcvFag6rRI2wJSCRqINP30CafVDugrz&#10;i/R7KtjQzFO5UM6GNokUERW/pGKkGjdUtT0BFagqT2WCJrFGibfO9PSe3VDmASoeqkb3+GtpzRSL&#10;qQTWrmnxDKjCzkQbU9ki3ISqwaULx70lmqhKzyu8ZamxH/rXe8pjkaTSbcD/6Zgr5u24pcIz+RhV&#10;S6oOVbpd8y/8IeZS2J8SqC+oaNvx7pSqAJUk1d8oT0G50cai1RzNJVWfqtLjLP+Q+lNxjHdrWwF6&#10;OLQpqhHLbHVCBSlb+hJUsplMJOczGk2t4+PtRnWMWqo6WjrTHKm4Uw1G9ZKSvWxlLKJq+IqKo0qd&#10;V3WmdfWGlRI/Nq7CNdBpuwOnqgZQ9bKRpUDVB+zEFltdQky6kpBXzZUrXGZ0oNK/O8x981KrRCVR&#10;9R47ZuWmCs4kT1TVOJdzqCoC1RtW0bmiO49vjRWhqv4oqtd6pTg4SNVsdZ9vqeSGyg6V+qp/SWZU&#10;ZkKq3VLh4725omrSVbUAR+FWnW6oFKEvq+RJ1fzbX9W0wJN2XpvWQw04PIGJ/U+gtlR1RGW/p0cD&#10;K6d6VWP7lVZ+85hKXFUNqMKgjqhKrFTQVe4bWnZKm1RFxiBLaVWJ2d481denVAxVpVbpgu7Wo69V&#10;cJagl3hd9SyqsvmwKmhfzCqp9wbhWtVbldkwNXjRJHrHknPQDbjITne8UlSs7lpcXo3TZGVMhX0b&#10;b9fCVBXsSB5XsYhqnJsXH3B5NbYzdGFfN2QGq+I3VHxPxa1Kdwkb9QEH+lBVR1VuTKS+rhKxINmo&#10;aq5K1Oir2inWkIH0MqW3n+lZFSR17OAmb6IqSIb8xUI1t9nliL1SVOlDqbVK/0JxSdWeVNWeiqGK&#10;GdXGXCo8F/wdaVNVw67qa1KVECCk0181vw64fRg8O9eZt5n9WTGw5Nw7oFKgamUsYPSDpxKk0n/C&#10;jwNuIQCfDIV5/SfheTy3cCmiKlFVbamehaquZu2s6u1VauIqXFwwnqxEPVV3RfXPSbTlQBs2SFNs&#10;1u/F5SFXVXJHBRFZLzxVK/gEKmwMNKawR1R8pL/rVNUeUcE8KXS+/3ZOVQ1Y5740hT0yyoBjR5dV&#10;0HWeFICqU6oPRvWCma1e1yqc2buqEqRi51QVqHpdjwiYJan1kYaYSh/y9XVVd0GlMzrD6W03VfqG&#10;eH5HZfKf84jq9Ur1nvd6i10BbXM4Uh9TndyBd62aQGUSxG6rOMz5eKoXWqXPbPHPDZUd0rqkYkkq&#10;2KfuHcQ9VXC9K4lH+tiqN6iSWtWsVLq/Gh1lsIOSV1XSpp44pWLv6s7eGfXWKmyb9+iKaiRVND88&#10;zER+8FRvQPUWVDjm+WErTqawWxJeVlWnVJMeRQOVsqphRyUvqRSpxJHqi1D1Q2NVJeaXEWuVmdVM&#10;VxW4B4iwG0huqJ7FVDAhXXZuH5MNVWqrb616E1HNt9LLCiMy5lpCq76HFgyoqi46yoCY7qaqPlbp&#10;y60XEs7X/Hs3foOq6MSEzc/fpqt6iNAwya8WqrdxlRdsV6nNJeutqUZzqzpSvakwMlGH+ZGKQsIq&#10;aTZKWL2abKoPcVVTWhVU2XNfr0QVFzTHGFPpU/htcn/QqZq46u1SxayKVslymzt+Q9UlqyQcsPRU&#10;79cqPanV/hSq9F2Lqmf+zZZVNaar7IDbF8yrmMIXpkNWyaMfTmWmtocN1Y8rlZeAvs2sguKyo+ri&#10;KvgW81QypuJGxS+pBqfq4yqdMnChgur8FalEXKX/xu8fq+o8FeWBomK4obIN9yuqrzBP03nVoBsK&#10;ELJdmCFkFld15osklQ5Ikc8LpyoiqjJU6ZlCaCgwOzURjxpwCfOuqF4YVbneMcSqVKhStKXwrsoG&#10;qVxTQYTXEFEVoarxVLgzBqmGDRW7rnptVNVpVSWxA9Psq0bLS1aJN7AHBqnUlqoNVIJCa/CPaHsK&#10;lAxfxV0VBAjx1Z4vgDSq3qjmGzAMF5n/E1tNb2+dxHkcUH1AVb+lqkJV4akmq4qtprfF4bGq2qi+&#10;DFVz3yK6xl9dVOku54dCYSzxedUXWG+bYYC5Ff8qpvrefHFFxRTuaclXyWGcqmt8FVuoRCzc13td&#10;UI2MFo7yVXIYVA2+6ouYKh7ue1MFoa9K91Ar+bddlZiLFKm6BFWbrqJN71AlypWKk2oA1bOI6s1m&#10;JoXuomosSCVRVcVVfR2ofqhwbwX81Nerva3M+0nVXFPVWtVsqHpMIuOpCsV91avV3lb0Muub0lRs&#10;rXp2RlUaFWK+i87DMrffzkVVc1r1Uled3KgkLUyo46r6qmooKT2s0CrOtlTcVzUKVnKAClICrHbc&#10;Io3dmPOm6uVa1aFq9FQwz4tzItB039hu0zRxElWcVC0EYe+oBqN6o1WtrENVvOFemOEPnqrqA9Wz&#10;XRW3KlHjDjUMe5BFXFXeUckUVaNVk1NB067cUo1XVRWu+h2jKn1rwYaWQxVTjdQMrrY6OVdV3UL1&#10;Jq4ajao1KoZPSADxYV+VsLesp8JNCD7o6fioqgxUcwcHm6W64wXzuPWe6ssrKo6qYVPVSFRNa1VH&#10;OaKbeJMBd2WoLqigli6PVSVN+GhV4angi/ZAlRZb66l6UH0VDkGWVjUZ1aRVI3WdlVF1eypxQVVb&#10;FdSHJ1WtUeFSnrgKZ7348Rr6QKXLr6StF7dVrQhVrVXVEpfyFPGxvgyqjlTvd1QlqmQxkErggvRy&#10;XyVTVfPjrIFQcq16p5NZBfd44VQFqOae/KwqB3zuGlW1ocKYUjyjaSoRqFhMBcX2R1/V46KwmqGK&#10;by3ut5uHXlWpC6qXR6r2sqqFoG2jKqKqCjYbnEmh6gWo5HIPgIWquaBiTvX2WMVANTfHofv13KrY&#10;nqpLW/kyoErR5tAbKoy/kYHKJWbeVUEV25xZ7bxUUfoWUpVr1fjVStW5DclgfeO4qRL4OGrSVCP8&#10;sQ1MZ2+pni9UIlSxI9WZ9epbqq9gr+0wrxOohuewMFYP9Y9GZfcDgZHIjYaM2TjtgqrA5B96PnJL&#10;9XqlUp5qOFSdyTgQqJrBqnC0LtxdVu/W5lSSwfQNqpRR9ZtN0bsqXUm8jqj0JqpF/woWAellDAOq&#10;uFYVnqrfUzVTuqo8Vr0LVGJWyfnJB+cRB4s2VdyoeJqqLyELzfzl+y1V9251rnyV2kichSqJN+JN&#10;1frPLjpIT6x0b/mdU2FyblzmnF9VGRWW2PUHkKojVatVej9sSnAPLSi1rzqTciCq6mlkM6L6R6gS&#10;rY7QJ9X3xbinqjKp6rXqT0i5u1QJiGdQ8Nw8UqmkVdhaxSG70dQXm6q/UKX7Qm+1qtFrLFBVKHjb&#10;xkgfqerrqo4q9WZX9Z1R1Valf38zWXqJqu6CajxQ/eZU36Kq0W0N2FhLwTNpR6VweW+Kqp+7lzXu&#10;lGdVqyJS/A5Jk3vqMlgVbEKmYAvtij1IpSp/qf5SVYaqN55Kj2t/+QDVsK8qf4a2ZE9xAKQaccs9&#10;VG2+ClQNZzqEa9VcpVClvu7Zlb9AGpweGi9vQfVaDzNoFQRovjtQ8QuqxqiwmK/7UAWH3FgDqRqj&#10;quneKIYHqZ7Pj6p6V1XoBY2dni0i1WBV5bFqPNP1Wqh69tqqKKdIMB0HLc1A9d6o9AhR9TCV7kL7&#10;quCmgoG8dtSqAlXvIC8CwxEivqNiqJqSVbqT+lp3C6GYw+D7NxHVXJBwj7FGvERVQ02++pSqTVFN&#10;oPqwq4LhRY6q3qh6q2pyqwZQKVBNpGJ6Yi1U6WtbTRBdgaq3pILbsh13VDralU+TSFVBzOy/m2zY&#10;MRV4dY9rpcLFKUeqinpRySo9SwiqClXVSsVClZ7LwYn6/eQosNXWNVVhcnR/HVeBt9UFiMqVIhU/&#10;r2pSVZDxDVpCL3D+47tg9QRVFnONEKomfO5Wu6pGUDa4NNU/rErosTuY/3gbU9W+St98EPram/xl&#10;WypGeS7SVdhO8VXPAhX8h4vaqqSuswOV2Fd1KaoeVDqwCPJO6xbKsFLR3F8ltWqu0sULVA3MDBPS&#10;eMSuqr6k4huqb2ACsNBD7zXEiWqVmO+NAptlpNq6gi8vq6hVLvRYI6le+qoBcy3oxbu+qsfRRw7p&#10;xrdUL1DVX1NBNuz5ZocAhC5Q6TaBDjj53ql0zkLdubGq6kA1nOjSL1UcRhFYVPUcxkNwjf6oR+NB&#10;Nd+xZYeLk/S84XbD/fkFFdyDkOlGGlW3UL2CDAvQAapQJb/2VDRXs7vLUXFNNV9zyNLEpphKN52h&#10;vanrfZ098StUKZyCB9XXmVX/RJWAWci4SpmJ+EAFm2jpU6hVJtbwb9lUsHpMtPBnQ6elWKgk1Vkl&#10;qRBYmdV9+oSZzteXG6rxmgpaScW4rRKo+mBV3EzA6T7SroolqnqtghwN8BcblSLVl6gSNLYSUemv&#10;9WU0qmdZVMX0X7DCfwTVXHr0DGNUpfCEGRV0UnGZNXYT91VT0hUsJsw7MEIrST/ltlQdNh6c6qWJ&#10;Q9E/+gGWKG3dixPW1Ikq+GJbxWx0qI4ogohSjiroR+jT+AP8X06V/tcAVY/ekkcsVO/gqkAe7lD1&#10;wmRf1YVLkmqxwc7zG6oCmleDVc31IwaAVNuqAdbHq8eplFN10CFeqL5mJgwHAhKN6pXJ2qSb5pL2&#10;OIqr2isq3dKABT08qtIvjmlRdaArqOYGz3emJqewDFC9DlVf3VPhKBZXRvU6UH1JKY9bUOkTNDct&#10;vjUfjaoipnrhVAn5kEElUQWbEWDbUS5Uz8yuO8pT2ReezTK3qoKpox3VS4p3aHSw+Ur11lMt1vm9&#10;vH4Fddw2RPrrygqKtjTzX76qIxUUcX/8G1XcqMRtVQ8qDhOlPTOp3ayKL1RzM4eLleoH+N/aqKSn&#10;qi9dQasS05ZKf/WGctTyqIoAcI4Gs7I3UDUXVLrR9yPmahY7KqzPKlKppap5gKrYVOkr+IFWfztV&#10;u6HqV6rygqokFSbRpzWd3JZ24akm6OlUooirWlKVC1V1TTXqBcAYq0bRLnPT5b35AlTYZhN6hZRR&#10;mc82OhyMKJYqcUc1cFIJwgy+qsA2m6RToX/Hjsp3Z1T1dZWaG8i0l5Ews72BSnkXyMRb4WqN52aI&#10;pFyr9DEuqAY9c1SjqoyqSqt6t1Rh1v1XZqlgXlVX41JePGS9UFWo6pzKZkXHdt9701heqeRVlW62&#10;dw2qcD1VzcJyRaoedhyTrhQxM6M/4BjEN3CTLlT1VRU8nPXsfh9R4a4rpHqxVEFXuyDVd1ChRVQ8&#10;XaX/MT+cQcWNiq6gxPOAqkF3FnCFqF3aCU+ekmKd1ip+XVVAHJoeibKqIlDVk9mx6wtS2WWwrRmr&#10;0aq3pCp9lX623lDNt0s3n/Ev9FhmVIVXDVVm6maiKR5Q/QCP77hKpKgq7Ez8CKq6a6CBtVQ1myqM&#10;hNRRfXpebK2i7YauqEqrUvMhXkRV0GaD2uCHtaohlSKVG46ssHVUpaskxmPr1SOqXatwMwqXU/Et&#10;fJpNAmZULah0s1AtVOqqaiSVbKHF/sZTFbuqCmOkhy3Vl9dVFTQZ9MQiqT6YQEhSQau7ptwegYpb&#10;la751yp2WTV3JvTDWavEBC2rD/h4+5uv6irKg/IdqDqqJUGl5/D1nLSC7oYKo2Zuq+ZCH1Pp4dhK&#10;mUw2r3wVxEJ8VfUw1TtX+xuqMl2lJ/lqVOk5wt6qKv3AKCDEZf6sIlApqkS16iWMcXesjKrqWyod&#10;NVvuqEyCJlCZ2DTsGcGCd+VU4e413VWVbjLovCfVJApQVSuVNImMnq9VUhlVm09V63l6UHFUjZ5K&#10;t5h0jjNpNpR4bioyZvITtQrHTefOjx6IsKofbqj0HIACValVZaBSmAxlxOVHoPoqVCmKSpmgOOVV&#10;TZD1Y6hht/INlR8hQJ+LSeZaaIKBapKm+RmoikQVh87Er6RqrEp5Kv07umJsYyphVHKlentDpWcm&#10;fgRVNTSwh7pRcRGqvMUR1FPHpUm6XGkVZ6Sq86h+miA3V98aFV+q9GhyFVGNVFdsq/hFVQtNBlDh&#10;7neDUc3Vjx5Wnj/7Cxas07Uq0/pDVUEqGVGljF/BBmvwcJ7PSY8JiIqICh8eth56aVS9Venl2aGq&#10;u6niqOpWqi5Q2Wz8Zj2mW2iyo+rxXk1V4cO5Y/U/MOxLz3hbFWMuuMN1X6xKrVUqVFWkSitX89dz&#10;PQWqfy5VFIBoqoTSql4blfRUb+DfTS5V38D3mr/0g9+paqOyvT8Rqr7zVZDQYkPFklVzE6VvUfV3&#10;UvUL1fqFQ+y924RNq95nU9Va1ekv56bK3/Vjo4OEoahqdlVF7+oKrXoXVw1XVPOv/0mq/9SPDVTJ&#10;E6qyt5eWVBV0lOKqlHsQVH/pL+fG0R+nVW/x2rioWt197vOqfkfVlKjivVsTll1VTT/rL+cH/n/o&#10;qBcFmdwOVD/o/6l7l0TmASoOqmL6t0TV4GLB9Gd3mL5BmSmOQKXSVAI6oLAH879NmFm1w+PuqOBj&#10;/Zja+bMLp1JWVaCqTVLN3QjBR6sao6oXGyo/xZvuEsbOVSFgqKtNuoKgGpoJmu06wPaHUIU7wOF1&#10;erdUTaEKEgtC091TlRdVc/GwqoF1nqoRmHWBZij9Vf/aWSxVKlTRQp1Z9c0VFTxwdPrhGaFVfKnC&#10;GrxeqMq1SsdwRVTfXVJNVlWASi1VUHpLwYKXTYgJ/+isSlJpBxXXqlcXVM0/UMXHtivjquhKyiDP&#10;gB6mjalqeUXVzipKoM/Hqas63UlWOKXlVNGQXu6vncfB4zammq6pJlLp8MwEVbDyer58UVVzT4UL&#10;/HnHoY0bqJoNVR+q5ne2mFQapjS/DVUptahqJwqHB5WsE1RUK5FKatXkqb4jVXFFNZIKQr2dShyr&#10;goxXJfTjH6OaHzGowi2V2K4q+GYJPeYN1etUlQ7oI1WrAyHjqmj2haC6mCszT6U93+RQ4VL6qePw&#10;fD2hCtMGzqoGE6HOJwoT8cAoZqMuqQargnUmoJJnVGFVn1tVONVgVNijainPz8YVXBobfF5HVC/1&#10;2uJLKlHAvFyyijahL/Wvb6hEqkrGVO1C1e6pGk9VZlL9qkMy4cVwRYdRsbOq6SGq3lPpTFhaJc6r&#10;bKINmDug0o7fgw5Q3d1X1YHqAy3wAtUiT7J5cdfKGfFc6fsGt0OUt1UjLMbaUZXRNhYsE7KqKlSJ&#10;G6rKUzWhqvBUVfQqmimnqIrdVsEKAr3fL2cR1cg2sjaVFHuhX8NChVe406n9ElW/happT9VFVBXF&#10;qTAIAOFxlQQVT1JxUtUTZCyq8Rb3VRBfEW+8c5eObVdVJ6o6/O2egvu0anIqiaphq5kcquotlUhT&#10;/eRUjX44T+rlhopHdwvi8DPoF8KWQqQafFUreaLqZ6PS6/t0/ACpxpWKRbffABWuo6+iquqiqqbv&#10;tBA/4KtGq8KszMO+qnuMatBV1huopFFVGhX8p1nXWM9DVZNNpVClG8h6igJVVXiuBqqbVgXrvafi&#10;qCoWqv6C6henmlD1Wo/5V+G5Is0qyrcYqpiquKviRqWbojp+wFcNpLJbDixVZaCC072tqq+oCqca&#10;nEroxT8d23jxEep2T9VvqmSSan4i6xcsmG1iqh/Y5qvxVTWqylBVgkreVIkUVYvhy6SSTjUuVfya&#10;Chp9LajK06ppgrXoqGo2VapOVNV6aQKoKlK90irMmXGkKuMqkVHFUaUnrvpApXZUI2QTwOdgI3Kp&#10;RqPCZbxToNK1EdtT4ekSpGqFTsG0VBWoSirtY6Pbn9NEy3jTVRioP4aqcq1KO1eNbn9O1Oj7daHq&#10;q+2+TfDCtY2s2FQpe1clqhoMGmUQK3BBVeyq6iRVSypYMPuTvpIdNEnuqORS1V1Vwca3ZagqQVXe&#10;VA3pqqGdmFNVSxU/qdIzPOUIIxV6sXHpjQBcUkEPYsKGDKj0dFqHg9aoqpJVYqXiV1WFUeHk0iVV&#10;RVewItWLi6rJV+kYnsFTVUmqasQELZ7qvVMl1QwTRmtjDIRRzU0SVHWgkidVA658rJxquH6uTqp2&#10;c1x9wF9YqCAEQycvT1eNqNIxWzqyaChBhamlAtVWem+r6jHTs1OVVlV391R9KbdU8UlCeOlorLrH&#10;TM98S9UmqGhYFD61IRVNLvBOz7WRqp6m6FCRvdk2VAxVPFFVhapqR7VXtPRYcgNremAjoCwqaMh4&#10;KhirmstoqNo+WYFK0oT0bRU0ZHSItJ5KbTZVOwVen97WnqvuroqjqiGVnpoQd1Q6Gyqe1BuqnlRa&#10;NIWqWukVLRTXf3gF8VFKKuFUH66r9GI9CNzualSpqIqdVTFSlVdVNaomX1UY1RCoxl2VhAXdumbg&#10;Y0x1iFqp9AI0iO5Tuv/EAhU7VTMURlXblKDz87oUqOoTVZ1T/Xqk6vdVpVV1eVR6sc30m/6ixc5K&#10;VBW7BVurEk4lPdWbS6omUMkWh5A1oJFaBfMehain+C1ogoGtqplrURGq+osqCBfRMYdywrkrGagE&#10;qkREZWaXSgwVBxX9yFMNl1TCqH6d9FPeV+FngipWnjidwrwqhar54NMvVlUtVZVWRSuGajKpNuEY&#10;S5UEVZOsavX/wgJP/f8/TtgtIFXvq6IVg9nHnJaPC9zKIZNKXyD9/z9NMKiG4QyyDVRdtEpoAxWu&#10;u6SFM9lU88GriEoPbG48mxurwhsCmmbwPxWsw3p5RQWPJ71QaIKo0WrCzkpMJaMqvlC9ttJQ9WuS&#10;arIqXe4rWJCDqnahElGVbkx9gRnZJvM7UxYVNGRGfdZ4qDJFqdY9lCgKQgd00if4yyZzX3ZwFnX5&#10;uqT6MVCNs4r3EEKvVZOv2mgxFEtVQ9O+Oox7VuldMK+poCEDKp1pnHYE12tnfdVWi2F+t1Z9gOgy&#10;2G2d09SdVbXXVYP+/1lVr1RfgGqrxdCi6jWp5kLBl+eqnbuaSaqfQFUY1VybW9XkVHOFulFdwVL1&#10;r5nuE/qq4Z4KOqlduav6GlRqQ1X3lOJtiqi6u6p/6ZPWgqoxKuWp5IaqMluGg6pA1XhPBd1BiMsw&#10;Kh01jwOdoUpsqGwAzeNUk6/60apa1Wx2cEym+8JXTSvVbwmqEVX6OP8N3+ghqiui2u5KxFTmXPXX&#10;VNqDf51VSaMy6/C+0qrtrsR7upKgKp1Ktxluqepd1fO5C7q52sQu9tCqMa6aLqmg/TuRysz8F7DW&#10;/7lRqU3V176qClT6ChYXVOARja8SUdVGxfCDqyGWKt2oHdiXF1SwytIEk4OqMKoSVC+MaqNieHek&#10;+gJUTZqqWag6mHV0Kt2I+06rNi6fy/vI4yrdqNBtt5/SVZOvYkZVGtVc7N9sqNwmQqjiOVSwInX0&#10;VZW+u3urek+q1xsqbwVhXPUlqVKuIKqKY9XmHWjr/GqlggiEL6+cK12iBk+lPFVBqrd7KluRBaph&#10;oWovqLyFrEo/J6wKc9G9LXdUdlOylQpjSP4Gi3EvqPqVqmP4HDyhslurbKjm48DaqN8TVLCmuPcC&#10;THU+e04qfa6GUPXVSlX4qmGpmqzq51RVF6iGtcqt6Hq+PlkfAlXtVOyyCt5AYZCoataqH5wqssPS&#10;y5iqv6/yw8i0qqZ9S0rYMZIxtatim6r3V1X/XKr0cqUd1dsU1Tvo7l5WNaGqsSoMVVBuyrI7UjWo&#10;6nzVP1NV/wVXrfVUEGW7Ukm64dQV1V+XVMJT/bhWFcquX9xUPY+pXl1V0flxrxLCQGSgktw87Eq5&#10;oXoVUz2HwZ2rKn8DsGqh+kA7hdBV2lGVvorOaZ1NpSju2FeZ+ptvqd5lV43eY3DkvmqEKzir7Jif&#10;+HiqKlDJiMpUCPVK9eVC1aJKrlQpu23q1+CraphRQ1VlVebWW7feqwOV3vP975dU3Ps6oqpELTdV&#10;dFduqBqn4omq3lc1MHcFB/VU5sJ9WKloxeWxKvVc4XQqqVpfNZDKdgYjI7a9+V+rUkvVf95VzW1T&#10;ikzVVxCXj8wqQ4gMzCC0M6oplwon40iFEckLlekMxjZlxFXPS5XwVdMVFU7l7KmgM/gsvi4OByCO&#10;VTxV5X1NGwsJW65ABW29F2y59TPe/FDcFY6q4eYHTtXmUf0TVXDI6Wejgn++djkp/RcGsf2wpVJX&#10;VeE46uCpesyGLMzNzyOqytyXsCOKUbHMqh53DdOfEqr6yHbGX3qrdDKrfjpS4Yd2kQU5lXBJzDKr&#10;ft5RFValI3/XKsncsryIanKq+paqM0vBUdUZlZ5KhlwS/quUXq4bTzXeV/2yUo0RlX5Cr2ZN9Als&#10;J09VZlPVix+1UVUTU0FhM8U9qwrmm91LOdUvkLaXVK1wqeSdqsc2lFF1H0+FmYCm6FK9wVty3K5U&#10;hVONiaq58RKqppiqiC/EHr0UPFlVffgjGap+I1U5RlUt7cFtVNVaxbKoikD1O6mqkTG+VjVeNdo4&#10;lZsG6y6q/rWp+o9Z9Qep9EO4HmMq5qmUU323UDVpqv8Of6QbyIP9Q3VHFYbN6g2VdFuahKq35hDF&#10;JdV/nVLp+cHIzKV+Xi9VHajehedqatNUfz+lauMq3bYxI+4NTco6VempTrx81X+GP2KVUymn0odv&#10;IyqvfdPQpGwH+S36e6rFK66CGy0S/qFvAtMWrB+p4jSqaVV6irDaUFW4wdCzlaogVZ9FNcZVHCrp&#10;bqUqcYMheFRyUilu1vU+UvWcmWGMbZV4rArGpo1K2oeM7tiVEZVuRhSkKmlaHa5g+TFU7SRYFZlj&#10;gvX/pGJO1ZldX7OpmhQVPG46Gm1rPVVlVUUuVbdUQe5xvqV6S6raV405VX1UVaJKrlU6IPFbUnEM&#10;jAhUQyZVG1WNXlPYf/m5PivM/Qcq/hFUsBopGoJFKlNNWFWdVQU/Wan4pgqH4inJp1WpR6iUVVHz&#10;E5KftOumqGlz1RjC00IQCaiavKpiUxWNrsVfqPFJ+OZRKmVVzFM1WBtuqriA5s5LT4X7QT9CJYwK&#10;E3rEYn4x6Jyb2efJqNr8KulUI325rZIRlcysgrU+EVXHguS59lWSqtlQjXlVP3iqAhd9x1TYG/yS&#10;VIVVwdBoQZF+D1X1n06Fq2r0I9epdP4UPwee/6JGF06qfCQVVpKw6KaOR23TKoY2pmK5VGJDJbdU&#10;1ElEVWlURWYVj6i4Vm1EuNcfTaU/oPNUNSy0iQdhmbojuIIit6pOVU27qjP7Dh6r2IbK5jFbviqa&#10;IBOII1WZXzU6VXOoKkkllyqZU9Wgqliqig1VQVPnEia+GlSxHRWsRsqjgseZiKlwEB4eh71TYVal&#10;6G7TQ7pq3FSVW6rWqgZcVNvVdj42p2pwqpZUg/mc9atBlYIheT5BJIKnWu1sNDTXVWVExY5UAsKd&#10;HqFqo6rezrCuXhAYAr39VsDl6nHT19yq3lMNTrWxKI77Kpi65OOeakxXDVbVg2oiVbeVhn+hYqGq&#10;yaWasJN6XgXxaxD4qlXtoerCFdxSKba5gNCpGlLVNvog97mqQFWcUJWBqglUdR5VH1Vhp2VDBXvk&#10;hKrBzKjX03pHhysq00mNqPbSM0BDtUbHE1Rxoxpzq6Cg6IEsURqVYNOBqkeVHnRsBjPPX9Ng901V&#10;t6PqjlS6V18GKp5JhQkpYIIGVD0e3OYW2HhxVL3VvzeAavhIKnWseqcr94+mGrH7vKca9ITPe1DV&#10;vkplKO03VSMMddWDuWNzqXD76YWqGkxD/EA1oarfUw03VPUYqqoTqucMMmygCu6NKo9KLVV48P5I&#10;RYNbMBzRN4GK51U1Nr8WpGzYXIaNH48LbI2KSuFjVd2nV40xVR3fjWatmksYqOTjVKVVNXGViJyr&#10;oe0epWpIhRdCmQfbUmXugHKlEl8/SiUTVSUMVI6tfsaLF/lU0qomXyVNANtSpcwX07RQwerfXCq+&#10;qRqSVONHUOnmVVTVxVQTqD48RlWj6htS9XsqZlX6M5VuWT9SJXXQWRns7eK/+kBVOVXPaIJwlXn/&#10;ompYqf6Wqion3KK3nMzOEfdUdUxlYpbWL1vYdBgGTMuRqnuIqtUqlajinqrcVNU5VG9JpWKqMarS&#10;d0n1GJUAlaDtiY9UOujo8Sq9u6un4hsqSm34A6pq6GPDEwLXZ8ZUY1aV3FGplUrUmc/VSFfwlErA&#10;fzoMovFVTUaV2lDVaSo+2enwzCoJKnagwu/2TqWPIvhoHkHZVFNE1Ww0260KgrMaqxrwcV18BNW3&#10;ERXemcNKVW6reLqqcaoKVQr/OUX3DvFUCqtSVPXVpmq8rxoPVBQZ7VSYb0qnOX3MudKZBjzVSBtg&#10;L1TYaBhpGsCquvwqAQUpUE37qg8rVW3CLHKr5i5qoCpiKmw0vMFJL6tq9HFQ1T9OVUDIUkRFixYa&#10;DAeerEqnfBDw16xUV0u7YLSBfK/jdp1KnFeJyaiy3YP2XIGqYxTeVcZUZqNzo8Lsas2Pj1LpbUo9&#10;Vb+hEjFV+1N+lUSVbub251QcRgULmvseWfvzw86Vp4I8phU7r/rlUap+/qCy/9aoVFRFeUq4LELV&#10;tKv675uq7gdQca16tq2qjEqsVU0GVbtSqTMqxTAG80j1L1D967aqsKqXURX8pzQqyt8yPUjVokqh&#10;qtY35hNQNXqkYFZ1TvUipsK6vQAVO6eqbqv+7HCndJMVevmiVfTzL7Wo4qGqzaLqnGo4pRqsavx4&#10;qt9Q1eo23KttFQtVhadSK1V6ubKqWh97KH9TpVW9Czzfo6o/VLX+8fvr50o61e8nVW8/lmpcqrpA&#10;9cNSpQMSx8ermK8aE1R9oJryqvS5+mNThf8ymUCsqg5V0wNUY/GLqoyqCFVvA9V3qBo+jurfPJWK&#10;qeibr0DVBiq2qeqvqBTDwFVfNSw319tTlZ5KPkA1paqapQozsJgWVd/eVYlQtcj0Rir65nMY+dhW&#10;/StQXSpXWsUXqn6pwjq1DFX9CdVQYQrGBFUfqKZjlb7RmNhR/RRRdflUi/xzVqV0V/+FUen397Rz&#10;WVw1XlR1qJKtzqdLqm6peo8q5lRyR9V/ZFUByUG+3lT9/EiVWubqe0//nVXlCVV7u1xpB26sbFQ6&#10;i2bNoqr5OTn/n1XB0deqoXHnqryrYrOqJ1WzoerXKg7HQhXPpepJpTfpBZXUQ9Y7Kr23g77IEDIQ&#10;V9V3ytXgqTpQcaNaZCU3fYuqxyRwcVVLmYA81YVaNKoq9Baey7yGrzzVsKP6dzwu91U3z5U8VvHB&#10;V5UrFb7GbKreVwlbkBaqmlTTvqrKoio9VQmqYVs1Plg1RlXdjqoZIM0GqhSoKLAiUJW5VIOvWuWA&#10;XKvmnioGPOZXNaSCeOK5ItWqClT9jkrEVMJX0fri+fxnUdU9bhO8VH1H/53rc0/FT6jS63ZQDaga&#10;rUqvGin3VJJU8jGqyVfp7riwqi6u0gPxmBHMqZpHqVigqsZVvkxSFaGq3lCZjTbuq6YWruCgVcMp&#10;VSN8lcyn+ndPpbs8oBpQ9beIqgRV92DVFFf1Op9Uua+aOziQuSWuarOo4Cj9XK60ar4B+WLKhFRV&#10;RCUjKpFT1UBpj6m+9VX9R1CNS9U4Vwv1vgoC/1q2VDVr1dyH7dro56aodHafuSNTy42JnEAF76J9&#10;BlSgah6iauKqGlRDmkrFP/e0qhaN0ip1VyVvq6aVau62t/HppZrylHwkVWNUkKxI6fivmKqBnIoj&#10;rrj6QBODLX2Ir6p9VXtLNRiVPFKVqIK3C/MhcVWRTQVLrFeqbzFX0KdQCVKxqKp1s+CPVglzvJH7&#10;qtWeXt/RNrwnVCqPqjYqTFdRxFRvlyoaaI+puFVdLe0x1Xio6heq/lGqqTKqcl8loL56jyrTGvZV&#10;3X2VZJhpQaveYNi6Vn3YUrVGVW6rqkeoqmNVx4ZjVZ1H9ZpUQ0T1bqGijcE8VZ1ZhUf5GVXKquRK&#10;pSCM01dR7314oOq9U41sEdv36ryK5itQ5W/0dF6lPNU7VOmByGMVXPbxUHXtXHVLVadVxbjcDuo1&#10;7iih449B1e2oitvnyqn+EG9RVaOqlBsq6A9iBJgZQRvsPZNPRX+wUTX7KhFRjb5qiKmay6ofSNWB&#10;qlqqGl+F3VMzMnusapcfe1rFrKrcVNUpqs6qlnmUUlUqrnqDcylGVeyoaJ/RQDWsPvZQVYSqNqZ6&#10;6al080+mqf4nTdVHVArT3QeqFwsVdiM2VO1KtZwUT1F9Ac/BaVMlMRr5tMqV9n/eUD07p2psQmYb&#10;PLupoq7ZX2mqwVe99FV1VMUn7ILhUe3SFlsXwz/WquVmpSdUbKXiK9VXC1Wxp2pAxUE13Va9gRay&#10;XiG/UjGjGlNUhVH9kqYanYqFqmZXVaap6sXHnlcJWD8CS6fuqYRRdeYKrhYSpqhGo6oPVdWeqvZU&#10;Lfxec0HVOhVytKqNq4YvoTo9oaqdysQ4XFHNnWZQiV0VBxXfU/GlajUOeaDypvZEiapaQEZBo/p+&#10;T9W4o+yqlp96W6VCVb+lcokN5Ur15w3VXNR1/4aHqreBqrqk+nX5qQkqblUQ07tWCVAJCKUJVSJQ&#10;VUvVb6kqEapwqzFfZeO3a1TVes22UbWxc6VWqp+uqPAv1uuWZ9Uro6IC9TpUdahqjlVefbXaQTVZ&#10;9bqCeN5iX9WeVOEvrnZvPKPCy6FTIsyqD38LVW8CVdk1MZWw7aHJDDR4qvUapgRVO+kJSz3wASPF&#10;EucuSfUDqRSqpj1VuVCtVzeeVo2kgn2aUQV73Dam2iJV66u8o3iqwlPBr9WpKn2ncVTp1SyKwXgt&#10;qqprqt5X6XO1WIT5PwmqAVUFqSqjwiA/PUEHZRpVy/zxB6omv0r4qkJSjol1OdhWLZal/StZJXVa&#10;pHLCVc0QN5pD1Qa//M9zKryTUVWuVNJTfV/8CqplBRSocOmQp1oMrf2VqiohB4+eBVyoIAOCHiv9&#10;EVQ8cpTJrAZYq6ZUlTKqDlSiOlAVeyp8Lq9UiybD7ykqmM+aH9GdU8lABeu0t1Ut7C4wmc5zl0Wl&#10;nKryVfp/CnFOhfXDSvVj+Ms/J6tgdllHLrhzpSC2HVSFvrrbqnGhUnFVdU4F97ncU8lTqoHuRFwm&#10;4FRlsqoLVNjZ4xHVACot3lI1EdUYUekWxGmV8FUdqGAbeI5X8H2gqqOqntq1oNJXsIqphgsqPYdU&#10;ByrpVHpHNq2SS5UKVXWgGsM6Vz+r01UKUjVblR4fLXWT9FjVUbt2oRpuqNihajij0j8Rt1VmCHIk&#10;1QRdhYUKmu/NgFki58+kAJ1QVZuVUAfnSrcg0lUS+qO7KhZXUfsDFzzOrXetmsySj0uqoRBUN19X&#10;CUaZFHZVugVxpDLDtUMJqnKCZE24rV7dOdULUs09aEiyGVMxZjIpBCqatL+kqg5VEB0ZV3VWVZpt&#10;gqlcrVUyQdVzOU20Pw5+oTAJEKm+9lRDXOU2I9Jl3KkWTwI5PULFtlQwHo3bjTSBqg5+VySo5p46&#10;7jwIk1prFaQE4j2p2oiKG5WA+sGpFrUbO6mCP6jZU33BIKkThxZpbWYc3EvfyRwD0CdM5+eV9lnl&#10;D38UKaoWVDWoRqv6WmfRZLCP3vyvejijYgvVXOd6Q0VjikqiqoEH4ohbW4IK1li+PKPqQNXSIGmg&#10;8nq1MK9/ViUmGVM9S1ApVGFaW0+ly6L3gSmqH1HVmi0CQpUemGk7XZEeqhpMAaxVElQwrNKkqcyA&#10;e4GqaaJk/KFKDx+1ClXzBYmr8GatI6rRxWDg8+esqtT9I1Bhfm9SfYlJo9uFKnbG4bYwFQSM+Hkq&#10;9yjsElRze/FXbGONuHkdqHoTvO1UfFvFYMB5pRp0KgDXSIbnz3mV2FHpOsio2IZKv3qTx6FF1WBU&#10;xSXV3MQXGEkYUxWkardUJvnosKVyTwN4/pxUzc3WH42KH6jaTZVeIVaSypb2HnbWbsyvytOqRg/H&#10;/Yj5dEbcPwX20eypCMOSpeZYpaMzcI1RAzvbgaoDVW1VzXnV3Gz99UDVQi6gXRWfnGpuv0hIqNnp&#10;hTzuJjylokjkuYFoVXN38EtUDYFKMtiUKaaanArTc9SBqvMmCaCuO6uajEpXSeqZVUls9p5TQdNd&#10;oU+Xdq5LuwKVvQlZgupXq9KNFfUyqiqM6sfVUbAGhWmx75cqTCxuP286r/rNU81dnJVKeappU9Xa&#10;NK4VXkFP1ZoSeFoFzbIzKj3+sKNySYs9lSz9dRVJqkqrRqt6s1R1WlUaVRFXebvFlO4KysqL4KVI&#10;tpMqrlUDqubS7FTKqcSRqsQGfFxVpavGherDVZVZPFq4KyhQVSapBKhqreqNii1U8AxqYdR7Q0UX&#10;GlVf76nK86qhQRUn1QgjLKFKH/5Psafi1HjQ7ektVZ+iarUKhi30GwpUTWY1aGVUv+2qanr0oArK&#10;FabQE9dUOoXIrxim0On0QFHV/NPf5vuwWA0KT3TvNZ6qBZWeaKKsiPSerjqt4vqLP0k1d3FKqypD&#10;1e+7qvmEY6Ws/39WCa0a76okqYa1CmLe+fTHrmraUjGnwqGQZJXeQaKChgOoeqOCq6ofH5uqwhxO&#10;t/JraVX1HdVfODk0f25/TYWTCUvVEKpwKOS86jen4tMVVWVVQvcOnWq8pWKk6lBVeKrxrAoaLXuq&#10;Jk31+2h25VJ1RFXCWBqoxlWEiUkt5FSViqtEouoPVMlQNaxU5a6qMyp3rprBV7VpKuzHwyO+IdVI&#10;2TZ0ivZjFZUY7KeVRtWHKnZBVaGqjavaE+eqp72WN1VToqrHAUiuz7LujBVYxvGIuoSBSo+K7agG&#10;UhVG1dGO8agak1WdVcHWwaFK7Kv6pYqJhYoil4trqvn/f9xQTSdUI/UeYS1ijarujkqdU1Vbqiqq&#10;mh+nnqpPVkm8grUuzyuVhK2Nj1WTr+JW9Y1RlakqUZCqWqoKq+pAxQ9Uyqg6Xca06hWpunSVjkeZ&#10;64RxQwUD5cWRSjgVq9eq6pzK9Yog8mOuE0buqabzqnJLpfSqSFSpVNXcR0XVcEulA6U67Fuwem6s&#10;SYimfE8qmaDiTjV7hjqqglCwM6piqZKeiieqBsZFFaqmmIpvqYq1aj6GoA3sKZdsqqq3qgZVZaAq&#10;TqpUblUdUwnsJxhVGVd1J1U0Pnpe1c0qvRlqq/P/RVRQUFH1y66K2S19tUpHIemmx2VVc1b1H6uj&#10;KK9cORVXBXadjcrMo5+vGdSuShTCqeJHeZCqBRXkDF6oWtyxblslfNXcdPkGlu5wHYEFw92kMjPW&#10;51USVHPLoCNVtVDxAxWzqoE9z6USbLquYlYlPFVtVBWpetIkqwqd5zJVNQaquaH+wqiw63xdpQWg&#10;+jNQSauqUVVHDjI4FTOqyqhGmDQMRh4TVCWp/lqrGqPq46o+UNWBqvFVRaJq9FUDTvDFVMMp1ctM&#10;qgEaj7o++PuGqtlWdYFqLlFWhd3BmlQmBD1BxUk1XVW1Ey0y9lRdoJKpqj5UwW5MOrbBqdptlQpU&#10;1UrVXFfVeyq2q5JL1TNU6T6I3p7MqESVqIKAL07N/W1VdUKlq06jghlZXa+mq7hT0XIonKINVdO2&#10;SljVAE1lo1JLFU9U6VVSnqpNUrFApRsKTgVzQCOqWLoK/hQc442pinQVN6rJqOqTKtNL1ZHkMqIS&#10;J1Q0Rd9MJkZJz6JrlSxhqtOoxryqeqKOVVw1LFXCVylP1SSqRDnRTrEx1fjlSRVGfpBqvgeFrxrS&#10;VdWuqqJVO1FVv1KVnkqahHq20Xd2hhdvD081LVQcVUNU1S1UzXzldK2lVaWn6tNV9UNUzCzRKibX&#10;6EtUcW9GQ38lCtp1cFbx7SuoMHnrGzMd3sz9NKjhQSUYJWp0mLMquD1iKnOuxK4K4mleF6SqtaoY&#10;cc2FrypOqiimyKpoRqNYqIZdlcQlYa8xnxiolFFVd1Rwe5xQ8VgLWaDqFayd+FIHaYaqiiL77LrD&#10;j6KidaKvYAb2Gexao2AbWlCxdNVAKrg9rEoVi9I+1PsqWFP7Ha54AlXnqzip5FUV1r76j/JV3FM1&#10;sfNNqhL30ChJpVf58dFTVSmqlgrinopqhjp+DNopu8D9RuYWaFQlzqp6oypJ1V5SmZ2q59txVhWd&#10;jmfNrtIFQM/FOtVLVm2qetPxhzA7nVyl0wn+3qNqgE3fQGWTGZ1VQRtUcpq/S1N1TtU8REXzd7pY&#10;hqoXOypY64gqblSvQCVwkYdV1SmqiQbCL6sqo6okbOX9Vqd1cKoGVWOyCtaxBSphVYXg/esdlXSq&#10;cq3qrWq4qdI3i55NFzC7pFWvdlTCbIeLt6HS0zavYXHfUtUkquANs6oIVOyKqtPPHqvSXecWg/PO&#10;qzqGvReoEZyKL1Xf7ahoHMJTPSeVDFS2KZqqGi6oRhoLZFS9w+l/rResgaq7rsLyNKvKDdW3iaoX&#10;oBKowtExPTGeqCr2VLD5Eaqa9SEGWkZlVMO2ajqposkqzBRqVYz792Ap9bqkTVVPS87iqvaGalio&#10;alxR56vKLVUXqEpUfa3/D1SwyHGgMLhEVXVHVQaqkVRf3VOVsOodVTQx3qxUP2yqYB3qUsW0qsFW&#10;hFWVF1X9kaqNqbinqsy4EcMWKnRSMWxXJqtqXwXdsB9DldpUSdga84yqSlR1cRXWDJVWdZsqoX/b&#10;V9nz1ohAJZJVTahql6piW0XJNbAorVUCH4Hca/SdUlXnVV1UNRnVSxbcj3dVmIhmVvENVUmq9RFG&#10;T1WbpcVeuWJOVV9U4TpuyAhT+Cq1rcIhBO/kbKnGzCrFVbWjKt14rYQlR56qwNjYnvHJW+h+VjWt&#10;VKVV8VnFcTxFxY5QWZVO8lfHVbXX6DurkkZVb6jqTVWHORlQpRguXnOq8Ybq11BlWhFO1fRbKrWr&#10;Kp3KNfquqfpN1Z8xVW1V+uJVK1V9VYVLymWF9dZa1bWo+nV9BGnXS2A6vcouygHVYFVdmoqvVCVl&#10;gUFVvasSkHGEVBJ32IqoGpsjLlWl1qqBVNMZFQQ1FWaqwld1aaoOVVWg0lOXQ1S1Xg2HDxxPpScD&#10;Q1WDKllcVWFtulb9SaqfVgcYV6rGqt7gQuOcKj5h/Dio/tpRFVaFww1bKlEmqeqVigeqRvHfaLZj&#10;rcIxIIRwWp/lqzoctLuiopAco1Ir1e+kWmUKxQcOqXC4gY+eijsVO69SUVVNKSVxNces+hmfQhEV&#10;ZtrpPVW1pfISD1xVQUseV8V7qipygHqhKm1z+aWnCtMhnFA1xyq+qZKeqqFIOl+l4B7tcLV7moqm&#10;jGbV5KtGVLVOxVcHkG5akAZBAlV9SSWjqgb7o1b1rN5UCYwJIRU+o71yRSoItripklYF6Vh2VcxT&#10;UUOZJipgEKuGrrN+2vRe8o+Tqmal6nzV1w3lBoyppqWqeZCqNaoaVN1XRvXvy/ePJowQCtQEyUso&#10;dSReQavqXFP0pKqPqFpPBekU29j7KdGIWQgEiV54qCrTVQIKKXWJl6oBVdOuihaaMlp4Jb00UG8g&#10;lSvMEBU24XQGVaNQNW2pek+lO1d6gbSvajyVO0CSqiOVHiRSnkptqzq3QA9VnbfhT6CSyaouopo8&#10;VbGjqq2qJpXdsul1qPLfdUo1BVfwx6Wq3FSphQqyYIUqmE0rIdvXJVVX/blQ6c4wqqa4Ch84FPKh&#10;VbpN80NM5eXfOVSxmKpYqqpNlTCLJ7HeQ9W3nopdV/0jruqPVcwsU2Q4MVLbxhWDPPmkEuXoNfpO&#10;qaZt1YQqvqUazfqtHRUH1ZCu+jNUlQsVjNR4leBapfA4ZiE4vZ5DPi9QVYPX6Dup+suo4AvozP+J&#10;KrGvMmeAVH0wJxeo+huqKaIqdlTmsxQ+nHdV/KaqMqrCV7WRt3du9Whc9R5VmAT0rIpSs/09UEG3&#10;WUM7o6q3ztVC1fkzhUYFb+bXVX2yyuyHoRilkwlU30D2MFSpdNXva9VvqGL7Knmk6p3Ke/851R+B&#10;Cgbd9enrSk8lYipBn6UYpWENVMxTyQTVsKn6z5Oqls4ZqaaJLVUNqdqbqpp+qpce7atMXivJMLnD&#10;hmqEnWRyqaoDlanaraqYxlDVkaq+oJoCVXdaNSxUclvFElR9qOL4HvP5klT9lqo3j1xBqtINisJL&#10;535rtf4l8yGPVZmNvcx2KGuVuq8alio+HKnwHSZuWHrD2qHqhd/ou6RSp1VmW6jRqKqISh94bmp5&#10;zatrqpb+LY5UpmofnKoLVOVllfv1lao+UJmqvSeVXqQSV33nN6+OVF1MJe2HBqo6pmqdqompJKm+&#10;zanqj1TuMKCq16pi8tKC5FCxI5Upk55KPl7VnFQpo2oWqkpkU9kppGNV6anabVWXptKHc8VwpYJU&#10;MNsq25uSpFo1ryr8ozvG/KboY1W2apd0BR+pMpd0hNntHZVtiwunClB6EYVRNedVMlTVC9XkqVZb&#10;X0xuUNGqlo2+Z3h4xYKGTJqK1kSYbxyqbKuXoWp8Iirzi6RaNfo8lf/GW6riQCUCVRtRfW0Wct5W&#10;2VRgw5HKVKIDqYYtlUxTiaB6I5X5xlBS5oxhS2USrBpVuaNKeDrfUo3mrb1TDQw3CFyrEnqpt1Q2&#10;tt+oekxIH6pq+piE8auYyq56G6p9Ve+WmVpVH6peeKrzI9tnVGxLZcNxQlXtqZ77Ku6987pq7oh5&#10;qtXGVG5mRpGqg9ir2nsUfoXFCb9zOvYjqmqcCg7Xjlsq+wVeoLWK+arT0Tu3VDbwRRqVDrJa7let&#10;j0Zfth9DZUNMTGFWGVXu00hl3tzTgpZmQ8VWqgYSDISqNo/Kxhp3+ypbiU6mLKsGk5cvVabCt2+9&#10;orLvtaomprKVqAnq03OwirFF5yu7qqGGU1xlK9F9lf2FtJrhUFVPUZWtRIdAVaxVNHp0OtIpVE2h&#10;SkVV/2V/bA7dG5WYXAq6OyoWquD1L/ux1Dfg+C/6vb/Mj2111QWqclN1OtIppvrHvuo3e57d6mVS&#10;FRGVi/pLUzWL7/3TnoxQRb9nQ/vspyjz8bAOYDGw5ql4HhXVRFWgcn0N8ymHqj6DyhbnqMq26l2M&#10;kKSPH2HVy0JVOlVtPyK7yu5xCNE42KsOVHyt6jKo7OvHmKp3162lBcmCPl4PCOBC8I+u6owKuqjC&#10;rS/Rqq7Gxc1xlfugmyqxVpm/WBSYbcBXqWdRFVX2bYqq3fqhWfBT+ir74MGFUhBIRB/fQ5BaE/YJ&#10;TYdePlQlzanF+UBWuudJDwF9EZXUq0gT+jjpKjPsDtUVvN3W3B0EP7ZrlYDtaTOpqqiKfn1gDU1J&#10;9E7F4ipdg4qE6J091WhUha9yDYUWK6aqMx+vzOF8FcfmVZ2gGpNVA/MODPeWiUyrpj/hcNNKBdHo&#10;fkPmlorTw8RX2VRDkIQjvFS/bqggajhVtfXDIaayx4MUDqHqN3M4Ear0Jf6QMPpxqFJLlW2A4haY&#10;a1URV43ZVHVEZRqgsOwuUHHYG2KlooMM7HxMUbrKDTpOa9VAh5OhSuK+dnlUuD10qLKT8r1bYMkw&#10;+xWffjEpcxYqgao6j6pZq5RRdW6BpVVxk15ooWK4/1+Sqtj6oVb1C5W0s1zVWoULcfhSNZCqyaNq&#10;1yq38wefwhYL42NNm54E3dQGFwP2CbEfuyqM2g5Ug72/WbNWNeZvCFW6FNACmMeoOqMaqOtSuduQ&#10;D41ZpxCqFKn8Q99QTaGqNVtSTBQB2Ptruua2A8wmBkuL4V+6lNUpquFI5aVf1ippu6wcju0vI7aq&#10;Oug84zxmrRIiUjBH6cZL7ahoJ08qy4jpSFMtVHDGsqqmlaqGf0DRVXFVONCATdVGBp9zQ/XntgrT&#10;zyhmWn7wwf9t+zJ+N9XkYMyqElall3gIs2MQvEli6LEt1kbVBCo4ca1MmPPaVf1GnxyqGjhLZpes&#10;yV0tp6oDFXyzFQkqt/3Ilko51eRUOKcjghrTqbhfvdLflVeF53+pwu4XLB+Ra1UVUaXEfuyqfje/&#10;Eajga/rfpYq+Lv2ul11S+DgVfT3Qhghh6hGrKgIVI1WdR/WL/h/TZApUJjsIdp8LuVAxT4Vbb1Hm&#10;gQQV3/rhL/TRoUp/abqGsC6Idm3zVR88VW9UzWlVd6hyI/ISiN4af0p5Z1YSc6dqlqoqnwpPuTSq&#10;X2mzrskE6ff0wOG216j/qze19OZ4cWNlXVe0uVWcVH1Q50LzsnPtBmodCGox0/2oMqvwlCtP1S26&#10;moye0KjCGTI9hlV4KjiPurYPP/dIVe+rOk+l1ioJ+6lj5YkqyfxXKdJVak/VWhVQfvOaV/RmzFxm&#10;63RUqYiq6WlRbX1b5U7nlqqcJr/3gINqi0BkvCk7LJAmL9dtVe+pRKCSqCpdWwFUYc+H+SplynxW&#10;FVuoKtysLug9RFWtwhRKpta6rbJNMFR5vy1wcmQxjrWMdUKVNJ1XfkIlE1S/x1Tdqge/jOzDb0oz&#10;Ln9mpz/JwidB5DVuqqj+XKnEhgqvc5tNBX/gH/Cl99vUA60DVREazTddCtLmnKo9qZoWqpFyVzTB&#10;2VmMMjhV409d3lZNW6qBnnxtoCqncHqQvunq/BP7O59UMevwfnuALTciqnXVoJtXb9hplTihEhsq&#10;/Wgb2HIk2x8CtC/dvPrW/cJjVYVpcPmAKVI1+J2eTCp3lQfmP/l7TAZbEoNGstyMr/fiH0/V4TCH&#10;OTm4c72ZDqTXt2vViXLFTqqaqKoyDS7vKvEpUmH5XfyTqgMU5cEhVeF/vzJNG+RYldpT8XyqGr7q&#10;FypOVfuIn6bMh3ZLVZOkGs+oOl/ldSYkPkScyoxrr6vRpnuIikdUAlfyt3ZFnG0TrKpRv9Vc51H1&#10;+6rJqigd0LSusGyKoFOq3SFkX1WZr7wuDoMd4GzQl1HVEZXXwz/RZkhUdQtVO3hXzKj4tK5G3yep&#10;+jMqN0oZqEbszpROZYMOIy0s72o+VDXg8LC955rBfay6rSqng9eOqmMu1Zu9++tIheW9pkNVd0bl&#10;GqPK73j1GBjqVOYEVbF2H75enepNnFaxmApWVTRG1Sp3NoY4qugfoZJhwGBpNyUElS3iTbRLqG/P&#10;jKrJV9VL1WRUrpLi0S4hc/fsCVU1Hb3snSNCVWU32tO/4c5PGe0SMtdIPFCpUyrhqRrvvdwMk4LK&#10;K0sbFVblbuJMqiamGmx7l0F6CFewVEzVPEbF/IarhLacS1/WeaU6XmFNpn7LpqpJ5b4roS3Hrcq7&#10;aGW0wir9aes9lTylkqQag8eTgHqztqrgrMQqrBpUdU4Vj6h0DdWYUx4CYhXW9DCVV7mxHVUVqbD4&#10;RMPgmVSKjjksVYJK/0pVRCqsBj/vpIqfUlVL1Yi1uf2F8NWuVGaiuj1WiSRVv2j02XImV6p69a06&#10;t6qLqQaY+St9lXd+qtXpa+nzzCGzqCii3/3yANOCvqr0VDjTFZS08yp2SmVarN2ieWX/jSq+LuH+&#10;XUmf91hVB3NstT3l4cLP6B04TbbCy6Qq1qrK1j6oglmcKt44Royr8A5V9WmV8lUKMq62nor+xuh1&#10;LB+jCp4XpLJllz4YVdE2e2VUZ3advqWqvQvDzJw4j7dDrYofq8ZzqiGueuldGGYykdfxLio3B8qs&#10;ar1nq35Jnaazcj+nvnMd76JaVf1o1Svvw5hpUzVxVW2KQj6VCc2Xvkqw78x7MebE5iqKXcGGLG7h&#10;fR5V4z1bUfWt+QwaeTSq2D3YJqiGc6oprrIfRmmmOvxOtGbA9yh7gFyq2gVf2e/5CZ2sKnYBXTaj&#10;6RGq8HthQieFKvmxVGKtGrGEO1VrVGKNMgtYpe2NZFSxpaqyp8CepNhwTGV2FxNZVZKZqLRQxSOq&#10;SJuhcSq36jeXKugO+m+V7tIVsWJFO6TjmtXcqmGlajzVtNg+wbuAk0hSnaxFqUMYqFxopFXBzRYp&#10;VtzuLubaZ7lUVThfYlo3C1XZ76jGc6qzVzCi6lwtRJcO6woVuYJmdzEvOjOHqmM0UBeq/PwaRhWp&#10;rdjzj6oyRRcK1NZoNnO3xeDaHLlUJa6M9S8qn8wpOFLhb/Z5VX1c1XiqcnM+wp0sb6FQjnsQVXKp&#10;ar2/7UDFU1U8QeUGP5SrGAZmit3OiwqCKxP3VTjrJXyVd+L6M6rmMaoiVHn/6PEoHftiR4URkKf2&#10;lk1TsYXKvLHDoyidF2z71frNq3yqcamql6oXB+XdW5KTTTUEv8v8ugfuZLmvYn7zKosKZlP7paql&#10;L9U5Ve0vfskwfoWqzv/d0VUMRiV0F3+3vHvvP1Qdj7dHVH5bS+Gdf6QyuylkU8HvqYXKvk+iKoyl&#10;2LqKuVVyobKfIPDGZ+zdJ1AFZdBfJww/0TGaxyr7niwqsVR17hak1ZhjMG+58Wrd+w8+7XiO3qm8&#10;K2APS6rhCai8R5odU7O7LX0ylffwoJXXvVnuha8vP43KFkdlVf7nP7tR2gU7EenkqRr3De6AcJBF&#10;oYqrzj1xzqrkWmVPG/xgmUsNVnutX6daMvBpl1Tuy/GMykSRn2q3m11tklWjO/5Al2ZxA4bPxNr8&#10;1Jzhh6gGV131pJKh6lXwLxsdzXOq1ELV+/0C/DSrKsRaZU/lmVG1y6pu0Y7xJ+CwgngbqGya5DMj&#10;kPiHJqha+2+rkksVi6hc7FP7QJWXn0lQKbaAL2Iqm32qPqHqT6q6hcp7IrClCvtfi1uyMSfrzKxl&#10;qspRlio38vg8pqrNMc7M8F5UeWE8dMs3TgV3X/CkZjbdlD1ETpUpTMNa5UavoEQVi8LvIlubk6o2&#10;WdUthj6CJQgdi7zcOqv6YSrlD5zjbWBV8bZfYX+T51P19i+Gl3QqeU7l1vmeiBf1ZxhOqLzhWU5f&#10;Uvlp7XWzO7iGLztveCLi95pq9FTmVFjVRgxPTWEZZyLJE1Xc/ateqNShSlJ7pj2nqqfDV6jq3Jvs&#10;Q9eqNiKLOMWXnl75ckI1BCrp3jRgVe6p3qxFrxgOqzZuZCqnin5TuMveYzfemxb8sFa9ZjiA2bq+&#10;en6Vy7mhj95ZFdbnkSkKOH2jac4crx9MGYK0FBOgol+qIJWgTAxFbIZXc9+bPD3FoersYF+g6vSo&#10;EakkTr0VJoMoBPutVBIuY+Gik7KqkKL0WTGqilSMloBWMZUCVekibk6oTgwVBSqpY+foBwJVJeU1&#10;ZXpTzdUL1jQ+twtYm8wq857GqqhmLCmvqdfz81Wmz+hC5bOrRgjWnuhrXPENa1Ixla5cq/hoVYqZ&#10;1ZgZVDbF/kSrg6hNQ/s/YzwmLowWERV+k09uddbxyuLTKkqqqz/FqiiNc0f3YSyewXSs68mtzsqu&#10;knps3XQKKJBd5wiEEl/GVZ1RmRVHGVUVvcVluVclqRRFZpaRKAsvuM4u6T7OOXBisM+mR6IdUm3o&#10;UrVQVUNU5R4HilFEYl4VbDNtd/40BVnSuAs/UnWMOod5VVCt28SZlDZDh/5zaAzGF+K4BMc0c5ZR&#10;VcNXUEU7Ff5EEKiJq9yyugHL57HqxFCRU+FWpHY/0sZT6YvjehXeixKU0B9C+0BnVeGtZINqaeuH&#10;mq4i24qAVMyLOi+yqhoz9Dha1XRGRWkZUaUeoMJ9d0cTV2w2YNMjxpCNK75wMMxQhM2/vY9TiSpB&#10;RR5VnRlZfE2qcks1Mi9CGvKeHalODMqYPfMot5ZRqcpTtcxkC4uoXHcbz1oWlckmIPHQZhMhSdkP&#10;oG+1o2q9qIwxv+rn1y2qGviuMKpvGHa5eHzxbusNmAwMY5b3Pq1j7NSgDAt+z6r8lc16Ljy6btCo&#10;yseo7L/MhkvBxgTvtlUNqEyj8XEqeMvIpoWqGbZUwrz/4aqh8FVv2UZONRPv7RoNR6X97GBfVNUH&#10;KviNfktlP0c9TEXH7Ff5mzYC1mpvFxfFjmvRlCu42iOsW+ZvKjZVbphFsuMnzi0V5NoOVSqq4t7w&#10;3RmVa+YnqWg5ar1QbTwGTVoe/UecaslcUylaz9ksVBsPnKXqsC16S7VKs7Ot6vDHk3lMP041gkoE&#10;nx5FmW4qNs1O9HEuqkpUTadVECBZTja53uNUmKo5UI3bqjcueVCbSyUiqr7cU/mBtvrefMNsoqXp&#10;lKpOVWFG1c4sjbev2nsMfhmoBDQKW5tu7CEquJtsDveo6tlCRUlDukercO1PoOq3VIxRMpruzKha&#10;ykovpxKoqleqLq4qJpvTSGEF8RAVnCVxXjXiAgduV3I/TrXOruGnmnu5VHUmw239IBU+0fzsGt+h&#10;SsVVbLCLjOSZ8fYbqtHPrvEWVXJDpYfiBpPAqM2qcuNc8I7BZupiJlxgR2UW+rEz8zg3VL0Z6PZU&#10;YkP1lrJPPVI1rlSUUMNLcb8MNyTVeGom7uwE4ULVTNRqJ1V5qKqxSI1nZi3vqBR3Kpp/8+ec38RU&#10;zXBmhveOijaC91UftlUNVgr9o1XCU3FUvd9WtZjeoT8zR39L1Ux4fGYfNceqLqtKV0SVe9P8GZPL&#10;I2BV73ZVHZ7T+pGq0V/aTw/Atx5jEdcwYeoedSZnZrDw/JoKRyqOVNRk1wFH7YNUevDfPHAC1Q+b&#10;Ksr3qYMLMqrESkVVO4UGrlXvV6oR426nk6oT00sL1WSrdlJB/cC+31SZDuq5DPzTdRX3VZItX2vV&#10;9FgVbE5qNgneUoVjkdyqTsT1Jam8VSUrlTijEo9VQcLcxlexA1VtVSfyQN5RtZ4KpucDxiLiCf4E&#10;ac/akUpcVQl7OenEVHuq9vEqGIA0h4VP79eqLvgn/Kqy1zKjyi2m0V+Zf4FKP5b5oaqz1/JRqjEI&#10;j37LliGZocpUUo9WTStVE6rUWuVNOTxCpd/ws6/6gVEKumPV9FCVedl77Vg1uIPkU7mFQVFVWJMu&#10;lihcUJ2YpD9WFccqu9POx1OVx6rpU6iEz3ApXMpAdWY9zjWViqmqXVVrjsJzqmSg8pvUw4aKxVV1&#10;dlV7VyU/umoxh7Olah6n4t5P+rjqy1DVmKO02VVNTNU9QiU/jqpOV50I39lWqbiKbaia7Ko6ppJP&#10;UiXSVPUplbqgkrX3E/YUVeM5FTdH4TlVYks1HKvEw1RsS9WnqMRZVXdKNW6qOvPh9TnVuZbMOdWw&#10;qVIpKpZX1TNXZO1IOwrPqWxK8gRVe6TqsqjOt9vPqdSmSljV+NFVMlQ17if2w+vhUDVkVokt1XhC&#10;xdJV58INWahyv+8odc92XpX5rHO91FOqcVPVs6/oc/UkW/FRVeGyVF/V2WQoWhXN44mXEX85q6oL&#10;z5X3+8qOyuoJpuqjqlR4rvytewqrUocqlbe0y4XK/USUvornUg1nVGJT5RZ26QiLel8l86rYlmp0&#10;C7u0qtlCYXH6WKrBVZ467uNApc/kuafzGdW4qepdnL1WtR9TZT+Y/u2HSVOc/fdwnqZ9FUtTNbu/&#10;YlvBa5Uq6IcUeRkVwS1wQXVwrrpNlaTFnYXU88zRpbI0FjmFs8kZzpWi4xt8EHYIqlLqudNyXzV8&#10;JJUOeTpUlQ9SSTq++beXQLClDL9STzBV+yoX436oGk+oxJaqZ5Ov4juq9lEqiwkmCvGzlJ5gOlB1&#10;eVXm8OYtVqXKQBXvUDxINS5U7lzJyqnYoUrpzCDZVG7seqnSMbYpqjKjyo0SL1SjTba1q1K6Pd9C&#10;RktxcvzqhKqjw9dLFSy5PKMqH6BSdHj7Wy73VWPKMPxOs6kSuFiPP0DVLlXK3VnnVHVGlaDD228Y&#10;FQSUn1dBGyxBVe/+Ch3dPZNtcq76pKrSqjFBdbzR2Kq6MqqBYsLPq1pxcrz9WLWqroyqozjnEyqJ&#10;+3dP+VSmunK/ZDbrsR1iUrUHqiKjylRXzVIl3G63mBcovlbWqHrMzJVJJZcVw2i2ouOnVQoWE1cZ&#10;VavCPpql582nU5mywt23TBAcnD11QsUVZsbTy73yqMwnte5bCJTeXqmoim+wUj1C1S3rBaNy81hn&#10;VDozXj2dnUs9VMnVBRw5nkP8AHFWJSChSiaVWNYLpOoL7+dHqi63al2sUGWCGtiRqiQV5uvLozIf&#10;5H0LVWbQ/aSqGnGNUIKKb/+Ynjd+cAGqbA4zT9VnU4l9lVrfgqAabcPBqL4oDlRFPtX6FkTVUC9V&#10;X++rBkyiNGVR0aHrpapv/SusVS+2VXWv88HlU5nnTbs6V/bwRvV6XwW5hDKpzOcEUv/EqZOqMqeq&#10;W9+CW6r3+yqFi/WyqOgWDCJKA5W0quFIVWdTifUtGKqEVY0bqgpVErJ/nMoqPx1k7FuOtO+oij3V&#10;oFVNgkruqZYj7WsVfbJk5bja3cFXFQLSB2VRmT++PVKJbVWpaFolm0pFbsFANVpVdaiacqlk5BYM&#10;VHSJK50x4kBVmGR/t1WmaGyq+mOVLldjTlWkf7NQkeNvekhtW9VQ1Ece1bozv6HSt+m4sdnf/ARs&#10;aI+5PCrzKe2mSn0CFRX2xRF8ldxX/eCpeC6ViN2CgUpYQLuponJVZ1KZwr74caj6+kjFr6jU+mSY&#10;13JTm4jKreKPqpSnarTqzJ7FByrzIc2manSrraOqjlS0XWEWlSnK7aZqcCuI86s2ypUpyotvh6rR&#10;U6kFqvBVU55ztR48Xql6t810O/BdVZFJ5da0LFSN9yvlx1aZUsK33zx3XP6/J1W4Zv2+yhT2Zu/N&#10;/P+xqnpHJUhl/sLrKnPsdvvNcxfh/72jKj1VlUdlh3123jx3ET58XJUpVnurC4WbjzhS8TwqU1vt&#10;5UkIVE1cVaOqzqLylh5svzCbzqGqzaayPc5m+72j2fD9UIWHua8y9cLeLTiw0qn6ZpUPoVqp6psq&#10;W+fsvFentXKqdq3SB6+lHTy+rbL1wl5hp7RWViW2VGMmlakXDmZTTqqG1CvYxVX2YjS7f1EdqNiW&#10;qsukskfeey+O/tDvRVQw8cvzqWyx2l1bKLzk0VGVpHOljKqxn3pFZYvVbgYcb7fD+QpOh6r+tCpe&#10;2m2x4jtvHU2+eL0V4rTMjeyrZB6VPXC989aB2eTRL/ZVAg90U+Umr9qdt/asDFSrKa96pTKHO6Mq&#10;1p93prAvVf2mimVRKXPc3dQNHY6z6NfrQ1VzXyVO3YIKx1n0631cJVD1IYvKW5G0/9b6hIpDNDCp&#10;3GlOV7nDN3tvlTiioV+YfMpk9FyeqzwqW6yOVru3pCpGCqYLVQ2p3rFlVtErKlus9teyu6h1VKkt&#10;1dscKlfv7Gdco146g+2WUPUuohIwuHZb1dnD8r13ji5bGqrklur7HCp7AY9C67hRVXFVK0yRv6IK&#10;f8V7nLVJKrFSsYXq3B7rUZW7A4+WiNVGxR+vchdw/xaEgF9fxaKqJovKq6H3b0EMVvtIKu8C1gfv&#10;nE6rvr+rchfwID5ZFk417asKeVPlP2L33ylKq6rNpjTm3d/A/37IppIOdZAXyy34RtWwUo1GVd5V&#10;eadqv7CPZo89VE2B6ruoyqVdSlT5F7A+UNWhSr/VPEJfhSoIY72h8u7Aw6UnzbYKS/1gVPyeKug8&#10;7b+RVINVdccqWybSVJ2HOkgUZLY5sqV9R1XfU3l34FE6284lljtUNQpL+0WVfwHrA5VLwodXUHmq&#10;bqGSd1RB77c5eGO5UMltVYsqeU0V9J3232c+IlT1cdVEKn5J5dcLR1mx6COcSjxKJc4XdpOTJKqi&#10;HbKNqrinSijstAmGp2IuL+xCVd5SpRT2kRr1pBJ7qsqo7F+aokop7APz/pJZBdNMMVUtYC+h+rKq&#10;SyjsJie5VQ2+Co6K/6r1LFwu1VFhNznJrarfVtW3VH7FUO+/zeYkj6rKpUrC8Vx6nBSV9FRtqqrb&#10;VjW3VF51dZhZ0CSisyq1rWpvqbxTdZjL1pSRHVVpVDQseE3lN/n4kcp8Qm9U0lNVvoo5VXtB5Vei&#10;zXTwMp9gVcI6QtUz3ElZq1xhvag6QoXZv/dU7KbKq9oPi9UYZP9uQPV8qerswW6ovEqUH6pchB6o&#10;ZKu7W0cq+/ZrquZINbjoIF/V5VephGI1mLNpVB90F8I4eFQ1XlLJ88Vq6mv//bPqvW7yleqRquM9&#10;RLpmoXqnK6tS+qqqs0dD1Wpv0zMqYVX1dPSyKhlVyXyqhGI1qdZXzQ+67/QNuFCpUDXcU53ZmsZ+&#10;QSoGS7lEdtXJ+Td8/Wi+EFbFnaqOq9xNdEXVToevnxYqZTeq8lQyg+pcZAW97EVmVlVvqXgWFT9G&#10;jfZ3PpqqOVaZpZa+qjlUubvovMrt0XCs6o18dKrWqXA+wiQV5NTqu6U6U6zMAlBfNS1VPKfqRG01&#10;dfZSnlPhFeQXVOag9QnVr2uVvz13XNXfUTUnVLa6cqpyU1XfUanzxcrurUKXXdftvqpdqqBc2dbP&#10;BdWJXU1MigZPhQMvWVVeVopTdai3SKGzKr5WsXyqejp+Dc1SxZgfso0JIWungnJl22QpKnG6Dl2r&#10;dBKiPZW6qzqBcpUoSfSQWvsYVUJh74K3n1a5y5CqOlOzT/+wX2Fh1ENqQShSNtV4vrBPfy1VnT7G&#10;oco72WfrK2rINGdUv9mvhFGVvgr/wpf5VGdQ0+9LlVqrntvlckal0lRwBbGWPvW8mf5jqZK6PGZW&#10;Mac6dQt6L1uXn1D9eUHVnb8F3WvEHTZRJQPVNyvVr+59p1Xq/C042K9GWOSp6ydfVWRRFYmqfzkf&#10;zkJ8OKVyd+55lTxfMbhXj2ND7yOq76yqSVd1oapNVGGv/V1E9a1LOK9VjddUPKeCXxHnqyvv3ThS&#10;9ZaGzvRLmim4fKpz1ZV7KeyP/sCKn45Vv1xQXaquVEOXrfzJnO355FGq+fcLFU9XjZdU0qiq38w+&#10;u0b1Lale3VclVqI0fTO/+F/HqjpdhSedT2kvYVv7f5qdko3qOwqWuaXqz1ei3qswquZP+rus6q1V&#10;1bTK6YKqu6IaS6Nq/2kaHctz9dqqmquqZkp6jZVVmSPoyr5aqdRFlbpStQ/cqOwRVqo3OFLUTMNl&#10;VRpK94ZRBXsr412sYIw7k0peqdo7sxZV13MiVL21qopUrf+p51TiSiXamfWVUdVbLKofXaWMSte+&#10;7EgVfOo51aWq/Vdv8yOztc9S9Qa7P83iUxNUPFH1m1HVa9UPsLTknircc+3s62ejamx/ElT6oMqq&#10;YI6+vaIaLqm47RDaIeh6qWpuqPorVbt+3gpTz3UrlSIVu6y69sBpvCasyq5q7Uhi0kvXQLZGkU7F&#10;F6rWJfdNU1164OgaSJgaBS8l7r+US3XpgTMZDF+phFW9gYCVaypxS1VPdtYaVKrIo7JPs0uqxstE&#10;SqrCU9WfTDWEKplDda2H46v6nXPFr6maaz0cX0WVKJsyqq71cHyV8lQ1qAoJi4Xe4O7dV1TdbZWM&#10;qV7lUDX3VQWqSrlULT/1jErdVokdVXlRJa88BgMVW6sE9Ceuq2jt6AWUqdtHX9UsVMVFFbv6wDEq&#10;U4nC7HMjZ5U+/aj6jk1itaT6U6gqkUH18vIDx6iwwnuGc+JaVRrVh1nVXlK9uK3CquXlQjWA6tVF&#10;1fPLj0HTvsKq5TUsJyFVgctztKphV1Ts8mPQqGSgEpX0VK/TVSqn6j1+1QgequobqvqyqqKqnVQt&#10;qJhRvbmlam6o8AgDlrBZBaW9QNUHxj+NatxTtbdU7RUVW6rgCtaz6m9WJaobqisoalpT1d77Kvbp&#10;VMNCBQOlLUNVSSrJrqsuPQZpv4l+V6VuqC49cPDtJr4+pnr/CVRYe5YyUE1zPeqrutXBz6uuPwZt&#10;rPZCVdEVTFfJWw8cqhFIVTxAVV9Q0b1X0v3SoWpcqPqPrApTXpGqWKqGG6rmgqp7uKq9oJK7Kk6q&#10;8SOrRKhSsNhTZ8MSOrgdRiI/wDjU4gY/r7qAGm2k6qNUVx44Q7iteqASnkpcVl2p2rtwq/ClqjYq&#10;eVl1pWqXVVCyymwqe1R+QQUjnp5Kgqoclir1MVV6idSDVXW6qqvCGmtT1S3/5tOqJl2ls0DEVROo&#10;GqPqL6vadJVeie2rKpFLdaNqH1wUQ6CqtIr7quGyKv1UdXxD1RuVuqu6ULWr5oxqvKO6ULULoG2p&#10;GM6eXFKN11W4MaKv4iyiGu6o0h84GGGyq+ruqvh07RVR8UA1Mn/7i3Mqu5SxzqB65lTQ8JrUXVWT&#10;R9WCqvg/qUpZ9nmoekGqbq1K601Y1UVU0PciVU2q4ump6lCVNiaTskR2X1XoxB8LlbyoMge9NEwU&#10;qErBvsJ4jSemYkuVu4Jp84PmoJcGrwJVZVVNV4KqvKwyNza/reJOpYzKXcG0OXqjqp+kqrmqslVL&#10;Hape5lC108WX20dnpap8VfhnH6hkPhUzqlZVmVRXUd6DdEfVX1NdrtpPq+oUlbhZibqm0LRS8U+v&#10;Kh6guly1n1bxFNXdqt0L+rAqnTVPq+q7qnq6+oqppFHpKzFcVzW3VVVGVWy/+Qeouk+l4r6qBlUz&#10;icKqwvvpnOoyytttmel1cFb1AlTlJdVwt2r3tmFneq3EE1PBnqgdzI7kUl2v2rdUYqH6LkVlchHe&#10;V7Wogp1gZAOq+WpWs6oAVfiHf0xVsaVS7NUFFb+vmjyVWKvepai6uw+cQFWCqnAqPdpAqvCG+kiq&#10;IlC1WVRNBtUI63B81aRVBarep6hULlV5pAoZp1RtHhWH+iqikmz4JKoqUM2OOyqZVVX3OnYBVc9B&#10;VRvVeEF1HWUXM+p7MFTpG2BW9aQK/vIzqhsPZ6ey56pcqHQ+iSJJJXKpIO6+iahKVE3pqhtNhqjq&#10;x9nxGm7L5tOqYOPUllS6hnplVMNV1Y0mg1G1RyqXj/xYdbshY1S4T+mgY61yqfhDVLoKa1ElyhTV&#10;mEtV4MbYC9UAquqiqr6hGk6qZPAhH0dVrlTPQTWxqk9WpeRSO1aVRjX/q1uq1CdQVbh146Arh0rn&#10;du++mUvrp1P15n7ZVOE9aHaCOKHqbzdkqI29Vunv9VZVXVDdQLk8NCtVPen5Z6Pqzqu6+yrlVLo1&#10;Y1T9bdWdhoyvqqOq4aLqTpPBpWMb1qoOVBWqgoftrko9RlXB3e2r5pKfqrrTZHBJ4gZoY7UdqmDm&#10;Rs+pXlDJ+yoRVw2oGq+r+B2VvYsHaPkFKnVHVWdTTTrA0FNVIz5x9P14XiVuP3AmW7eQSi1VA6qG&#10;86r7j0GXug767L6qBRW/qmozqwajklbVJKhsm/v6a1iqpK/is6onVVArfjyVLlzCqEbIbcMHUI1J&#10;Ktvmvv7qbY3XW9WYQ3XrgeOpyrhq4KAaT6uuJdANXrbR56mGe6ru/gNnSwWb1ct6fmQPHKv9RBW/&#10;o1JOpS3SqYpQNX18Ve1UYqnqU1XukDdVjVXVvko0RjXpRJYnVbbFdv3lDoEx+BlUGR7OttHnVPzT&#10;q0SoUk6lOxGtKe0pqvsPZy9fcVdbFScVu6IaM6jYUsVIJZaqH/23HavuoDwVrO1YqxqtKhJUGR7O&#10;ozsEqnQoEWx/JHQDZkIVPLjlSVVKdvtdVemrBKrYPdWth7Onki2oCkGl3arqNFWG/rwdUyNV97KY&#10;Gwq1VnGt6lFVJqgy9Od7TwWf9qK8q8rQc7YjfVFVQaouRSUeqBqtaryk4ndUdqSPVn0FqjFQ/Rm+&#10;b/OQLKsKasn+eRVT6euhzqkyTAH4LTRUfeWryklPgqWphmyqRn8J93LPSDUEKn5e1d8fZfDbjUal&#10;7qm6bKrWqmaMUw03VO0dlWteLVR61e7c+tOqBmdLunMqlVdVoapeqKZElczVvMINkoyqIxUMWXXJ&#10;KvEA1WhU3VUVu6/yGjK40yWo+pWqmX/Un1K5ILMsKtzp0qqUr5LnVfcDWIOhJqNqnGruCepPb1NU&#10;ZpP2+yos502gkk41fULV2K5VtVG1p1VUieZqXuFLT07APagzNfQwv5SmUhlU66EmUDW62lmqhvCN&#10;G0eUeZtXnkr/F1RNukpkaMicVUXeuHFElrd5ZY5KU7kwEZeucnHpmVW9U7WXVe0dlVwdYqmCikec&#10;Vg0PUY2kwt03p2SVWWF3B7XeA0yrKk+lQPXj6o1bqi7DY3CdId+oYNLyT3OuklW3HjgTO6da/+lb&#10;KvVQVX9RJTM8cNY7k82qwap+NeVq/advqUSGB85apYPVtKorr6lyVO3r3QSsqiJVlaTKUrUPmyrF&#10;5yP/lqzKUomuVb1VCU+1LrwbqiyV6HrnBT22B0NotacaT6u6HKp+rfqCVM18BX+/qrpXta/3g+if&#10;1eMNVZZKdN3o60gl2ln1R7JKZKhESdX436k91X9MGI+J3eozKpahEo2qfkHVhN9OU7nVpHdealW5&#10;dA2q2CWVqa6a6c5rrVLNH6Ay6yQgUvu0yu4bc0slV5WLav9Tq0ZQ/RuphrOqLNVVVAXtllnmq+qT&#10;KpWjuops1hSo/j1VJXNUVxGVRNX8LPTK1WkVy1FdRTZr0qoffVWToHKL3x+jmntfnqo/qTIVQz3d&#10;eY1nVc05lakYmunOK7KxFam6+opKPUqle8m/6ir+ikpmqUQj222RSjW0ilG0CSqWpRKNqH5ElWwv&#10;qNx2RI9QSf1/F1RDTlW9VCn9n0DVnlKZp+DNqr3fVBVWNZ1XmVvwZtUe2aGzRJWOJ5pSVfLBqrG6&#10;ojK3IL+n6ta1C6n4BZXNv1pnV8EYQzvpNTD498Pvxd66+tbtnKKBKvh7STUZVXFe1WdSqawqcwve&#10;fOBsqfprKnML3nzgRPZYdaqhSFWJPFX7adU/zqhupIuO/HXBQWDsamicCn765/qta5W9BW9WojEV&#10;v6yytyC/qVr/aaAaL6m6J6myFUN9DzWu/zToY61Uf51R2YqhuacadlUYEFKdVpmK4W4lGmleYc+v&#10;vqIyqLuVaFaVra7uVqJdRNVcVdnq6m4l2q0LJ6r+zam4/t+/n1DZ6upuJarWqg7+9e8T1fKk+v2E&#10;Klt1Jde3TGf/dVlVP1LVJ6psJdrcVIn1jbxUDadVthJtp3svllOVq3U1Ro7i2nekqs+qclUMMZWL&#10;n/VVfxyrbmzGEb5iy0c9Fb+m4k9JdXszjj3VrwtVf1aVqzPoLy/ZVjUnVbYSbT+aKvLaVN1ERRe1&#10;LlXdWZWp2u9WV1HVT0tVe1Jlqva71ZW3pjim6q6p7lZX0QXAl1XmgcOnmy8ZUf3sPra+pGryqMLD&#10;uAuQqMpVMZxSqa03L1T2gXMXFV2WfFd1+xb0Vjq7g3P3sU2Kash1Cz5Exae7r0jxHOubqnq6+9pX&#10;wbKS2GhMVJVnFnWKL+H2VcD9devdG6p2uvmKqtzfmqbqclUMMdXgVFh//vaxVcMDVLfbMdFF+Lj3&#10;H7zUFdX9SjSrSuWqRKMq73OmCyp+WxVLDbBS/bz17o+p+p+rKpmraj9Io4Cq37d+HFc1mVSb5fMp&#10;q/5IU7VPSyUyVe2RyOjgha2FX5JU96v2/82qf0tS3X/gHKmwDVOfVOV64Byp8FnTfBrV5sm4otr8&#10;E/OqvLbp01DBOAiuNj6t2jxYqmrzZMBz2WtvnVFtHiyzavPdoWp8yqr24Sq4y//1JFX/s/nuqOo+&#10;6kjF998dqobMqjajKsPD+UAVWVbyv1SVocnwv1NVp6syNBlItfXTNFWfTdXtqiLLSg5V/PGqJl11&#10;8If8n1VtTldGVV02lcquOnhLBtXmJOrHUG0+JP7vqNqHq9QnUsn9QbWDj4ipMqCyqtTHUh28+6Gq&#10;zQeqPHh3qJK5Gn04uPO/TPXrwbsfquJbP/3x4N2hSmRTsdyqHA3kA9VPB+8OVdma7dOJgaKPrxoz&#10;qiKrbh+jOvrDH6Qa9lU/H7w9UA37ZfR/veqgA3B0OQJVvs7EvYGiUJWvM5Ff1Uz3X09TtX+ko2GG&#10;UKWyNZD3m9r/F1QyW1N0XzU0n0a139ROU+VrXh2o2k+j2j/rw9HbAxV7uqosjb79DkCSasynEvlU&#10;+UaQ75bQp6/KN659t4SuVfyJqbonqVLZGn137+ZHqq6XUF8ln7CqyaC6W8f4KvGEVW02Fc+iYtlU&#10;d2u+tSoDKqcqX4jF7U64p8oXNnC7E+6pMuwL9/83qi5fU1TdrPk8lXrCqiyNvrvPLk8lc6vaHCqR&#10;r9H3NFV3n6ieiuVWXX//SlU/LVWOPfTCPzCHiiINm//jqhvPLqfq8zX6xv/rqi5fo+920KJTqSes&#10;ytK8yqiS+VS3h5yWqizNq4wqkU/V5VOxfM2r2wNhT1w1ZmzIqGyqIbuqzqe6cagHqpocKplNlfHh&#10;fH/Q0Kq6jCqRW5UDlVGVsclwfyhzocrycL4/lGlVGR/OGVUi3wPn/lDmI1T3V4tZVcYHzv0BVqPK&#10;2XO+P5S5UDVPS5XzMZhd1eZT3alkFqocqAyz6qEqT9V+P5QyVOWp2sfbt7N3DzYqTyVKdV+bQ1X9&#10;ay4PPI/q/3W35rN1ex3dCPDq6/bOhdkk/iuyN8kTUN18fVZ9Vn1WfVZ9Vn1WfVY9tddn1WfVZ9Vn&#10;1WfVZ9Vn1VN7fVZ9Vn1WfVZ9Vn1WfVY9tddn1WfVZ9Vn1WfVZ9Vn1VN7fVZ9Vn1WfVZ9Vn1WfVY9&#10;tddn1WfVZ9Vn1f8a1f8P2acOYnwD6bcAAAAASUVORK5CYIJQSwECLQAUAAYACAAAACEAsYJntgoB&#10;AAATAgAAEwAAAAAAAAAAAAAAAAAAAAAAW0NvbnRlbnRfVHlwZXNdLnhtbFBLAQItABQABgAIAAAA&#10;IQA4/SH/1gAAAJQBAAALAAAAAAAAAAAAAAAAADsBAABfcmVscy8ucmVsc1BLAQItABQABgAIAAAA&#10;IQDV+MiEHQQAAKQKAAAOAAAAAAAAAAAAAAAAADoCAABkcnMvZTJvRG9jLnhtbFBLAQItABQABgAI&#10;AAAAIQCqJg6+vAAAACEBAAAZAAAAAAAAAAAAAAAAAIMGAABkcnMvX3JlbHMvZTJvRG9jLnhtbC5y&#10;ZWxzUEsBAi0AFAAGAAgAAAAhAKI+NKPiAAAACwEAAA8AAAAAAAAAAAAAAAAAdgcAAGRycy9kb3du&#10;cmV2LnhtbFBLAQItAAoAAAAAAAAAIQDDqRcG1pIAANaSAAAUAAAAAAAAAAAAAAAAAIUIAABkcnMv&#10;bWVkaWEvaW1hZ2UxLnBuZ1BLBQYAAAAABgAGAHwBAACNm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alt="pandanus" style="position:absolute;left:1024;top:4703;width:5708;height:103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gQGsjDAAAA2gAAAA8AAABkcnMvZG93bnJldi54bWxEj0FrAjEUhO8F/0N4hd40W8G1bI2iiy0K&#10;vVRFr4/Nczd087IkUbf/3giFHoeZ+YaZLXrbiiv5YBwreB1lIIgrpw3XCg77j+EbiBCRNbaOScEv&#10;BVjMB08zLLS78Tddd7EWCcKhQAVNjF0hZagashhGriNO3tl5izFJX0vt8ZbgtpXjLMulRcNpocGO&#10;yoaqn93FKsgn0/ZzhcuTP6+/8rLMj2Zrxkq9PPfLdxCR+vgf/mtvtIIJPK6kGyDn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6BAayMMAAADaAAAADwAAAAAAAAAAAAAAAACf&#10;AgAAZHJzL2Rvd25yZXYueG1sUEsFBgAAAAAEAAQA9wAAAI8DAAAAAA==&#10;">
                  <v:imagedata r:id="rId15" o:title="pandanus"/>
                </v:shape>
                <v:rect id="Rectangle 15" o:spid="_x0000_s1028" style="position:absolute;left:989;top:3418;width:5933;height:112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O+P8AA&#10;AADaAAAADwAAAGRycy9kb3ducmV2LnhtbERPXWvCMBR9H/gfwh3sTdMNdVJNiwyFIThd1fdLcm2L&#10;zU1pUu3+/fIw2OPhfK/ywTbiTp2vHSt4nSQgiLUzNZcKzqfteAHCB2SDjWNS8EMe8mz0tMLUuAd/&#10;070IpYgh7FNUUIXQplJ6XZFFP3EtceSurrMYIuxKaTp8xHDbyLckmUuLNceGClv6qEjfit4qOPb6&#10;a2fkdN/PrpeCN/rwvt1LpV6eh/USRKAh/Iv/3J9GQdwar8QbIL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BO+P8AAAADaAAAADwAAAAAAAAAAAAAAAACYAgAAZHJzL2Rvd25y&#10;ZXYueG1sUEsFBgAAAAAEAAQA9QAAAIUDAAAAAA==&#10;" filled="f" strokeweight="4.5pt"/>
              </v:group>
            </w:pict>
          </mc:Fallback>
        </mc:AlternateContent>
      </w:r>
    </w:p>
    <w:p w:rsidR="00371D2F" w:rsidRDefault="00371D2F" w:rsidP="00371D2F">
      <w:pPr>
        <w:jc w:val="left"/>
      </w:pPr>
    </w:p>
    <w:p w:rsidR="00371D2F" w:rsidRDefault="003053F0" w:rsidP="00371D2F">
      <w:pPr>
        <w:sectPr w:rsidR="00371D2F" w:rsidSect="00371D2F">
          <w:headerReference w:type="even" r:id="rId16"/>
          <w:headerReference w:type="default" r:id="rId17"/>
          <w:footerReference w:type="even" r:id="rId18"/>
          <w:footerReference w:type="default" r:id="rId19"/>
          <w:headerReference w:type="first" r:id="rId20"/>
          <w:footerReference w:type="first" r:id="rId21"/>
          <w:pgSz w:w="11906" w:h="16838" w:code="9"/>
          <w:pgMar w:top="567" w:right="567" w:bottom="567" w:left="567" w:header="1077" w:footer="833" w:gutter="0"/>
          <w:pgNumType w:fmt="lowerRoman" w:start="1"/>
          <w:cols w:space="360"/>
          <w:noEndnote/>
        </w:sectPr>
      </w:pPr>
      <w:r>
        <w:softHyphen/>
      </w:r>
    </w:p>
    <w:p w:rsidR="00E60B6B" w:rsidRDefault="00E60B6B" w:rsidP="00E60B6B">
      <w:pPr>
        <w:jc w:val="center"/>
        <w:rPr>
          <w:i/>
          <w:sz w:val="28"/>
          <w:szCs w:val="28"/>
        </w:rPr>
      </w:pPr>
    </w:p>
    <w:p w:rsidR="00E60B6B" w:rsidRDefault="00E60B6B" w:rsidP="00E60B6B">
      <w:pPr>
        <w:jc w:val="center"/>
        <w:rPr>
          <w:i/>
          <w:sz w:val="28"/>
          <w:szCs w:val="28"/>
        </w:rPr>
      </w:pPr>
    </w:p>
    <w:p w:rsidR="00E60B6B" w:rsidRDefault="00E60B6B" w:rsidP="00E60B6B">
      <w:pPr>
        <w:jc w:val="center"/>
        <w:rPr>
          <w:i/>
          <w:sz w:val="28"/>
          <w:szCs w:val="28"/>
        </w:rPr>
      </w:pPr>
    </w:p>
    <w:p w:rsidR="00E60B6B" w:rsidRDefault="00E60B6B" w:rsidP="00E60B6B">
      <w:pPr>
        <w:jc w:val="center"/>
        <w:rPr>
          <w:i/>
          <w:sz w:val="28"/>
          <w:szCs w:val="28"/>
        </w:rPr>
      </w:pPr>
    </w:p>
    <w:p w:rsidR="00E60B6B" w:rsidRDefault="00E60B6B" w:rsidP="00E60B6B">
      <w:pPr>
        <w:jc w:val="center"/>
        <w:rPr>
          <w:i/>
          <w:sz w:val="28"/>
          <w:szCs w:val="28"/>
        </w:rPr>
      </w:pPr>
    </w:p>
    <w:p w:rsidR="00E60B6B" w:rsidRDefault="00E60B6B" w:rsidP="00E60B6B">
      <w:pPr>
        <w:jc w:val="center"/>
        <w:rPr>
          <w:i/>
          <w:sz w:val="28"/>
          <w:szCs w:val="28"/>
        </w:rPr>
      </w:pPr>
    </w:p>
    <w:p w:rsidR="00E60B6B" w:rsidRDefault="00E60B6B" w:rsidP="00E60B6B">
      <w:pPr>
        <w:jc w:val="center"/>
        <w:rPr>
          <w:i/>
          <w:sz w:val="28"/>
          <w:szCs w:val="28"/>
        </w:rPr>
      </w:pPr>
    </w:p>
    <w:p w:rsidR="00E60B6B" w:rsidRDefault="00E60B6B" w:rsidP="00E60B6B">
      <w:pPr>
        <w:jc w:val="center"/>
        <w:rPr>
          <w:i/>
          <w:sz w:val="28"/>
          <w:szCs w:val="28"/>
        </w:rPr>
      </w:pPr>
    </w:p>
    <w:p w:rsidR="00E60B6B" w:rsidRDefault="00E60B6B" w:rsidP="00E60B6B">
      <w:pPr>
        <w:jc w:val="center"/>
        <w:rPr>
          <w:i/>
          <w:sz w:val="28"/>
          <w:szCs w:val="28"/>
        </w:rPr>
      </w:pPr>
    </w:p>
    <w:p w:rsidR="00E60B6B" w:rsidRDefault="00E60B6B" w:rsidP="00E60B6B">
      <w:pPr>
        <w:jc w:val="center"/>
        <w:rPr>
          <w:i/>
          <w:sz w:val="28"/>
          <w:szCs w:val="28"/>
        </w:rPr>
      </w:pPr>
    </w:p>
    <w:p w:rsidR="00E60B6B" w:rsidRDefault="00E60B6B" w:rsidP="00E60B6B">
      <w:pPr>
        <w:jc w:val="center"/>
        <w:rPr>
          <w:i/>
          <w:sz w:val="28"/>
          <w:szCs w:val="28"/>
        </w:rPr>
      </w:pPr>
    </w:p>
    <w:p w:rsidR="00E60B6B" w:rsidRDefault="00E60B6B" w:rsidP="00E60B6B">
      <w:pPr>
        <w:jc w:val="center"/>
        <w:rPr>
          <w:i/>
          <w:sz w:val="28"/>
          <w:szCs w:val="28"/>
        </w:rPr>
      </w:pPr>
    </w:p>
    <w:p w:rsidR="00E60B6B" w:rsidRPr="00EE511D" w:rsidRDefault="00E60B6B" w:rsidP="00E60B6B">
      <w:pPr>
        <w:jc w:val="center"/>
        <w:rPr>
          <w:i/>
          <w:sz w:val="28"/>
          <w:szCs w:val="28"/>
        </w:rPr>
        <w:sectPr w:rsidR="00E60B6B" w:rsidRPr="00EE511D">
          <w:pgSz w:w="11906" w:h="16838" w:code="9"/>
          <w:pgMar w:top="1440" w:right="1800" w:bottom="1440" w:left="1800" w:header="1080" w:footer="835" w:gutter="0"/>
          <w:pgNumType w:fmt="lowerRoman" w:start="1"/>
          <w:cols w:space="360"/>
          <w:noEndnote/>
        </w:sectPr>
      </w:pPr>
      <w:r w:rsidRPr="008775C2">
        <w:rPr>
          <w:i/>
          <w:sz w:val="28"/>
          <w:szCs w:val="28"/>
        </w:rPr>
        <w:t>The Department acknowledges the traditional owners of country throughout Australia and their continuing connection to land, sea and community. We pay our respects to them and their cultures and to their elders both past and presen</w:t>
      </w:r>
      <w:r>
        <w:rPr>
          <w:i/>
          <w:sz w:val="28"/>
          <w:szCs w:val="28"/>
        </w:rPr>
        <w:t>t.</w:t>
      </w:r>
    </w:p>
    <w:p w:rsidR="00885B0A" w:rsidRDefault="00914D73" w:rsidP="00914D73">
      <w:pPr>
        <w:pStyle w:val="Heading1"/>
      </w:pPr>
      <w:r w:rsidRPr="00914D73">
        <w:lastRenderedPageBreak/>
        <w:t xml:space="preserve">Pb-210 determination using </w:t>
      </w:r>
      <w:r w:rsidR="001E1B68">
        <w:t>l</w:t>
      </w:r>
      <w:r w:rsidRPr="00914D73">
        <w:t xml:space="preserve">iquid </w:t>
      </w:r>
      <w:r w:rsidR="001E1B68">
        <w:t>s</w:t>
      </w:r>
      <w:r w:rsidRPr="00914D73">
        <w:t xml:space="preserve">cintillation </w:t>
      </w:r>
      <w:r w:rsidR="001E1B68">
        <w:t>c</w:t>
      </w:r>
      <w:r w:rsidRPr="00914D73">
        <w:t>ounting (LSC)</w:t>
      </w:r>
    </w:p>
    <w:p w:rsidR="00885B0A" w:rsidRDefault="00885B0A"/>
    <w:p w:rsidR="00885B0A" w:rsidRDefault="00885B0A"/>
    <w:p w:rsidR="00885B0A" w:rsidRDefault="00914D73">
      <w:pPr>
        <w:pStyle w:val="authors"/>
      </w:pPr>
      <w:r>
        <w:t>Peter Medley</w:t>
      </w:r>
    </w:p>
    <w:p w:rsidR="00885B0A" w:rsidRDefault="00885B0A"/>
    <w:p w:rsidR="00885B0A" w:rsidRDefault="00885B0A"/>
    <w:p w:rsidR="00885B0A" w:rsidRDefault="00885B0A">
      <w:pPr>
        <w:pStyle w:val="BodyText3"/>
      </w:pPr>
      <w:r>
        <w:t xml:space="preserve">Supervising Scientist </w:t>
      </w:r>
    </w:p>
    <w:p w:rsidR="00885B0A" w:rsidRDefault="00885B0A">
      <w:pPr>
        <w:pStyle w:val="BodyText3"/>
      </w:pPr>
      <w:r>
        <w:t>GPO Box 461, Darwin NT 0801</w:t>
      </w:r>
    </w:p>
    <w:p w:rsidR="00885B0A" w:rsidRDefault="00885B0A"/>
    <w:p w:rsidR="00885B0A" w:rsidRDefault="00885B0A"/>
    <w:p w:rsidR="00885B0A" w:rsidRDefault="00885B0A"/>
    <w:p w:rsidR="00885B0A" w:rsidRDefault="00885B0A"/>
    <w:p w:rsidR="00885B0A" w:rsidRDefault="00E60B6B" w:rsidP="00AA64A3">
      <w:pPr>
        <w:pStyle w:val="StyleCentered"/>
      </w:pPr>
      <w:r>
        <w:t>November 2016</w:t>
      </w:r>
    </w:p>
    <w:p w:rsidR="00885B0A" w:rsidRDefault="00885B0A"/>
    <w:p w:rsidR="003535B5" w:rsidRDefault="003535B5">
      <w:pPr>
        <w:pStyle w:val="BodyText3"/>
      </w:pPr>
    </w:p>
    <w:p w:rsidR="00885B0A" w:rsidRDefault="00885B0A"/>
    <w:p w:rsidR="00885B0A" w:rsidRDefault="00885B0A">
      <w:pPr>
        <w:pStyle w:val="BodyText3"/>
      </w:pPr>
      <w:r>
        <w:t xml:space="preserve">Release status – </w:t>
      </w:r>
      <w:r w:rsidR="00E60B6B">
        <w:t>unrestricted</w:t>
      </w:r>
    </w:p>
    <w:p w:rsidR="00885B0A" w:rsidRDefault="00885B0A">
      <w:pPr>
        <w:pStyle w:val="Date"/>
      </w:pPr>
    </w:p>
    <w:p w:rsidR="00885B0A" w:rsidRDefault="00885B0A"/>
    <w:p w:rsidR="00885B0A" w:rsidRDefault="00885B0A"/>
    <w:p w:rsidR="00885B0A" w:rsidRDefault="00885B0A"/>
    <w:p w:rsidR="00885B0A" w:rsidRDefault="00885B0A"/>
    <w:p w:rsidR="003053F0" w:rsidRDefault="003053F0"/>
    <w:p w:rsidR="003053F0" w:rsidRDefault="003053F0"/>
    <w:p w:rsidR="00885B0A" w:rsidRDefault="00885B0A"/>
    <w:p w:rsidR="00885B0A" w:rsidRDefault="00885B0A"/>
    <w:p w:rsidR="00885B0A" w:rsidRDefault="00885B0A"/>
    <w:p w:rsidR="00844AEB" w:rsidRDefault="00E60B6B" w:rsidP="00AA64A3">
      <w:pPr>
        <w:pStyle w:val="StyleCentered"/>
      </w:pPr>
      <w:r>
        <w:rPr>
          <w:noProof/>
          <w:lang w:eastAsia="en-AU"/>
        </w:rPr>
        <w:drawing>
          <wp:inline distT="0" distB="0" distL="0" distR="0" wp14:anchorId="0F634AE0" wp14:editId="6F3C26C6">
            <wp:extent cx="3228975" cy="942975"/>
            <wp:effectExtent l="19050" t="0" r="9525" b="0"/>
            <wp:docPr id="25" name="Picture 1" descr="DOEE_SS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EE_SS_inline"/>
                    <pic:cNvPicPr>
                      <a:picLocks noChangeAspect="1" noChangeArrowheads="1"/>
                    </pic:cNvPicPr>
                  </pic:nvPicPr>
                  <pic:blipFill>
                    <a:blip r:embed="rId22" cstate="screen"/>
                    <a:srcRect/>
                    <a:stretch>
                      <a:fillRect/>
                    </a:stretch>
                  </pic:blipFill>
                  <pic:spPr bwMode="auto">
                    <a:xfrm>
                      <a:off x="0" y="0"/>
                      <a:ext cx="3228975" cy="942975"/>
                    </a:xfrm>
                    <a:prstGeom prst="rect">
                      <a:avLst/>
                    </a:prstGeom>
                    <a:noFill/>
                    <a:ln w="9525">
                      <a:noFill/>
                      <a:miter lim="800000"/>
                      <a:headEnd/>
                      <a:tailEnd/>
                    </a:ln>
                  </pic:spPr>
                </pic:pic>
              </a:graphicData>
            </a:graphic>
          </wp:inline>
        </w:drawing>
      </w:r>
    </w:p>
    <w:p w:rsidR="009F0281" w:rsidRDefault="009F0281">
      <w:pPr>
        <w:rPr>
          <w:i/>
          <w:sz w:val="18"/>
        </w:rPr>
        <w:sectPr w:rsidR="009F0281">
          <w:pgSz w:w="11906" w:h="16838" w:code="9"/>
          <w:pgMar w:top="1440" w:right="1800" w:bottom="1440" w:left="1800" w:header="1080" w:footer="835" w:gutter="0"/>
          <w:pgNumType w:fmt="lowerRoman" w:start="1"/>
          <w:cols w:space="360"/>
          <w:noEndnote/>
        </w:sectPr>
      </w:pPr>
    </w:p>
    <w:p w:rsidR="00885B0A" w:rsidRDefault="00C12534">
      <w:pPr>
        <w:rPr>
          <w:i/>
          <w:sz w:val="18"/>
        </w:rPr>
      </w:pPr>
      <w:r>
        <w:rPr>
          <w:i/>
          <w:sz w:val="18"/>
        </w:rPr>
        <w:t>How to cite this report:</w:t>
      </w:r>
    </w:p>
    <w:p w:rsidR="00E60B6B" w:rsidRPr="008E53D6" w:rsidRDefault="00E60B6B" w:rsidP="00E60B6B">
      <w:pPr>
        <w:pStyle w:val="referencelist1"/>
      </w:pPr>
      <w:r>
        <w:t xml:space="preserve">Medley P </w:t>
      </w:r>
      <w:r w:rsidRPr="008E53D6">
        <w:t>201</w:t>
      </w:r>
      <w:r>
        <w:t>6</w:t>
      </w:r>
      <w:r w:rsidRPr="008E53D6">
        <w:t xml:space="preserve">. </w:t>
      </w:r>
      <w:bookmarkStart w:id="3" w:name="OLE_LINK1"/>
      <w:r w:rsidRPr="00E60B6B">
        <w:t xml:space="preserve">Pb-210 determination using </w:t>
      </w:r>
      <w:r w:rsidR="001E1B68">
        <w:t>l</w:t>
      </w:r>
      <w:r w:rsidRPr="00E60B6B">
        <w:t xml:space="preserve">iquid </w:t>
      </w:r>
      <w:r w:rsidR="001E1B68">
        <w:t>s</w:t>
      </w:r>
      <w:r w:rsidRPr="00E60B6B">
        <w:t xml:space="preserve">cintillation </w:t>
      </w:r>
      <w:r w:rsidR="001E1B68">
        <w:t>c</w:t>
      </w:r>
      <w:r w:rsidRPr="00E60B6B">
        <w:t>ounting (LSC)</w:t>
      </w:r>
      <w:r w:rsidRPr="00BD4EF0">
        <w:t>.</w:t>
      </w:r>
      <w:r>
        <w:t xml:space="preserve"> Internal Report 6</w:t>
      </w:r>
      <w:bookmarkEnd w:id="3"/>
      <w:r>
        <w:t>27</w:t>
      </w:r>
      <w:r w:rsidRPr="008E53D6">
        <w:t xml:space="preserve">, </w:t>
      </w:r>
      <w:r w:rsidR="003053F0">
        <w:t>November</w:t>
      </w:r>
      <w:r w:rsidRPr="008E53D6">
        <w:t>, Supervising Scientist, Darwin.</w:t>
      </w:r>
    </w:p>
    <w:p w:rsidR="00C12534" w:rsidRDefault="00C12534">
      <w:pPr>
        <w:pStyle w:val="referencelist1"/>
      </w:pPr>
    </w:p>
    <w:p w:rsidR="004A611F" w:rsidRDefault="004A611F" w:rsidP="004A611F">
      <w:pPr>
        <w:rPr>
          <w:i/>
          <w:sz w:val="18"/>
        </w:rPr>
      </w:pPr>
      <w:r>
        <w:rPr>
          <w:i/>
          <w:sz w:val="18"/>
        </w:rPr>
        <w:t>Authors of this report:</w:t>
      </w:r>
    </w:p>
    <w:p w:rsidR="004A611F" w:rsidRPr="00E60B6B" w:rsidRDefault="00E60B6B" w:rsidP="004A611F">
      <w:pPr>
        <w:spacing w:after="80" w:line="240" w:lineRule="auto"/>
        <w:ind w:left="357"/>
        <w:rPr>
          <w:sz w:val="20"/>
        </w:rPr>
      </w:pPr>
      <w:r w:rsidRPr="00E60B6B">
        <w:rPr>
          <w:sz w:val="20"/>
        </w:rPr>
        <w:t>Peter Medley</w:t>
      </w:r>
      <w:r w:rsidR="004A611F" w:rsidRPr="00E60B6B">
        <w:rPr>
          <w:sz w:val="20"/>
        </w:rPr>
        <w:t xml:space="preserve"> – </w:t>
      </w:r>
      <w:r w:rsidRPr="00E60B6B">
        <w:rPr>
          <w:sz w:val="20"/>
        </w:rPr>
        <w:t>Supervising Scientist</w:t>
      </w:r>
      <w:r w:rsidR="004A611F" w:rsidRPr="00E60B6B">
        <w:rPr>
          <w:sz w:val="20"/>
        </w:rPr>
        <w:t>, GPO Box 461, Darwin NT 0801, Australia</w:t>
      </w:r>
    </w:p>
    <w:p w:rsidR="004A611F" w:rsidRDefault="004A611F" w:rsidP="004A611F"/>
    <w:p w:rsidR="00E60B6B" w:rsidRPr="00C57CDE" w:rsidRDefault="00E60B6B" w:rsidP="00E60B6B">
      <w:pPr>
        <w:rPr>
          <w:szCs w:val="22"/>
          <w:lang w:eastAsia="en-AU"/>
        </w:rPr>
      </w:pPr>
      <w:r w:rsidRPr="00C57CDE">
        <w:rPr>
          <w:szCs w:val="22"/>
        </w:rPr>
        <w:t xml:space="preserve">The Supervising Scientist is a branch of the Australian Government </w:t>
      </w:r>
      <w:r w:rsidRPr="00C57CDE">
        <w:rPr>
          <w:szCs w:val="22"/>
          <w:lang w:eastAsia="en-AU"/>
        </w:rPr>
        <w:t>Department of the Environment and Energy.</w:t>
      </w:r>
    </w:p>
    <w:p w:rsidR="00E60B6B" w:rsidRPr="00C57CDE" w:rsidRDefault="00E60B6B" w:rsidP="00E60B6B">
      <w:pPr>
        <w:spacing w:after="0"/>
        <w:rPr>
          <w:szCs w:val="22"/>
        </w:rPr>
      </w:pPr>
      <w:r w:rsidRPr="00C57CDE">
        <w:rPr>
          <w:szCs w:val="22"/>
        </w:rPr>
        <w:t>Supervising Scientist</w:t>
      </w:r>
    </w:p>
    <w:p w:rsidR="00E60B6B" w:rsidRPr="00C57CDE" w:rsidRDefault="00E60B6B" w:rsidP="00E60B6B">
      <w:pPr>
        <w:spacing w:after="0"/>
        <w:rPr>
          <w:szCs w:val="22"/>
        </w:rPr>
      </w:pPr>
      <w:r w:rsidRPr="00C57CDE">
        <w:rPr>
          <w:szCs w:val="22"/>
          <w:lang w:eastAsia="en-AU"/>
        </w:rPr>
        <w:t>Department of the Environment and Energy</w:t>
      </w:r>
    </w:p>
    <w:p w:rsidR="00E60B6B" w:rsidRPr="00C57CDE" w:rsidRDefault="00E60B6B" w:rsidP="00E60B6B">
      <w:pPr>
        <w:rPr>
          <w:szCs w:val="22"/>
        </w:rPr>
      </w:pPr>
      <w:r w:rsidRPr="00C57CDE">
        <w:rPr>
          <w:szCs w:val="22"/>
        </w:rPr>
        <w:t>GPO Box 461, Darwin NT 0801 Australia</w:t>
      </w:r>
    </w:p>
    <w:p w:rsidR="00E60B6B" w:rsidRDefault="00E60B6B" w:rsidP="00E60B6B">
      <w:pPr>
        <w:rPr>
          <w:szCs w:val="22"/>
          <w:lang w:val="de-DE"/>
        </w:rPr>
      </w:pPr>
      <w:r w:rsidRPr="00C57CDE">
        <w:rPr>
          <w:b/>
          <w:szCs w:val="22"/>
          <w:lang w:val="de-DE"/>
        </w:rPr>
        <w:t>environment</w:t>
      </w:r>
      <w:r w:rsidRPr="00C57CDE">
        <w:rPr>
          <w:szCs w:val="22"/>
          <w:lang w:val="de-DE"/>
        </w:rPr>
        <w:t>.gov.au/science/supervising-scientist/publications</w:t>
      </w:r>
    </w:p>
    <w:p w:rsidR="003053F0" w:rsidRDefault="003053F0" w:rsidP="00E60B6B">
      <w:pPr>
        <w:rPr>
          <w:szCs w:val="22"/>
          <w:lang w:val="de-DE"/>
        </w:rPr>
      </w:pPr>
    </w:p>
    <w:p w:rsidR="003053F0" w:rsidRPr="00C57CDE" w:rsidRDefault="003053F0" w:rsidP="00E60B6B">
      <w:pPr>
        <w:rPr>
          <w:szCs w:val="22"/>
          <w:lang w:val="de-DE"/>
        </w:rPr>
      </w:pPr>
    </w:p>
    <w:p w:rsidR="00E60B6B" w:rsidRDefault="00E60B6B" w:rsidP="00AA64A3"/>
    <w:p w:rsidR="00BF5E38" w:rsidRDefault="00BF5E38" w:rsidP="00AA64A3">
      <w:r>
        <w:t>© Copyright Commonwealth of Australia, 201</w:t>
      </w:r>
      <w:r w:rsidR="00E60B6B">
        <w:t>6</w:t>
      </w:r>
      <w:r>
        <w:t>.</w:t>
      </w:r>
    </w:p>
    <w:p w:rsidR="00BF5E38" w:rsidRDefault="00D44E2C" w:rsidP="004A611F">
      <w:pPr>
        <w:jc w:val="left"/>
      </w:pPr>
      <w:r>
        <w:rPr>
          <w:noProof/>
          <w:lang w:eastAsia="en-AU"/>
        </w:rPr>
        <w:drawing>
          <wp:inline distT="0" distB="0" distL="0" distR="0" wp14:anchorId="7A519B3F" wp14:editId="7A519B40">
            <wp:extent cx="1524000" cy="533400"/>
            <wp:effectExtent l="19050" t="0" r="0" b="0"/>
            <wp:docPr id="1" name="Picture 0" descr="Copyright Imag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yright Image.tif"/>
                    <pic:cNvPicPr/>
                  </pic:nvPicPr>
                  <pic:blipFill>
                    <a:blip r:embed="rId23" cstate="print"/>
                    <a:stretch>
                      <a:fillRect/>
                    </a:stretch>
                  </pic:blipFill>
                  <pic:spPr>
                    <a:xfrm>
                      <a:off x="0" y="0"/>
                      <a:ext cx="1524000" cy="533400"/>
                    </a:xfrm>
                    <a:prstGeom prst="rect">
                      <a:avLst/>
                    </a:prstGeom>
                  </pic:spPr>
                </pic:pic>
              </a:graphicData>
            </a:graphic>
          </wp:inline>
        </w:drawing>
      </w:r>
    </w:p>
    <w:p w:rsidR="00E60B6B" w:rsidRPr="00C57CDE" w:rsidRDefault="00BF5E38" w:rsidP="00E60B6B">
      <w:pPr>
        <w:jc w:val="left"/>
        <w:rPr>
          <w:szCs w:val="22"/>
        </w:rPr>
      </w:pPr>
      <w:r>
        <w:t xml:space="preserve">IR </w:t>
      </w:r>
      <w:r w:rsidR="00E60B6B">
        <w:t>627</w:t>
      </w:r>
      <w:r>
        <w:t xml:space="preserve"> </w:t>
      </w:r>
      <w:bookmarkStart w:id="4" w:name="_Toc513964642"/>
      <w:bookmarkStart w:id="5" w:name="_Toc529153317"/>
      <w:bookmarkStart w:id="6" w:name="_Toc529257114"/>
      <w:bookmarkStart w:id="7" w:name="_Toc530561182"/>
      <w:bookmarkStart w:id="8" w:name="_Toc328494"/>
      <w:bookmarkStart w:id="9" w:name="_Toc10348567"/>
      <w:bookmarkStart w:id="10" w:name="_Toc10440452"/>
      <w:bookmarkStart w:id="11" w:name="_Toc14069262"/>
      <w:bookmarkStart w:id="12" w:name="_Toc44923914"/>
      <w:bookmarkStart w:id="13" w:name="_Toc44999410"/>
      <w:bookmarkStart w:id="14" w:name="_Toc45098428"/>
      <w:bookmarkStart w:id="15" w:name="_Toc45703076"/>
      <w:r w:rsidR="00E60B6B" w:rsidRPr="00C57CDE">
        <w:rPr>
          <w:szCs w:val="22"/>
        </w:rPr>
        <w:t xml:space="preserve">is licensed by the Commonwealth of Australia for use under a Creative Commons By Attribution 3.0 Australia licence with the exception of the Coat of Arms of the Commonwealth of Australia, the logo of the agency responsible for publishing the report, content supplied by third parties, and any images depicting people. For licence conditions see: </w:t>
      </w:r>
      <w:hyperlink r:id="rId24" w:history="1">
        <w:r w:rsidR="00E60B6B" w:rsidRPr="00C57CDE">
          <w:rPr>
            <w:rStyle w:val="Hyperlink"/>
            <w:szCs w:val="22"/>
          </w:rPr>
          <w:t xml:space="preserve">http://creativecommons.org/licenses/by/3.0/au/ </w:t>
        </w:r>
      </w:hyperlink>
    </w:p>
    <w:p w:rsidR="00E60B6B" w:rsidRPr="00C57CDE" w:rsidRDefault="00E60B6B" w:rsidP="00E60B6B">
      <w:pPr>
        <w:rPr>
          <w:b/>
          <w:spacing w:val="-2"/>
          <w:szCs w:val="22"/>
          <w:lang w:val="en-US" w:eastAsia="en-AU"/>
        </w:rPr>
      </w:pPr>
      <w:r w:rsidRPr="00C57CDE">
        <w:rPr>
          <w:b/>
          <w:spacing w:val="-2"/>
          <w:szCs w:val="22"/>
          <w:lang w:val="en-US" w:eastAsia="en-AU"/>
        </w:rPr>
        <w:t>Disclaimer</w:t>
      </w:r>
    </w:p>
    <w:p w:rsidR="00E60B6B" w:rsidRPr="00C57CDE" w:rsidRDefault="00E60B6B" w:rsidP="00E60B6B">
      <w:pPr>
        <w:rPr>
          <w:spacing w:val="-4"/>
          <w:szCs w:val="22"/>
          <w:lang w:val="en-US" w:eastAsia="en-AU"/>
        </w:rPr>
      </w:pPr>
      <w:r w:rsidRPr="00C57CDE">
        <w:rPr>
          <w:spacing w:val="-4"/>
          <w:szCs w:val="22"/>
          <w:lang w:val="en-US" w:eastAsia="en-AU"/>
        </w:rPr>
        <w:t>The views and opinions expressed in this publication are those of the authors and do not necessarily reflect those of the Australian Government or the Minister for the Environment and Energy.</w:t>
      </w:r>
    </w:p>
    <w:p w:rsidR="00E60B6B" w:rsidRPr="00C57CDE" w:rsidRDefault="00E60B6B" w:rsidP="00E60B6B">
      <w:pPr>
        <w:rPr>
          <w:szCs w:val="22"/>
          <w:lang w:val="en-US" w:eastAsia="en-AU"/>
        </w:rPr>
      </w:pPr>
      <w:r w:rsidRPr="00C57CDE">
        <w:rPr>
          <w:szCs w:val="22"/>
          <w:lang w:val="en-US" w:eastAsia="en-AU"/>
        </w:rPr>
        <w:t>While reasonable efforts have been made to ensure that the contents of this publication are factually correct, the Commonwealth does not accept responsibility for the accuracy or completeness of the contents, and shall not be liable for any loss or damage that may be occasioned directly or indirectly through the use of, or reliance on, the contents of this publication.</w:t>
      </w:r>
    </w:p>
    <w:p w:rsidR="00885B0A" w:rsidRDefault="00885B0A" w:rsidP="00E60B6B">
      <w:pPr>
        <w:jc w:val="left"/>
        <w:sectPr w:rsidR="00885B0A" w:rsidSect="009F0281">
          <w:pgSz w:w="11906" w:h="16838" w:code="9"/>
          <w:pgMar w:top="1440" w:right="1800" w:bottom="1440" w:left="1800" w:header="1080" w:footer="835" w:gutter="0"/>
          <w:pgNumType w:fmt="lowerRoman"/>
          <w:cols w:space="360"/>
          <w:noEndnote/>
        </w:sectPr>
      </w:pPr>
    </w:p>
    <w:p w:rsidR="00885B0A" w:rsidRDefault="00885B0A">
      <w:pPr>
        <w:pStyle w:val="Heading1"/>
      </w:pPr>
      <w:bookmarkStart w:id="16" w:name="_Toc52076361"/>
      <w:bookmarkStart w:id="17" w:name="_Toc52076386"/>
      <w:r>
        <w:t>Contents</w:t>
      </w:r>
      <w:bookmarkStart w:id="18" w:name="_Toc529153318"/>
      <w:bookmarkStart w:id="19" w:name="_Toc529257115"/>
      <w:bookmarkStart w:id="20" w:name="_Toc530561183"/>
      <w:bookmarkStart w:id="21" w:name="_Toc10348566"/>
      <w:bookmarkEnd w:id="4"/>
      <w:bookmarkEnd w:id="5"/>
      <w:bookmarkEnd w:id="6"/>
      <w:bookmarkEnd w:id="7"/>
      <w:bookmarkEnd w:id="8"/>
      <w:bookmarkEnd w:id="9"/>
      <w:bookmarkEnd w:id="10"/>
      <w:bookmarkEnd w:id="11"/>
      <w:bookmarkEnd w:id="12"/>
      <w:bookmarkEnd w:id="13"/>
      <w:bookmarkEnd w:id="14"/>
      <w:bookmarkEnd w:id="15"/>
      <w:bookmarkEnd w:id="16"/>
      <w:bookmarkEnd w:id="17"/>
    </w:p>
    <w:p w:rsidR="00D92477" w:rsidRDefault="00E62B9E">
      <w:pPr>
        <w:pStyle w:val="TOC1"/>
        <w:rPr>
          <w:rFonts w:asciiTheme="minorHAnsi" w:eastAsiaTheme="minorEastAsia" w:hAnsiTheme="minorHAnsi" w:cstheme="minorBidi"/>
          <w:b w:val="0"/>
          <w:noProof/>
          <w:sz w:val="22"/>
          <w:szCs w:val="22"/>
          <w:lang w:eastAsia="en-AU"/>
        </w:rPr>
      </w:pPr>
      <w:r>
        <w:fldChar w:fldCharType="begin"/>
      </w:r>
      <w:r w:rsidR="00885B0A">
        <w:instrText xml:space="preserve"> TOC \h \z \t "Heading 2,1,Heading 3,2,Heading 4,3,Subtitle,2" </w:instrText>
      </w:r>
      <w:r>
        <w:fldChar w:fldCharType="separate"/>
      </w:r>
      <w:hyperlink w:anchor="_Toc467491544" w:history="1">
        <w:r w:rsidR="00D92477" w:rsidRPr="00ED5CD3">
          <w:rPr>
            <w:rStyle w:val="Hyperlink"/>
            <w:noProof/>
          </w:rPr>
          <w:t>1.  Introduction</w:t>
        </w:r>
        <w:r w:rsidR="00D92477">
          <w:rPr>
            <w:noProof/>
            <w:webHidden/>
          </w:rPr>
          <w:tab/>
        </w:r>
        <w:r w:rsidR="00D92477">
          <w:rPr>
            <w:noProof/>
            <w:webHidden/>
          </w:rPr>
          <w:fldChar w:fldCharType="begin"/>
        </w:r>
        <w:r w:rsidR="00D92477">
          <w:rPr>
            <w:noProof/>
            <w:webHidden/>
          </w:rPr>
          <w:instrText xml:space="preserve"> PAGEREF _Toc467491544 \h </w:instrText>
        </w:r>
        <w:r w:rsidR="00D92477">
          <w:rPr>
            <w:noProof/>
            <w:webHidden/>
          </w:rPr>
        </w:r>
        <w:r w:rsidR="00D92477">
          <w:rPr>
            <w:noProof/>
            <w:webHidden/>
          </w:rPr>
          <w:fldChar w:fldCharType="separate"/>
        </w:r>
        <w:r w:rsidR="00991C8D">
          <w:rPr>
            <w:noProof/>
            <w:webHidden/>
          </w:rPr>
          <w:t>1</w:t>
        </w:r>
        <w:r w:rsidR="00D92477">
          <w:rPr>
            <w:noProof/>
            <w:webHidden/>
          </w:rPr>
          <w:fldChar w:fldCharType="end"/>
        </w:r>
      </w:hyperlink>
    </w:p>
    <w:p w:rsidR="00D92477" w:rsidRDefault="005E27BE">
      <w:pPr>
        <w:pStyle w:val="TOC1"/>
        <w:rPr>
          <w:rFonts w:asciiTheme="minorHAnsi" w:eastAsiaTheme="minorEastAsia" w:hAnsiTheme="minorHAnsi" w:cstheme="minorBidi"/>
          <w:b w:val="0"/>
          <w:noProof/>
          <w:sz w:val="22"/>
          <w:szCs w:val="22"/>
          <w:lang w:eastAsia="en-AU"/>
        </w:rPr>
      </w:pPr>
      <w:hyperlink w:anchor="_Toc467491545" w:history="1">
        <w:r w:rsidR="00D92477" w:rsidRPr="00ED5CD3">
          <w:rPr>
            <w:rStyle w:val="Hyperlink"/>
            <w:noProof/>
          </w:rPr>
          <w:t>2.  Liquid scintillation counting (LSC)</w:t>
        </w:r>
        <w:r w:rsidR="00D92477">
          <w:rPr>
            <w:noProof/>
            <w:webHidden/>
          </w:rPr>
          <w:tab/>
        </w:r>
        <w:r w:rsidR="00D92477">
          <w:rPr>
            <w:noProof/>
            <w:webHidden/>
          </w:rPr>
          <w:fldChar w:fldCharType="begin"/>
        </w:r>
        <w:r w:rsidR="00D92477">
          <w:rPr>
            <w:noProof/>
            <w:webHidden/>
          </w:rPr>
          <w:instrText xml:space="preserve"> PAGEREF _Toc467491545 \h </w:instrText>
        </w:r>
        <w:r w:rsidR="00D92477">
          <w:rPr>
            <w:noProof/>
            <w:webHidden/>
          </w:rPr>
        </w:r>
        <w:r w:rsidR="00D92477">
          <w:rPr>
            <w:noProof/>
            <w:webHidden/>
          </w:rPr>
          <w:fldChar w:fldCharType="separate"/>
        </w:r>
        <w:r w:rsidR="00991C8D">
          <w:rPr>
            <w:noProof/>
            <w:webHidden/>
          </w:rPr>
          <w:t>1</w:t>
        </w:r>
        <w:r w:rsidR="00D92477">
          <w:rPr>
            <w:noProof/>
            <w:webHidden/>
          </w:rPr>
          <w:fldChar w:fldCharType="end"/>
        </w:r>
      </w:hyperlink>
    </w:p>
    <w:p w:rsidR="00D92477" w:rsidRDefault="005E27BE">
      <w:pPr>
        <w:pStyle w:val="TOC2"/>
        <w:rPr>
          <w:rFonts w:asciiTheme="minorHAnsi" w:eastAsiaTheme="minorEastAsia" w:hAnsiTheme="minorHAnsi" w:cstheme="minorBidi"/>
          <w:noProof/>
          <w:szCs w:val="22"/>
          <w:lang w:eastAsia="en-AU"/>
        </w:rPr>
      </w:pPr>
      <w:hyperlink w:anchor="_Toc467491546" w:history="1">
        <w:r w:rsidR="00D92477" w:rsidRPr="00ED5CD3">
          <w:rPr>
            <w:rStyle w:val="Hyperlink"/>
            <w:noProof/>
          </w:rPr>
          <w:t>2.1  General</w:t>
        </w:r>
        <w:r w:rsidR="00D92477">
          <w:rPr>
            <w:noProof/>
            <w:webHidden/>
          </w:rPr>
          <w:tab/>
        </w:r>
        <w:r w:rsidR="00D92477">
          <w:rPr>
            <w:noProof/>
            <w:webHidden/>
          </w:rPr>
          <w:fldChar w:fldCharType="begin"/>
        </w:r>
        <w:r w:rsidR="00D92477">
          <w:rPr>
            <w:noProof/>
            <w:webHidden/>
          </w:rPr>
          <w:instrText xml:space="preserve"> PAGEREF _Toc467491546 \h </w:instrText>
        </w:r>
        <w:r w:rsidR="00D92477">
          <w:rPr>
            <w:noProof/>
            <w:webHidden/>
          </w:rPr>
        </w:r>
        <w:r w:rsidR="00D92477">
          <w:rPr>
            <w:noProof/>
            <w:webHidden/>
          </w:rPr>
          <w:fldChar w:fldCharType="separate"/>
        </w:r>
        <w:r w:rsidR="00991C8D">
          <w:rPr>
            <w:noProof/>
            <w:webHidden/>
          </w:rPr>
          <w:t>1</w:t>
        </w:r>
        <w:r w:rsidR="00D92477">
          <w:rPr>
            <w:noProof/>
            <w:webHidden/>
          </w:rPr>
          <w:fldChar w:fldCharType="end"/>
        </w:r>
      </w:hyperlink>
    </w:p>
    <w:p w:rsidR="00D92477" w:rsidRDefault="005E27BE">
      <w:pPr>
        <w:pStyle w:val="TOC2"/>
        <w:rPr>
          <w:rFonts w:asciiTheme="minorHAnsi" w:eastAsiaTheme="minorEastAsia" w:hAnsiTheme="minorHAnsi" w:cstheme="minorBidi"/>
          <w:noProof/>
          <w:szCs w:val="22"/>
          <w:lang w:eastAsia="en-AU"/>
        </w:rPr>
      </w:pPr>
      <w:hyperlink w:anchor="_Toc467491547" w:history="1">
        <w:r w:rsidR="00D92477" w:rsidRPr="00ED5CD3">
          <w:rPr>
            <w:rStyle w:val="Hyperlink"/>
            <w:noProof/>
          </w:rPr>
          <w:t>2.2  The TriCarb 3100TR</w:t>
        </w:r>
        <w:r w:rsidR="00D92477">
          <w:rPr>
            <w:noProof/>
            <w:webHidden/>
          </w:rPr>
          <w:tab/>
        </w:r>
        <w:r w:rsidR="00D92477">
          <w:rPr>
            <w:noProof/>
            <w:webHidden/>
          </w:rPr>
          <w:fldChar w:fldCharType="begin"/>
        </w:r>
        <w:r w:rsidR="00D92477">
          <w:rPr>
            <w:noProof/>
            <w:webHidden/>
          </w:rPr>
          <w:instrText xml:space="preserve"> PAGEREF _Toc467491547 \h </w:instrText>
        </w:r>
        <w:r w:rsidR="00D92477">
          <w:rPr>
            <w:noProof/>
            <w:webHidden/>
          </w:rPr>
        </w:r>
        <w:r w:rsidR="00D92477">
          <w:rPr>
            <w:noProof/>
            <w:webHidden/>
          </w:rPr>
          <w:fldChar w:fldCharType="separate"/>
        </w:r>
        <w:r w:rsidR="00991C8D">
          <w:rPr>
            <w:noProof/>
            <w:webHidden/>
          </w:rPr>
          <w:t>1</w:t>
        </w:r>
        <w:r w:rsidR="00D92477">
          <w:rPr>
            <w:noProof/>
            <w:webHidden/>
          </w:rPr>
          <w:fldChar w:fldCharType="end"/>
        </w:r>
      </w:hyperlink>
    </w:p>
    <w:p w:rsidR="00D92477" w:rsidRDefault="005E27BE">
      <w:pPr>
        <w:pStyle w:val="TOC2"/>
        <w:rPr>
          <w:rFonts w:asciiTheme="minorHAnsi" w:eastAsiaTheme="minorEastAsia" w:hAnsiTheme="minorHAnsi" w:cstheme="minorBidi"/>
          <w:noProof/>
          <w:szCs w:val="22"/>
          <w:lang w:eastAsia="en-AU"/>
        </w:rPr>
      </w:pPr>
      <w:hyperlink w:anchor="_Toc467491548" w:history="1">
        <w:r w:rsidR="00D92477" w:rsidRPr="00ED5CD3">
          <w:rPr>
            <w:rStyle w:val="Hyperlink"/>
            <w:noProof/>
          </w:rPr>
          <w:t>2.3  Selection of scintillation cocktail, vials and count conditions,</w:t>
        </w:r>
        <w:r w:rsidR="00D92477">
          <w:rPr>
            <w:noProof/>
            <w:webHidden/>
          </w:rPr>
          <w:tab/>
        </w:r>
        <w:r w:rsidR="00D92477">
          <w:rPr>
            <w:noProof/>
            <w:webHidden/>
          </w:rPr>
          <w:fldChar w:fldCharType="begin"/>
        </w:r>
        <w:r w:rsidR="00D92477">
          <w:rPr>
            <w:noProof/>
            <w:webHidden/>
          </w:rPr>
          <w:instrText xml:space="preserve"> PAGEREF _Toc467491548 \h </w:instrText>
        </w:r>
        <w:r w:rsidR="00D92477">
          <w:rPr>
            <w:noProof/>
            <w:webHidden/>
          </w:rPr>
        </w:r>
        <w:r w:rsidR="00D92477">
          <w:rPr>
            <w:noProof/>
            <w:webHidden/>
          </w:rPr>
          <w:fldChar w:fldCharType="separate"/>
        </w:r>
        <w:r w:rsidR="00991C8D">
          <w:rPr>
            <w:noProof/>
            <w:webHidden/>
          </w:rPr>
          <w:t>1</w:t>
        </w:r>
        <w:r w:rsidR="00D92477">
          <w:rPr>
            <w:noProof/>
            <w:webHidden/>
          </w:rPr>
          <w:fldChar w:fldCharType="end"/>
        </w:r>
      </w:hyperlink>
    </w:p>
    <w:p w:rsidR="00D92477" w:rsidRDefault="005E27BE">
      <w:pPr>
        <w:pStyle w:val="TOC2"/>
        <w:rPr>
          <w:rFonts w:asciiTheme="minorHAnsi" w:eastAsiaTheme="minorEastAsia" w:hAnsiTheme="minorHAnsi" w:cstheme="minorBidi"/>
          <w:noProof/>
          <w:szCs w:val="22"/>
          <w:lang w:eastAsia="en-AU"/>
        </w:rPr>
      </w:pPr>
      <w:hyperlink w:anchor="_Toc467491549" w:history="1">
        <w:r w:rsidR="00D92477" w:rsidRPr="00ED5CD3">
          <w:rPr>
            <w:rStyle w:val="Hyperlink"/>
            <w:noProof/>
          </w:rPr>
          <w:t>2.4  CPM counting vs Alpha/beta discrimination</w:t>
        </w:r>
        <w:r w:rsidR="00D92477">
          <w:rPr>
            <w:noProof/>
            <w:webHidden/>
          </w:rPr>
          <w:tab/>
        </w:r>
        <w:r w:rsidR="00D92477">
          <w:rPr>
            <w:noProof/>
            <w:webHidden/>
          </w:rPr>
          <w:fldChar w:fldCharType="begin"/>
        </w:r>
        <w:r w:rsidR="00D92477">
          <w:rPr>
            <w:noProof/>
            <w:webHidden/>
          </w:rPr>
          <w:instrText xml:space="preserve"> PAGEREF _Toc467491549 \h </w:instrText>
        </w:r>
        <w:r w:rsidR="00D92477">
          <w:rPr>
            <w:noProof/>
            <w:webHidden/>
          </w:rPr>
        </w:r>
        <w:r w:rsidR="00D92477">
          <w:rPr>
            <w:noProof/>
            <w:webHidden/>
          </w:rPr>
          <w:fldChar w:fldCharType="separate"/>
        </w:r>
        <w:r w:rsidR="00991C8D">
          <w:rPr>
            <w:noProof/>
            <w:webHidden/>
          </w:rPr>
          <w:t>1</w:t>
        </w:r>
        <w:r w:rsidR="00D92477">
          <w:rPr>
            <w:noProof/>
            <w:webHidden/>
          </w:rPr>
          <w:fldChar w:fldCharType="end"/>
        </w:r>
      </w:hyperlink>
    </w:p>
    <w:p w:rsidR="00D92477" w:rsidRDefault="005E27BE">
      <w:pPr>
        <w:pStyle w:val="TOC2"/>
        <w:rPr>
          <w:rFonts w:asciiTheme="minorHAnsi" w:eastAsiaTheme="minorEastAsia" w:hAnsiTheme="minorHAnsi" w:cstheme="minorBidi"/>
          <w:noProof/>
          <w:szCs w:val="22"/>
          <w:lang w:eastAsia="en-AU"/>
        </w:rPr>
      </w:pPr>
      <w:hyperlink w:anchor="_Toc467491550" w:history="1">
        <w:r w:rsidR="00D92477" w:rsidRPr="00ED5CD3">
          <w:rPr>
            <w:rStyle w:val="Hyperlink"/>
            <w:noProof/>
          </w:rPr>
          <w:t>2.5  Time-resolved LSC: delay before burst (DBB) and coincidence time</w:t>
        </w:r>
        <w:r w:rsidR="00D92477">
          <w:rPr>
            <w:noProof/>
            <w:webHidden/>
          </w:rPr>
          <w:tab/>
        </w:r>
        <w:r w:rsidR="00D92477">
          <w:rPr>
            <w:noProof/>
            <w:webHidden/>
          </w:rPr>
          <w:fldChar w:fldCharType="begin"/>
        </w:r>
        <w:r w:rsidR="00D92477">
          <w:rPr>
            <w:noProof/>
            <w:webHidden/>
          </w:rPr>
          <w:instrText xml:space="preserve"> PAGEREF _Toc467491550 \h </w:instrText>
        </w:r>
        <w:r w:rsidR="00D92477">
          <w:rPr>
            <w:noProof/>
            <w:webHidden/>
          </w:rPr>
        </w:r>
        <w:r w:rsidR="00D92477">
          <w:rPr>
            <w:noProof/>
            <w:webHidden/>
          </w:rPr>
          <w:fldChar w:fldCharType="separate"/>
        </w:r>
        <w:r w:rsidR="00991C8D">
          <w:rPr>
            <w:noProof/>
            <w:webHidden/>
          </w:rPr>
          <w:t>1</w:t>
        </w:r>
        <w:r w:rsidR="00D92477">
          <w:rPr>
            <w:noProof/>
            <w:webHidden/>
          </w:rPr>
          <w:fldChar w:fldCharType="end"/>
        </w:r>
      </w:hyperlink>
    </w:p>
    <w:p w:rsidR="00D92477" w:rsidRDefault="005E27BE">
      <w:pPr>
        <w:pStyle w:val="TOC2"/>
        <w:rPr>
          <w:rFonts w:asciiTheme="minorHAnsi" w:eastAsiaTheme="minorEastAsia" w:hAnsiTheme="minorHAnsi" w:cstheme="minorBidi"/>
          <w:noProof/>
          <w:szCs w:val="22"/>
          <w:lang w:eastAsia="en-AU"/>
        </w:rPr>
      </w:pPr>
      <w:hyperlink w:anchor="_Toc467491551" w:history="1">
        <w:r w:rsidR="00D92477" w:rsidRPr="00ED5CD3">
          <w:rPr>
            <w:rStyle w:val="Hyperlink"/>
            <w:noProof/>
          </w:rPr>
          <w:t>2.6  Counting windows</w:t>
        </w:r>
        <w:r w:rsidR="00D92477">
          <w:rPr>
            <w:noProof/>
            <w:webHidden/>
          </w:rPr>
          <w:tab/>
        </w:r>
        <w:r w:rsidR="00D92477">
          <w:rPr>
            <w:noProof/>
            <w:webHidden/>
          </w:rPr>
          <w:fldChar w:fldCharType="begin"/>
        </w:r>
        <w:r w:rsidR="00D92477">
          <w:rPr>
            <w:noProof/>
            <w:webHidden/>
          </w:rPr>
          <w:instrText xml:space="preserve"> PAGEREF _Toc467491551 \h </w:instrText>
        </w:r>
        <w:r w:rsidR="00D92477">
          <w:rPr>
            <w:noProof/>
            <w:webHidden/>
          </w:rPr>
        </w:r>
        <w:r w:rsidR="00D92477">
          <w:rPr>
            <w:noProof/>
            <w:webHidden/>
          </w:rPr>
          <w:fldChar w:fldCharType="separate"/>
        </w:r>
        <w:r w:rsidR="00991C8D">
          <w:rPr>
            <w:noProof/>
            <w:webHidden/>
          </w:rPr>
          <w:t>1</w:t>
        </w:r>
        <w:r w:rsidR="00D92477">
          <w:rPr>
            <w:noProof/>
            <w:webHidden/>
          </w:rPr>
          <w:fldChar w:fldCharType="end"/>
        </w:r>
      </w:hyperlink>
    </w:p>
    <w:p w:rsidR="00D92477" w:rsidRDefault="005E27BE">
      <w:pPr>
        <w:pStyle w:val="TOC2"/>
        <w:rPr>
          <w:rFonts w:asciiTheme="minorHAnsi" w:eastAsiaTheme="minorEastAsia" w:hAnsiTheme="minorHAnsi" w:cstheme="minorBidi"/>
          <w:noProof/>
          <w:szCs w:val="22"/>
          <w:lang w:eastAsia="en-AU"/>
        </w:rPr>
      </w:pPr>
      <w:hyperlink w:anchor="_Toc467491552" w:history="1">
        <w:r w:rsidR="00D92477" w:rsidRPr="00ED5CD3">
          <w:rPr>
            <w:rStyle w:val="Hyperlink"/>
            <w:noProof/>
          </w:rPr>
          <w:t>2.7  Quench and tSIE</w:t>
        </w:r>
        <w:r w:rsidR="00D92477">
          <w:rPr>
            <w:noProof/>
            <w:webHidden/>
          </w:rPr>
          <w:tab/>
        </w:r>
        <w:r w:rsidR="00D92477">
          <w:rPr>
            <w:noProof/>
            <w:webHidden/>
          </w:rPr>
          <w:fldChar w:fldCharType="begin"/>
        </w:r>
        <w:r w:rsidR="00D92477">
          <w:rPr>
            <w:noProof/>
            <w:webHidden/>
          </w:rPr>
          <w:instrText xml:space="preserve"> PAGEREF _Toc467491552 \h </w:instrText>
        </w:r>
        <w:r w:rsidR="00D92477">
          <w:rPr>
            <w:noProof/>
            <w:webHidden/>
          </w:rPr>
        </w:r>
        <w:r w:rsidR="00D92477">
          <w:rPr>
            <w:noProof/>
            <w:webHidden/>
          </w:rPr>
          <w:fldChar w:fldCharType="separate"/>
        </w:r>
        <w:r w:rsidR="00991C8D">
          <w:rPr>
            <w:noProof/>
            <w:webHidden/>
          </w:rPr>
          <w:t>1</w:t>
        </w:r>
        <w:r w:rsidR="00D92477">
          <w:rPr>
            <w:noProof/>
            <w:webHidden/>
          </w:rPr>
          <w:fldChar w:fldCharType="end"/>
        </w:r>
      </w:hyperlink>
    </w:p>
    <w:p w:rsidR="00D92477" w:rsidRDefault="005E27BE">
      <w:pPr>
        <w:pStyle w:val="TOC1"/>
        <w:rPr>
          <w:rFonts w:asciiTheme="minorHAnsi" w:eastAsiaTheme="minorEastAsia" w:hAnsiTheme="minorHAnsi" w:cstheme="minorBidi"/>
          <w:b w:val="0"/>
          <w:noProof/>
          <w:sz w:val="22"/>
          <w:szCs w:val="22"/>
          <w:lang w:eastAsia="en-AU"/>
        </w:rPr>
      </w:pPr>
      <w:hyperlink w:anchor="_Toc467491553" w:history="1">
        <w:r w:rsidR="00D92477" w:rsidRPr="00ED5CD3">
          <w:rPr>
            <w:rStyle w:val="Hyperlink"/>
            <w:noProof/>
          </w:rPr>
          <w:t>3.  Methods</w:t>
        </w:r>
        <w:r w:rsidR="00D92477">
          <w:rPr>
            <w:noProof/>
            <w:webHidden/>
          </w:rPr>
          <w:tab/>
        </w:r>
        <w:r w:rsidR="00D92477">
          <w:rPr>
            <w:noProof/>
            <w:webHidden/>
          </w:rPr>
          <w:fldChar w:fldCharType="begin"/>
        </w:r>
        <w:r w:rsidR="00D92477">
          <w:rPr>
            <w:noProof/>
            <w:webHidden/>
          </w:rPr>
          <w:instrText xml:space="preserve"> PAGEREF _Toc467491553 \h </w:instrText>
        </w:r>
        <w:r w:rsidR="00D92477">
          <w:rPr>
            <w:noProof/>
            <w:webHidden/>
          </w:rPr>
        </w:r>
        <w:r w:rsidR="00D92477">
          <w:rPr>
            <w:noProof/>
            <w:webHidden/>
          </w:rPr>
          <w:fldChar w:fldCharType="separate"/>
        </w:r>
        <w:r w:rsidR="00991C8D">
          <w:rPr>
            <w:noProof/>
            <w:webHidden/>
          </w:rPr>
          <w:t>1</w:t>
        </w:r>
        <w:r w:rsidR="00D92477">
          <w:rPr>
            <w:noProof/>
            <w:webHidden/>
          </w:rPr>
          <w:fldChar w:fldCharType="end"/>
        </w:r>
      </w:hyperlink>
    </w:p>
    <w:p w:rsidR="00D92477" w:rsidRDefault="005E27BE">
      <w:pPr>
        <w:pStyle w:val="TOC2"/>
        <w:rPr>
          <w:rFonts w:asciiTheme="minorHAnsi" w:eastAsiaTheme="minorEastAsia" w:hAnsiTheme="minorHAnsi" w:cstheme="minorBidi"/>
          <w:noProof/>
          <w:szCs w:val="22"/>
          <w:lang w:eastAsia="en-AU"/>
        </w:rPr>
      </w:pPr>
      <w:hyperlink w:anchor="_Toc467491554" w:history="1">
        <w:r w:rsidR="00D92477" w:rsidRPr="00ED5CD3">
          <w:rPr>
            <w:rStyle w:val="Hyperlink"/>
            <w:noProof/>
          </w:rPr>
          <w:t>3.1  Cocktail optimisation</w:t>
        </w:r>
        <w:r w:rsidR="00D92477">
          <w:rPr>
            <w:noProof/>
            <w:webHidden/>
          </w:rPr>
          <w:tab/>
        </w:r>
        <w:r w:rsidR="00D92477">
          <w:rPr>
            <w:noProof/>
            <w:webHidden/>
          </w:rPr>
          <w:fldChar w:fldCharType="begin"/>
        </w:r>
        <w:r w:rsidR="00D92477">
          <w:rPr>
            <w:noProof/>
            <w:webHidden/>
          </w:rPr>
          <w:instrText xml:space="preserve"> PAGEREF _Toc467491554 \h </w:instrText>
        </w:r>
        <w:r w:rsidR="00D92477">
          <w:rPr>
            <w:noProof/>
            <w:webHidden/>
          </w:rPr>
        </w:r>
        <w:r w:rsidR="00D92477">
          <w:rPr>
            <w:noProof/>
            <w:webHidden/>
          </w:rPr>
          <w:fldChar w:fldCharType="separate"/>
        </w:r>
        <w:r w:rsidR="00991C8D">
          <w:rPr>
            <w:noProof/>
            <w:webHidden/>
          </w:rPr>
          <w:t>1</w:t>
        </w:r>
        <w:r w:rsidR="00D92477">
          <w:rPr>
            <w:noProof/>
            <w:webHidden/>
          </w:rPr>
          <w:fldChar w:fldCharType="end"/>
        </w:r>
      </w:hyperlink>
    </w:p>
    <w:p w:rsidR="00D92477" w:rsidRDefault="005E27BE">
      <w:pPr>
        <w:pStyle w:val="TOC2"/>
        <w:rPr>
          <w:rFonts w:asciiTheme="minorHAnsi" w:eastAsiaTheme="minorEastAsia" w:hAnsiTheme="minorHAnsi" w:cstheme="minorBidi"/>
          <w:noProof/>
          <w:szCs w:val="22"/>
          <w:lang w:eastAsia="en-AU"/>
        </w:rPr>
      </w:pPr>
      <w:hyperlink w:anchor="_Toc467491555" w:history="1">
        <w:r w:rsidR="00D92477" w:rsidRPr="00ED5CD3">
          <w:rPr>
            <w:rStyle w:val="Hyperlink"/>
            <w:noProof/>
          </w:rPr>
          <w:t>3.2  Optimisation of count parameters</w:t>
        </w:r>
        <w:r w:rsidR="00D92477">
          <w:rPr>
            <w:noProof/>
            <w:webHidden/>
          </w:rPr>
          <w:tab/>
        </w:r>
        <w:r w:rsidR="00D92477">
          <w:rPr>
            <w:noProof/>
            <w:webHidden/>
          </w:rPr>
          <w:fldChar w:fldCharType="begin"/>
        </w:r>
        <w:r w:rsidR="00D92477">
          <w:rPr>
            <w:noProof/>
            <w:webHidden/>
          </w:rPr>
          <w:instrText xml:space="preserve"> PAGEREF _Toc467491555 \h </w:instrText>
        </w:r>
        <w:r w:rsidR="00D92477">
          <w:rPr>
            <w:noProof/>
            <w:webHidden/>
          </w:rPr>
        </w:r>
        <w:r w:rsidR="00D92477">
          <w:rPr>
            <w:noProof/>
            <w:webHidden/>
          </w:rPr>
          <w:fldChar w:fldCharType="separate"/>
        </w:r>
        <w:r w:rsidR="00991C8D">
          <w:rPr>
            <w:noProof/>
            <w:webHidden/>
          </w:rPr>
          <w:t>1</w:t>
        </w:r>
        <w:r w:rsidR="00D92477">
          <w:rPr>
            <w:noProof/>
            <w:webHidden/>
          </w:rPr>
          <w:fldChar w:fldCharType="end"/>
        </w:r>
      </w:hyperlink>
    </w:p>
    <w:p w:rsidR="00D92477" w:rsidRDefault="005E27BE">
      <w:pPr>
        <w:pStyle w:val="TOC3"/>
        <w:rPr>
          <w:rFonts w:asciiTheme="minorHAnsi" w:eastAsiaTheme="minorEastAsia" w:hAnsiTheme="minorHAnsi" w:cstheme="minorBidi"/>
          <w:noProof/>
          <w:sz w:val="22"/>
          <w:szCs w:val="22"/>
          <w:lang w:eastAsia="en-AU"/>
        </w:rPr>
      </w:pPr>
      <w:hyperlink w:anchor="_Toc467491556" w:history="1">
        <w:r w:rsidR="00D92477" w:rsidRPr="00ED5CD3">
          <w:rPr>
            <w:rStyle w:val="Hyperlink"/>
            <w:noProof/>
          </w:rPr>
          <w:t>3.2.1  Delay before burst and anti-coincidence timing</w:t>
        </w:r>
        <w:r w:rsidR="00D92477">
          <w:rPr>
            <w:noProof/>
            <w:webHidden/>
          </w:rPr>
          <w:tab/>
        </w:r>
        <w:r w:rsidR="00D92477">
          <w:rPr>
            <w:noProof/>
            <w:webHidden/>
          </w:rPr>
          <w:fldChar w:fldCharType="begin"/>
        </w:r>
        <w:r w:rsidR="00D92477">
          <w:rPr>
            <w:noProof/>
            <w:webHidden/>
          </w:rPr>
          <w:instrText xml:space="preserve"> PAGEREF _Toc467491556 \h </w:instrText>
        </w:r>
        <w:r w:rsidR="00D92477">
          <w:rPr>
            <w:noProof/>
            <w:webHidden/>
          </w:rPr>
        </w:r>
        <w:r w:rsidR="00D92477">
          <w:rPr>
            <w:noProof/>
            <w:webHidden/>
          </w:rPr>
          <w:fldChar w:fldCharType="separate"/>
        </w:r>
        <w:r w:rsidR="00991C8D">
          <w:rPr>
            <w:noProof/>
            <w:webHidden/>
          </w:rPr>
          <w:t>1</w:t>
        </w:r>
        <w:r w:rsidR="00D92477">
          <w:rPr>
            <w:noProof/>
            <w:webHidden/>
          </w:rPr>
          <w:fldChar w:fldCharType="end"/>
        </w:r>
      </w:hyperlink>
    </w:p>
    <w:p w:rsidR="00D92477" w:rsidRDefault="005E27BE">
      <w:pPr>
        <w:pStyle w:val="TOC3"/>
        <w:rPr>
          <w:rFonts w:asciiTheme="minorHAnsi" w:eastAsiaTheme="minorEastAsia" w:hAnsiTheme="minorHAnsi" w:cstheme="minorBidi"/>
          <w:noProof/>
          <w:sz w:val="22"/>
          <w:szCs w:val="22"/>
          <w:lang w:eastAsia="en-AU"/>
        </w:rPr>
      </w:pPr>
      <w:hyperlink w:anchor="_Toc467491557" w:history="1">
        <w:r w:rsidR="00D92477" w:rsidRPr="00ED5CD3">
          <w:rPr>
            <w:rStyle w:val="Hyperlink"/>
            <w:noProof/>
          </w:rPr>
          <w:t>3.2.2  Efficiency calibration and cocktail stability</w:t>
        </w:r>
        <w:r w:rsidR="00D92477">
          <w:rPr>
            <w:noProof/>
            <w:webHidden/>
          </w:rPr>
          <w:tab/>
        </w:r>
        <w:r w:rsidR="00D92477">
          <w:rPr>
            <w:noProof/>
            <w:webHidden/>
          </w:rPr>
          <w:fldChar w:fldCharType="begin"/>
        </w:r>
        <w:r w:rsidR="00D92477">
          <w:rPr>
            <w:noProof/>
            <w:webHidden/>
          </w:rPr>
          <w:instrText xml:space="preserve"> PAGEREF _Toc467491557 \h </w:instrText>
        </w:r>
        <w:r w:rsidR="00D92477">
          <w:rPr>
            <w:noProof/>
            <w:webHidden/>
          </w:rPr>
        </w:r>
        <w:r w:rsidR="00D92477">
          <w:rPr>
            <w:noProof/>
            <w:webHidden/>
          </w:rPr>
          <w:fldChar w:fldCharType="separate"/>
        </w:r>
        <w:r w:rsidR="00991C8D">
          <w:rPr>
            <w:noProof/>
            <w:webHidden/>
          </w:rPr>
          <w:t>1</w:t>
        </w:r>
        <w:r w:rsidR="00D92477">
          <w:rPr>
            <w:noProof/>
            <w:webHidden/>
          </w:rPr>
          <w:fldChar w:fldCharType="end"/>
        </w:r>
      </w:hyperlink>
    </w:p>
    <w:p w:rsidR="00D92477" w:rsidRDefault="005E27BE">
      <w:pPr>
        <w:pStyle w:val="TOC3"/>
        <w:rPr>
          <w:rFonts w:asciiTheme="minorHAnsi" w:eastAsiaTheme="minorEastAsia" w:hAnsiTheme="minorHAnsi" w:cstheme="minorBidi"/>
          <w:noProof/>
          <w:sz w:val="22"/>
          <w:szCs w:val="22"/>
          <w:lang w:eastAsia="en-AU"/>
        </w:rPr>
      </w:pPr>
      <w:hyperlink w:anchor="_Toc467491558" w:history="1">
        <w:r w:rsidR="00D92477" w:rsidRPr="00ED5CD3">
          <w:rPr>
            <w:rStyle w:val="Hyperlink"/>
            <w:noProof/>
          </w:rPr>
          <w:t>3.2.3  Selection of counting windows</w:t>
        </w:r>
        <w:r w:rsidR="00D92477">
          <w:rPr>
            <w:noProof/>
            <w:webHidden/>
          </w:rPr>
          <w:tab/>
        </w:r>
        <w:r w:rsidR="00D92477">
          <w:rPr>
            <w:noProof/>
            <w:webHidden/>
          </w:rPr>
          <w:fldChar w:fldCharType="begin"/>
        </w:r>
        <w:r w:rsidR="00D92477">
          <w:rPr>
            <w:noProof/>
            <w:webHidden/>
          </w:rPr>
          <w:instrText xml:space="preserve"> PAGEREF _Toc467491558 \h </w:instrText>
        </w:r>
        <w:r w:rsidR="00D92477">
          <w:rPr>
            <w:noProof/>
            <w:webHidden/>
          </w:rPr>
        </w:r>
        <w:r w:rsidR="00D92477">
          <w:rPr>
            <w:noProof/>
            <w:webHidden/>
          </w:rPr>
          <w:fldChar w:fldCharType="separate"/>
        </w:r>
        <w:r w:rsidR="00991C8D">
          <w:rPr>
            <w:noProof/>
            <w:webHidden/>
          </w:rPr>
          <w:t>1</w:t>
        </w:r>
        <w:r w:rsidR="00D92477">
          <w:rPr>
            <w:noProof/>
            <w:webHidden/>
          </w:rPr>
          <w:fldChar w:fldCharType="end"/>
        </w:r>
      </w:hyperlink>
    </w:p>
    <w:p w:rsidR="00D92477" w:rsidRDefault="005E27BE">
      <w:pPr>
        <w:pStyle w:val="TOC3"/>
        <w:rPr>
          <w:rFonts w:asciiTheme="minorHAnsi" w:eastAsiaTheme="minorEastAsia" w:hAnsiTheme="minorHAnsi" w:cstheme="minorBidi"/>
          <w:noProof/>
          <w:sz w:val="22"/>
          <w:szCs w:val="22"/>
          <w:lang w:eastAsia="en-AU"/>
        </w:rPr>
      </w:pPr>
      <w:hyperlink w:anchor="_Toc467491559" w:history="1">
        <w:r w:rsidR="00D92477" w:rsidRPr="00ED5CD3">
          <w:rPr>
            <w:rStyle w:val="Hyperlink"/>
            <w:noProof/>
          </w:rPr>
          <w:t>3.2.4  Method comparison</w:t>
        </w:r>
        <w:r w:rsidR="00D92477">
          <w:rPr>
            <w:noProof/>
            <w:webHidden/>
          </w:rPr>
          <w:tab/>
        </w:r>
        <w:r w:rsidR="00D92477">
          <w:rPr>
            <w:noProof/>
            <w:webHidden/>
          </w:rPr>
          <w:fldChar w:fldCharType="begin"/>
        </w:r>
        <w:r w:rsidR="00D92477">
          <w:rPr>
            <w:noProof/>
            <w:webHidden/>
          </w:rPr>
          <w:instrText xml:space="preserve"> PAGEREF _Toc467491559 \h </w:instrText>
        </w:r>
        <w:r w:rsidR="00D92477">
          <w:rPr>
            <w:noProof/>
            <w:webHidden/>
          </w:rPr>
        </w:r>
        <w:r w:rsidR="00D92477">
          <w:rPr>
            <w:noProof/>
            <w:webHidden/>
          </w:rPr>
          <w:fldChar w:fldCharType="separate"/>
        </w:r>
        <w:r w:rsidR="00991C8D">
          <w:rPr>
            <w:noProof/>
            <w:webHidden/>
          </w:rPr>
          <w:t>1</w:t>
        </w:r>
        <w:r w:rsidR="00D92477">
          <w:rPr>
            <w:noProof/>
            <w:webHidden/>
          </w:rPr>
          <w:fldChar w:fldCharType="end"/>
        </w:r>
      </w:hyperlink>
    </w:p>
    <w:p w:rsidR="00D92477" w:rsidRDefault="005E27BE">
      <w:pPr>
        <w:pStyle w:val="TOC1"/>
        <w:rPr>
          <w:rFonts w:asciiTheme="minorHAnsi" w:eastAsiaTheme="minorEastAsia" w:hAnsiTheme="minorHAnsi" w:cstheme="minorBidi"/>
          <w:b w:val="0"/>
          <w:noProof/>
          <w:sz w:val="22"/>
          <w:szCs w:val="22"/>
          <w:lang w:eastAsia="en-AU"/>
        </w:rPr>
      </w:pPr>
      <w:hyperlink w:anchor="_Toc467491560" w:history="1">
        <w:r w:rsidR="00D92477" w:rsidRPr="00ED5CD3">
          <w:rPr>
            <w:rStyle w:val="Hyperlink"/>
            <w:noProof/>
          </w:rPr>
          <w:t>4.  Results</w:t>
        </w:r>
        <w:r w:rsidR="00D92477">
          <w:rPr>
            <w:noProof/>
            <w:webHidden/>
          </w:rPr>
          <w:tab/>
        </w:r>
        <w:r w:rsidR="00D92477">
          <w:rPr>
            <w:noProof/>
            <w:webHidden/>
          </w:rPr>
          <w:fldChar w:fldCharType="begin"/>
        </w:r>
        <w:r w:rsidR="00D92477">
          <w:rPr>
            <w:noProof/>
            <w:webHidden/>
          </w:rPr>
          <w:instrText xml:space="preserve"> PAGEREF _Toc467491560 \h </w:instrText>
        </w:r>
        <w:r w:rsidR="00D92477">
          <w:rPr>
            <w:noProof/>
            <w:webHidden/>
          </w:rPr>
        </w:r>
        <w:r w:rsidR="00D92477">
          <w:rPr>
            <w:noProof/>
            <w:webHidden/>
          </w:rPr>
          <w:fldChar w:fldCharType="separate"/>
        </w:r>
        <w:r w:rsidR="00991C8D">
          <w:rPr>
            <w:noProof/>
            <w:webHidden/>
          </w:rPr>
          <w:t>1</w:t>
        </w:r>
        <w:r w:rsidR="00D92477">
          <w:rPr>
            <w:noProof/>
            <w:webHidden/>
          </w:rPr>
          <w:fldChar w:fldCharType="end"/>
        </w:r>
      </w:hyperlink>
    </w:p>
    <w:p w:rsidR="00D92477" w:rsidRDefault="005E27BE">
      <w:pPr>
        <w:pStyle w:val="TOC2"/>
        <w:rPr>
          <w:rFonts w:asciiTheme="minorHAnsi" w:eastAsiaTheme="minorEastAsia" w:hAnsiTheme="minorHAnsi" w:cstheme="minorBidi"/>
          <w:noProof/>
          <w:szCs w:val="22"/>
          <w:lang w:eastAsia="en-AU"/>
        </w:rPr>
      </w:pPr>
      <w:hyperlink w:anchor="_Toc467491561" w:history="1">
        <w:r w:rsidR="00D92477" w:rsidRPr="00ED5CD3">
          <w:rPr>
            <w:rStyle w:val="Hyperlink"/>
            <w:noProof/>
          </w:rPr>
          <w:t>4.1  Transformed spectral index of the internal standard (tSIE)</w:t>
        </w:r>
        <w:r w:rsidR="00D92477">
          <w:rPr>
            <w:noProof/>
            <w:webHidden/>
          </w:rPr>
          <w:tab/>
        </w:r>
        <w:r w:rsidR="00D92477">
          <w:rPr>
            <w:noProof/>
            <w:webHidden/>
          </w:rPr>
          <w:fldChar w:fldCharType="begin"/>
        </w:r>
        <w:r w:rsidR="00D92477">
          <w:rPr>
            <w:noProof/>
            <w:webHidden/>
          </w:rPr>
          <w:instrText xml:space="preserve"> PAGEREF _Toc467491561 \h </w:instrText>
        </w:r>
        <w:r w:rsidR="00D92477">
          <w:rPr>
            <w:noProof/>
            <w:webHidden/>
          </w:rPr>
        </w:r>
        <w:r w:rsidR="00D92477">
          <w:rPr>
            <w:noProof/>
            <w:webHidden/>
          </w:rPr>
          <w:fldChar w:fldCharType="separate"/>
        </w:r>
        <w:r w:rsidR="00991C8D">
          <w:rPr>
            <w:noProof/>
            <w:webHidden/>
          </w:rPr>
          <w:t>1</w:t>
        </w:r>
        <w:r w:rsidR="00D92477">
          <w:rPr>
            <w:noProof/>
            <w:webHidden/>
          </w:rPr>
          <w:fldChar w:fldCharType="end"/>
        </w:r>
      </w:hyperlink>
    </w:p>
    <w:p w:rsidR="00D92477" w:rsidRDefault="005E27BE">
      <w:pPr>
        <w:pStyle w:val="TOC2"/>
        <w:rPr>
          <w:rFonts w:asciiTheme="minorHAnsi" w:eastAsiaTheme="minorEastAsia" w:hAnsiTheme="minorHAnsi" w:cstheme="minorBidi"/>
          <w:noProof/>
          <w:szCs w:val="22"/>
          <w:lang w:eastAsia="en-AU"/>
        </w:rPr>
      </w:pPr>
      <w:hyperlink w:anchor="_Toc467491562" w:history="1">
        <w:r w:rsidR="00D92477" w:rsidRPr="00ED5CD3">
          <w:rPr>
            <w:rStyle w:val="Hyperlink"/>
            <w:noProof/>
          </w:rPr>
          <w:t>4.2  Optimising E</w:t>
        </w:r>
        <w:r w:rsidR="00D92477" w:rsidRPr="00ED5CD3">
          <w:rPr>
            <w:rStyle w:val="Hyperlink"/>
            <w:noProof/>
            <w:snapToGrid w:val="0"/>
            <w:position w:val="6"/>
            <w:u w:color="000000"/>
          </w:rPr>
          <w:t>2</w:t>
        </w:r>
        <w:r w:rsidR="00D92477" w:rsidRPr="00ED5CD3">
          <w:rPr>
            <w:rStyle w:val="Hyperlink"/>
            <w:noProof/>
          </w:rPr>
          <w:t>/B for varying volumes of UGAB</w:t>
        </w:r>
        <w:r w:rsidR="00D92477">
          <w:rPr>
            <w:noProof/>
            <w:webHidden/>
          </w:rPr>
          <w:tab/>
        </w:r>
        <w:r w:rsidR="00D92477">
          <w:rPr>
            <w:noProof/>
            <w:webHidden/>
          </w:rPr>
          <w:fldChar w:fldCharType="begin"/>
        </w:r>
        <w:r w:rsidR="00D92477">
          <w:rPr>
            <w:noProof/>
            <w:webHidden/>
          </w:rPr>
          <w:instrText xml:space="preserve"> PAGEREF _Toc467491562 \h </w:instrText>
        </w:r>
        <w:r w:rsidR="00D92477">
          <w:rPr>
            <w:noProof/>
            <w:webHidden/>
          </w:rPr>
        </w:r>
        <w:r w:rsidR="00D92477">
          <w:rPr>
            <w:noProof/>
            <w:webHidden/>
          </w:rPr>
          <w:fldChar w:fldCharType="separate"/>
        </w:r>
        <w:r w:rsidR="00991C8D">
          <w:rPr>
            <w:noProof/>
            <w:webHidden/>
          </w:rPr>
          <w:t>1</w:t>
        </w:r>
        <w:r w:rsidR="00D92477">
          <w:rPr>
            <w:noProof/>
            <w:webHidden/>
          </w:rPr>
          <w:fldChar w:fldCharType="end"/>
        </w:r>
      </w:hyperlink>
    </w:p>
    <w:p w:rsidR="00D92477" w:rsidRDefault="005E27BE">
      <w:pPr>
        <w:pStyle w:val="TOC2"/>
        <w:rPr>
          <w:rFonts w:asciiTheme="minorHAnsi" w:eastAsiaTheme="minorEastAsia" w:hAnsiTheme="minorHAnsi" w:cstheme="minorBidi"/>
          <w:noProof/>
          <w:szCs w:val="22"/>
          <w:lang w:eastAsia="en-AU"/>
        </w:rPr>
      </w:pPr>
      <w:hyperlink w:anchor="_Toc467491563" w:history="1">
        <w:r w:rsidR="00D92477" w:rsidRPr="00ED5CD3">
          <w:rPr>
            <w:rStyle w:val="Hyperlink"/>
            <w:noProof/>
          </w:rPr>
          <w:t>4.3  Optimising E</w:t>
        </w:r>
        <w:r w:rsidR="00D92477" w:rsidRPr="00ED5CD3">
          <w:rPr>
            <w:rStyle w:val="Hyperlink"/>
            <w:noProof/>
            <w:snapToGrid w:val="0"/>
            <w:position w:val="6"/>
            <w:u w:color="000000"/>
          </w:rPr>
          <w:t>2</w:t>
        </w:r>
        <w:r w:rsidR="00D92477" w:rsidRPr="00ED5CD3">
          <w:rPr>
            <w:rStyle w:val="Hyperlink"/>
            <w:noProof/>
          </w:rPr>
          <w:t>/B for varying anti-coincidence (AC) timing</w:t>
        </w:r>
        <w:r w:rsidR="00D92477">
          <w:rPr>
            <w:noProof/>
            <w:webHidden/>
          </w:rPr>
          <w:tab/>
        </w:r>
        <w:r w:rsidR="00D92477">
          <w:rPr>
            <w:noProof/>
            <w:webHidden/>
          </w:rPr>
          <w:fldChar w:fldCharType="begin"/>
        </w:r>
        <w:r w:rsidR="00D92477">
          <w:rPr>
            <w:noProof/>
            <w:webHidden/>
          </w:rPr>
          <w:instrText xml:space="preserve"> PAGEREF _Toc467491563 \h </w:instrText>
        </w:r>
        <w:r w:rsidR="00D92477">
          <w:rPr>
            <w:noProof/>
            <w:webHidden/>
          </w:rPr>
        </w:r>
        <w:r w:rsidR="00D92477">
          <w:rPr>
            <w:noProof/>
            <w:webHidden/>
          </w:rPr>
          <w:fldChar w:fldCharType="separate"/>
        </w:r>
        <w:r w:rsidR="00991C8D">
          <w:rPr>
            <w:noProof/>
            <w:webHidden/>
          </w:rPr>
          <w:t>1</w:t>
        </w:r>
        <w:r w:rsidR="00D92477">
          <w:rPr>
            <w:noProof/>
            <w:webHidden/>
          </w:rPr>
          <w:fldChar w:fldCharType="end"/>
        </w:r>
      </w:hyperlink>
    </w:p>
    <w:p w:rsidR="00D92477" w:rsidRDefault="005E27BE">
      <w:pPr>
        <w:pStyle w:val="TOC2"/>
        <w:rPr>
          <w:rFonts w:asciiTheme="minorHAnsi" w:eastAsiaTheme="minorEastAsia" w:hAnsiTheme="minorHAnsi" w:cstheme="minorBidi"/>
          <w:noProof/>
          <w:szCs w:val="22"/>
          <w:lang w:eastAsia="en-AU"/>
        </w:rPr>
      </w:pPr>
      <w:hyperlink w:anchor="_Toc467491564" w:history="1">
        <w:r w:rsidR="00D92477" w:rsidRPr="00ED5CD3">
          <w:rPr>
            <w:rStyle w:val="Hyperlink"/>
            <w:noProof/>
          </w:rPr>
          <w:t>4.4  Optimisation of the counting windows</w:t>
        </w:r>
        <w:r w:rsidR="00D92477">
          <w:rPr>
            <w:noProof/>
            <w:webHidden/>
          </w:rPr>
          <w:tab/>
        </w:r>
        <w:r w:rsidR="00D92477">
          <w:rPr>
            <w:noProof/>
            <w:webHidden/>
          </w:rPr>
          <w:fldChar w:fldCharType="begin"/>
        </w:r>
        <w:r w:rsidR="00D92477">
          <w:rPr>
            <w:noProof/>
            <w:webHidden/>
          </w:rPr>
          <w:instrText xml:space="preserve"> PAGEREF _Toc467491564 \h </w:instrText>
        </w:r>
        <w:r w:rsidR="00D92477">
          <w:rPr>
            <w:noProof/>
            <w:webHidden/>
          </w:rPr>
        </w:r>
        <w:r w:rsidR="00D92477">
          <w:rPr>
            <w:noProof/>
            <w:webHidden/>
          </w:rPr>
          <w:fldChar w:fldCharType="separate"/>
        </w:r>
        <w:r w:rsidR="00991C8D">
          <w:rPr>
            <w:noProof/>
            <w:webHidden/>
          </w:rPr>
          <w:t>1</w:t>
        </w:r>
        <w:r w:rsidR="00D92477">
          <w:rPr>
            <w:noProof/>
            <w:webHidden/>
          </w:rPr>
          <w:fldChar w:fldCharType="end"/>
        </w:r>
      </w:hyperlink>
    </w:p>
    <w:p w:rsidR="00D92477" w:rsidRDefault="005E27BE">
      <w:pPr>
        <w:pStyle w:val="TOC2"/>
        <w:rPr>
          <w:rFonts w:asciiTheme="minorHAnsi" w:eastAsiaTheme="minorEastAsia" w:hAnsiTheme="minorHAnsi" w:cstheme="minorBidi"/>
          <w:noProof/>
          <w:szCs w:val="22"/>
          <w:lang w:eastAsia="en-AU"/>
        </w:rPr>
      </w:pPr>
      <w:hyperlink w:anchor="_Toc467491565" w:history="1">
        <w:r w:rsidR="00D92477" w:rsidRPr="00ED5CD3">
          <w:rPr>
            <w:rStyle w:val="Hyperlink"/>
            <w:noProof/>
          </w:rPr>
          <w:t>4.5  Efficiency determinations</w:t>
        </w:r>
        <w:r w:rsidR="00D92477">
          <w:rPr>
            <w:noProof/>
            <w:webHidden/>
          </w:rPr>
          <w:tab/>
        </w:r>
        <w:r w:rsidR="00D92477">
          <w:rPr>
            <w:noProof/>
            <w:webHidden/>
          </w:rPr>
          <w:fldChar w:fldCharType="begin"/>
        </w:r>
        <w:r w:rsidR="00D92477">
          <w:rPr>
            <w:noProof/>
            <w:webHidden/>
          </w:rPr>
          <w:instrText xml:space="preserve"> PAGEREF _Toc467491565 \h </w:instrText>
        </w:r>
        <w:r w:rsidR="00D92477">
          <w:rPr>
            <w:noProof/>
            <w:webHidden/>
          </w:rPr>
        </w:r>
        <w:r w:rsidR="00D92477">
          <w:rPr>
            <w:noProof/>
            <w:webHidden/>
          </w:rPr>
          <w:fldChar w:fldCharType="separate"/>
        </w:r>
        <w:r w:rsidR="00991C8D">
          <w:rPr>
            <w:noProof/>
            <w:webHidden/>
          </w:rPr>
          <w:t>1</w:t>
        </w:r>
        <w:r w:rsidR="00D92477">
          <w:rPr>
            <w:noProof/>
            <w:webHidden/>
          </w:rPr>
          <w:fldChar w:fldCharType="end"/>
        </w:r>
      </w:hyperlink>
    </w:p>
    <w:p w:rsidR="00D92477" w:rsidRDefault="005E27BE">
      <w:pPr>
        <w:pStyle w:val="TOC2"/>
        <w:rPr>
          <w:rFonts w:asciiTheme="minorHAnsi" w:eastAsiaTheme="minorEastAsia" w:hAnsiTheme="minorHAnsi" w:cstheme="minorBidi"/>
          <w:noProof/>
          <w:szCs w:val="22"/>
          <w:lang w:eastAsia="en-AU"/>
        </w:rPr>
      </w:pPr>
      <w:hyperlink w:anchor="_Toc467491566" w:history="1">
        <w:r w:rsidR="00D92477" w:rsidRPr="00ED5CD3">
          <w:rPr>
            <w:rStyle w:val="Hyperlink"/>
            <w:noProof/>
          </w:rPr>
          <w:t xml:space="preserve">4.6  Calculation of </w:t>
        </w:r>
        <w:r w:rsidR="00D92477" w:rsidRPr="00ED5CD3">
          <w:rPr>
            <w:rStyle w:val="Hyperlink"/>
            <w:noProof/>
            <w:snapToGrid w:val="0"/>
            <w:position w:val="6"/>
            <w:u w:color="000000"/>
          </w:rPr>
          <w:t>210</w:t>
        </w:r>
        <w:r w:rsidR="00D92477" w:rsidRPr="00ED5CD3">
          <w:rPr>
            <w:rStyle w:val="Hyperlink"/>
            <w:noProof/>
          </w:rPr>
          <w:t>Pb activity concentrations from LSC</w:t>
        </w:r>
        <w:r w:rsidR="00D92477">
          <w:rPr>
            <w:noProof/>
            <w:webHidden/>
          </w:rPr>
          <w:tab/>
        </w:r>
        <w:r w:rsidR="00D92477">
          <w:rPr>
            <w:noProof/>
            <w:webHidden/>
          </w:rPr>
          <w:fldChar w:fldCharType="begin"/>
        </w:r>
        <w:r w:rsidR="00D92477">
          <w:rPr>
            <w:noProof/>
            <w:webHidden/>
          </w:rPr>
          <w:instrText xml:space="preserve"> PAGEREF _Toc467491566 \h </w:instrText>
        </w:r>
        <w:r w:rsidR="00D92477">
          <w:rPr>
            <w:noProof/>
            <w:webHidden/>
          </w:rPr>
        </w:r>
        <w:r w:rsidR="00D92477">
          <w:rPr>
            <w:noProof/>
            <w:webHidden/>
          </w:rPr>
          <w:fldChar w:fldCharType="separate"/>
        </w:r>
        <w:r w:rsidR="00991C8D">
          <w:rPr>
            <w:noProof/>
            <w:webHidden/>
          </w:rPr>
          <w:t>1</w:t>
        </w:r>
        <w:r w:rsidR="00D92477">
          <w:rPr>
            <w:noProof/>
            <w:webHidden/>
          </w:rPr>
          <w:fldChar w:fldCharType="end"/>
        </w:r>
      </w:hyperlink>
    </w:p>
    <w:p w:rsidR="00D92477" w:rsidRDefault="005E27BE">
      <w:pPr>
        <w:pStyle w:val="TOC2"/>
        <w:rPr>
          <w:rFonts w:asciiTheme="minorHAnsi" w:eastAsiaTheme="minorEastAsia" w:hAnsiTheme="minorHAnsi" w:cstheme="minorBidi"/>
          <w:noProof/>
          <w:szCs w:val="22"/>
          <w:lang w:eastAsia="en-AU"/>
        </w:rPr>
      </w:pPr>
      <w:hyperlink w:anchor="_Toc467491567" w:history="1">
        <w:r w:rsidR="00D92477" w:rsidRPr="00ED5CD3">
          <w:rPr>
            <w:rStyle w:val="Hyperlink"/>
            <w:noProof/>
          </w:rPr>
          <w:t xml:space="preserve">4.7  Calculation of the uncertainty associated with calculated </w:t>
        </w:r>
        <w:r w:rsidR="00D92477" w:rsidRPr="00ED5CD3">
          <w:rPr>
            <w:rStyle w:val="Hyperlink"/>
            <w:noProof/>
            <w:snapToGrid w:val="0"/>
            <w:position w:val="6"/>
            <w:u w:color="000000"/>
          </w:rPr>
          <w:t>210</w:t>
        </w:r>
        <w:r w:rsidR="00D92477" w:rsidRPr="00ED5CD3">
          <w:rPr>
            <w:rStyle w:val="Hyperlink"/>
            <w:noProof/>
          </w:rPr>
          <w:t>Pb activity concentrations</w:t>
        </w:r>
        <w:r w:rsidR="00D92477">
          <w:rPr>
            <w:noProof/>
            <w:webHidden/>
          </w:rPr>
          <w:tab/>
        </w:r>
        <w:r w:rsidR="00D92477">
          <w:rPr>
            <w:noProof/>
            <w:webHidden/>
          </w:rPr>
          <w:fldChar w:fldCharType="begin"/>
        </w:r>
        <w:r w:rsidR="00D92477">
          <w:rPr>
            <w:noProof/>
            <w:webHidden/>
          </w:rPr>
          <w:instrText xml:space="preserve"> PAGEREF _Toc467491567 \h </w:instrText>
        </w:r>
        <w:r w:rsidR="00D92477">
          <w:rPr>
            <w:noProof/>
            <w:webHidden/>
          </w:rPr>
        </w:r>
        <w:r w:rsidR="00D92477">
          <w:rPr>
            <w:noProof/>
            <w:webHidden/>
          </w:rPr>
          <w:fldChar w:fldCharType="separate"/>
        </w:r>
        <w:r w:rsidR="00991C8D">
          <w:rPr>
            <w:noProof/>
            <w:webHidden/>
          </w:rPr>
          <w:t>1</w:t>
        </w:r>
        <w:r w:rsidR="00D92477">
          <w:rPr>
            <w:noProof/>
            <w:webHidden/>
          </w:rPr>
          <w:fldChar w:fldCharType="end"/>
        </w:r>
      </w:hyperlink>
    </w:p>
    <w:p w:rsidR="00D92477" w:rsidRDefault="005E27BE">
      <w:pPr>
        <w:pStyle w:val="TOC2"/>
        <w:rPr>
          <w:rFonts w:asciiTheme="minorHAnsi" w:eastAsiaTheme="minorEastAsia" w:hAnsiTheme="minorHAnsi" w:cstheme="minorBidi"/>
          <w:noProof/>
          <w:szCs w:val="22"/>
          <w:lang w:eastAsia="en-AU"/>
        </w:rPr>
      </w:pPr>
      <w:hyperlink w:anchor="_Toc467491568" w:history="1">
        <w:r w:rsidR="00D92477" w:rsidRPr="00ED5CD3">
          <w:rPr>
            <w:rStyle w:val="Hyperlink"/>
            <w:noProof/>
          </w:rPr>
          <w:t>4.8  Linearity test</w:t>
        </w:r>
        <w:r w:rsidR="00D92477">
          <w:rPr>
            <w:noProof/>
            <w:webHidden/>
          </w:rPr>
          <w:tab/>
        </w:r>
        <w:r w:rsidR="00D92477">
          <w:rPr>
            <w:noProof/>
            <w:webHidden/>
          </w:rPr>
          <w:fldChar w:fldCharType="begin"/>
        </w:r>
        <w:r w:rsidR="00D92477">
          <w:rPr>
            <w:noProof/>
            <w:webHidden/>
          </w:rPr>
          <w:instrText xml:space="preserve"> PAGEREF _Toc467491568 \h </w:instrText>
        </w:r>
        <w:r w:rsidR="00D92477">
          <w:rPr>
            <w:noProof/>
            <w:webHidden/>
          </w:rPr>
        </w:r>
        <w:r w:rsidR="00D92477">
          <w:rPr>
            <w:noProof/>
            <w:webHidden/>
          </w:rPr>
          <w:fldChar w:fldCharType="separate"/>
        </w:r>
        <w:r w:rsidR="00991C8D">
          <w:rPr>
            <w:noProof/>
            <w:webHidden/>
          </w:rPr>
          <w:t>1</w:t>
        </w:r>
        <w:r w:rsidR="00D92477">
          <w:rPr>
            <w:noProof/>
            <w:webHidden/>
          </w:rPr>
          <w:fldChar w:fldCharType="end"/>
        </w:r>
      </w:hyperlink>
    </w:p>
    <w:p w:rsidR="00D92477" w:rsidRDefault="005E27BE">
      <w:pPr>
        <w:pStyle w:val="TOC2"/>
        <w:rPr>
          <w:rFonts w:asciiTheme="minorHAnsi" w:eastAsiaTheme="minorEastAsia" w:hAnsiTheme="minorHAnsi" w:cstheme="minorBidi"/>
          <w:noProof/>
          <w:szCs w:val="22"/>
          <w:lang w:eastAsia="en-AU"/>
        </w:rPr>
      </w:pPr>
      <w:hyperlink w:anchor="_Toc467491569" w:history="1">
        <w:r w:rsidR="00D92477" w:rsidRPr="00ED5CD3">
          <w:rPr>
            <w:rStyle w:val="Hyperlink"/>
            <w:noProof/>
          </w:rPr>
          <w:t>4.9  Performance with actual samples</w:t>
        </w:r>
        <w:r w:rsidR="00D92477">
          <w:rPr>
            <w:noProof/>
            <w:webHidden/>
          </w:rPr>
          <w:tab/>
        </w:r>
        <w:r w:rsidR="00D92477">
          <w:rPr>
            <w:noProof/>
            <w:webHidden/>
          </w:rPr>
          <w:fldChar w:fldCharType="begin"/>
        </w:r>
        <w:r w:rsidR="00D92477">
          <w:rPr>
            <w:noProof/>
            <w:webHidden/>
          </w:rPr>
          <w:instrText xml:space="preserve"> PAGEREF _Toc467491569 \h </w:instrText>
        </w:r>
        <w:r w:rsidR="00D92477">
          <w:rPr>
            <w:noProof/>
            <w:webHidden/>
          </w:rPr>
        </w:r>
        <w:r w:rsidR="00D92477">
          <w:rPr>
            <w:noProof/>
            <w:webHidden/>
          </w:rPr>
          <w:fldChar w:fldCharType="separate"/>
        </w:r>
        <w:r w:rsidR="00991C8D">
          <w:rPr>
            <w:noProof/>
            <w:webHidden/>
          </w:rPr>
          <w:t>1</w:t>
        </w:r>
        <w:r w:rsidR="00D92477">
          <w:rPr>
            <w:noProof/>
            <w:webHidden/>
          </w:rPr>
          <w:fldChar w:fldCharType="end"/>
        </w:r>
      </w:hyperlink>
    </w:p>
    <w:p w:rsidR="00D92477" w:rsidRDefault="005E27BE">
      <w:pPr>
        <w:pStyle w:val="TOC2"/>
        <w:rPr>
          <w:rFonts w:asciiTheme="minorHAnsi" w:eastAsiaTheme="minorEastAsia" w:hAnsiTheme="minorHAnsi" w:cstheme="minorBidi"/>
          <w:noProof/>
          <w:szCs w:val="22"/>
          <w:lang w:eastAsia="en-AU"/>
        </w:rPr>
      </w:pPr>
      <w:hyperlink w:anchor="_Toc467491570" w:history="1">
        <w:r w:rsidR="00D92477" w:rsidRPr="00ED5CD3">
          <w:rPr>
            <w:rStyle w:val="Hyperlink"/>
            <w:noProof/>
          </w:rPr>
          <w:t>4.10  Analytical blank and limits of detection</w:t>
        </w:r>
        <w:r w:rsidR="00D92477">
          <w:rPr>
            <w:noProof/>
            <w:webHidden/>
          </w:rPr>
          <w:tab/>
        </w:r>
        <w:r w:rsidR="00D92477">
          <w:rPr>
            <w:noProof/>
            <w:webHidden/>
          </w:rPr>
          <w:fldChar w:fldCharType="begin"/>
        </w:r>
        <w:r w:rsidR="00D92477">
          <w:rPr>
            <w:noProof/>
            <w:webHidden/>
          </w:rPr>
          <w:instrText xml:space="preserve"> PAGEREF _Toc467491570 \h </w:instrText>
        </w:r>
        <w:r w:rsidR="00D92477">
          <w:rPr>
            <w:noProof/>
            <w:webHidden/>
          </w:rPr>
        </w:r>
        <w:r w:rsidR="00D92477">
          <w:rPr>
            <w:noProof/>
            <w:webHidden/>
          </w:rPr>
          <w:fldChar w:fldCharType="separate"/>
        </w:r>
        <w:r w:rsidR="00991C8D">
          <w:rPr>
            <w:noProof/>
            <w:webHidden/>
          </w:rPr>
          <w:t>1</w:t>
        </w:r>
        <w:r w:rsidR="00D92477">
          <w:rPr>
            <w:noProof/>
            <w:webHidden/>
          </w:rPr>
          <w:fldChar w:fldCharType="end"/>
        </w:r>
      </w:hyperlink>
    </w:p>
    <w:p w:rsidR="00D92477" w:rsidRDefault="005E27BE">
      <w:pPr>
        <w:pStyle w:val="TOC2"/>
        <w:rPr>
          <w:rFonts w:asciiTheme="minorHAnsi" w:eastAsiaTheme="minorEastAsia" w:hAnsiTheme="minorHAnsi" w:cstheme="minorBidi"/>
          <w:noProof/>
          <w:szCs w:val="22"/>
          <w:lang w:eastAsia="en-AU"/>
        </w:rPr>
      </w:pPr>
      <w:hyperlink w:anchor="_Toc467491571" w:history="1">
        <w:r w:rsidR="00D92477" w:rsidRPr="00ED5CD3">
          <w:rPr>
            <w:rStyle w:val="Hyperlink"/>
            <w:noProof/>
          </w:rPr>
          <w:t>4.11  Quench effects</w:t>
        </w:r>
        <w:r w:rsidR="00D92477">
          <w:rPr>
            <w:noProof/>
            <w:webHidden/>
          </w:rPr>
          <w:tab/>
        </w:r>
        <w:r w:rsidR="00D92477">
          <w:rPr>
            <w:noProof/>
            <w:webHidden/>
          </w:rPr>
          <w:fldChar w:fldCharType="begin"/>
        </w:r>
        <w:r w:rsidR="00D92477">
          <w:rPr>
            <w:noProof/>
            <w:webHidden/>
          </w:rPr>
          <w:instrText xml:space="preserve"> PAGEREF _Toc467491571 \h </w:instrText>
        </w:r>
        <w:r w:rsidR="00D92477">
          <w:rPr>
            <w:noProof/>
            <w:webHidden/>
          </w:rPr>
        </w:r>
        <w:r w:rsidR="00D92477">
          <w:rPr>
            <w:noProof/>
            <w:webHidden/>
          </w:rPr>
          <w:fldChar w:fldCharType="separate"/>
        </w:r>
        <w:r w:rsidR="00991C8D">
          <w:rPr>
            <w:noProof/>
            <w:webHidden/>
          </w:rPr>
          <w:t>1</w:t>
        </w:r>
        <w:r w:rsidR="00D92477">
          <w:rPr>
            <w:noProof/>
            <w:webHidden/>
          </w:rPr>
          <w:fldChar w:fldCharType="end"/>
        </w:r>
      </w:hyperlink>
    </w:p>
    <w:p w:rsidR="00D92477" w:rsidRDefault="005E27BE">
      <w:pPr>
        <w:pStyle w:val="TOC1"/>
        <w:rPr>
          <w:rFonts w:asciiTheme="minorHAnsi" w:eastAsiaTheme="minorEastAsia" w:hAnsiTheme="minorHAnsi" w:cstheme="minorBidi"/>
          <w:b w:val="0"/>
          <w:noProof/>
          <w:sz w:val="22"/>
          <w:szCs w:val="22"/>
          <w:lang w:eastAsia="en-AU"/>
        </w:rPr>
      </w:pPr>
      <w:hyperlink w:anchor="_Toc467491572" w:history="1">
        <w:r w:rsidR="00D92477" w:rsidRPr="00ED5CD3">
          <w:rPr>
            <w:rStyle w:val="Hyperlink"/>
            <w:noProof/>
          </w:rPr>
          <w:t>5.  Summary and Discussion</w:t>
        </w:r>
        <w:r w:rsidR="00D92477">
          <w:rPr>
            <w:noProof/>
            <w:webHidden/>
          </w:rPr>
          <w:tab/>
        </w:r>
        <w:r w:rsidR="00D92477">
          <w:rPr>
            <w:noProof/>
            <w:webHidden/>
          </w:rPr>
          <w:fldChar w:fldCharType="begin"/>
        </w:r>
        <w:r w:rsidR="00D92477">
          <w:rPr>
            <w:noProof/>
            <w:webHidden/>
          </w:rPr>
          <w:instrText xml:space="preserve"> PAGEREF _Toc467491572 \h </w:instrText>
        </w:r>
        <w:r w:rsidR="00D92477">
          <w:rPr>
            <w:noProof/>
            <w:webHidden/>
          </w:rPr>
        </w:r>
        <w:r w:rsidR="00D92477">
          <w:rPr>
            <w:noProof/>
            <w:webHidden/>
          </w:rPr>
          <w:fldChar w:fldCharType="separate"/>
        </w:r>
        <w:r w:rsidR="00991C8D">
          <w:rPr>
            <w:noProof/>
            <w:webHidden/>
          </w:rPr>
          <w:t>1</w:t>
        </w:r>
        <w:r w:rsidR="00D92477">
          <w:rPr>
            <w:noProof/>
            <w:webHidden/>
          </w:rPr>
          <w:fldChar w:fldCharType="end"/>
        </w:r>
      </w:hyperlink>
    </w:p>
    <w:p w:rsidR="00D92477" w:rsidRDefault="005E27BE">
      <w:pPr>
        <w:pStyle w:val="TOC1"/>
        <w:rPr>
          <w:rFonts w:asciiTheme="minorHAnsi" w:eastAsiaTheme="minorEastAsia" w:hAnsiTheme="minorHAnsi" w:cstheme="minorBidi"/>
          <w:b w:val="0"/>
          <w:noProof/>
          <w:sz w:val="22"/>
          <w:szCs w:val="22"/>
          <w:lang w:eastAsia="en-AU"/>
        </w:rPr>
      </w:pPr>
      <w:hyperlink w:anchor="_Toc467491573" w:history="1">
        <w:r w:rsidR="00D92477" w:rsidRPr="00ED5CD3">
          <w:rPr>
            <w:rStyle w:val="Hyperlink"/>
            <w:noProof/>
          </w:rPr>
          <w:t>6.  References</w:t>
        </w:r>
        <w:r w:rsidR="00D92477">
          <w:rPr>
            <w:noProof/>
            <w:webHidden/>
          </w:rPr>
          <w:tab/>
        </w:r>
        <w:r w:rsidR="00D92477">
          <w:rPr>
            <w:noProof/>
            <w:webHidden/>
          </w:rPr>
          <w:fldChar w:fldCharType="begin"/>
        </w:r>
        <w:r w:rsidR="00D92477">
          <w:rPr>
            <w:noProof/>
            <w:webHidden/>
          </w:rPr>
          <w:instrText xml:space="preserve"> PAGEREF _Toc467491573 \h </w:instrText>
        </w:r>
        <w:r w:rsidR="00D92477">
          <w:rPr>
            <w:noProof/>
            <w:webHidden/>
          </w:rPr>
        </w:r>
        <w:r w:rsidR="00D92477">
          <w:rPr>
            <w:noProof/>
            <w:webHidden/>
          </w:rPr>
          <w:fldChar w:fldCharType="separate"/>
        </w:r>
        <w:r w:rsidR="00991C8D">
          <w:rPr>
            <w:noProof/>
            <w:webHidden/>
          </w:rPr>
          <w:t>1</w:t>
        </w:r>
        <w:r w:rsidR="00D92477">
          <w:rPr>
            <w:noProof/>
            <w:webHidden/>
          </w:rPr>
          <w:fldChar w:fldCharType="end"/>
        </w:r>
      </w:hyperlink>
    </w:p>
    <w:p w:rsidR="00885B0A" w:rsidRDefault="00E62B9E">
      <w:r>
        <w:fldChar w:fldCharType="end"/>
      </w:r>
    </w:p>
    <w:p w:rsidR="00885B0A" w:rsidRDefault="00885B0A"/>
    <w:p w:rsidR="00885B0A" w:rsidRDefault="00885B0A"/>
    <w:p w:rsidR="007977EC" w:rsidRDefault="007977EC">
      <w:pPr>
        <w:sectPr w:rsidR="007977EC">
          <w:footerReference w:type="default" r:id="rId25"/>
          <w:pgSz w:w="11906" w:h="16838" w:code="9"/>
          <w:pgMar w:top="1440" w:right="1800" w:bottom="1440" w:left="1800" w:header="1080" w:footer="835" w:gutter="0"/>
          <w:pgNumType w:fmt="lowerRoman"/>
          <w:cols w:space="360"/>
          <w:noEndnote/>
        </w:sectPr>
      </w:pPr>
    </w:p>
    <w:p w:rsidR="00885B0A" w:rsidRDefault="007977EC" w:rsidP="00E82A74">
      <w:pPr>
        <w:pStyle w:val="Heading1"/>
      </w:pPr>
      <w:r>
        <w:t>Executive summary</w:t>
      </w:r>
    </w:p>
    <w:p w:rsidR="0016710D" w:rsidRDefault="0016710D" w:rsidP="0016710D">
      <w:r>
        <w:t>Lead-210 (</w:t>
      </w:r>
      <w:r w:rsidRPr="008D26C8">
        <w:rPr>
          <w:snapToGrid w:val="0"/>
          <w:color w:val="000000"/>
          <w:position w:val="5"/>
          <w:sz w:val="15"/>
          <w:szCs w:val="0"/>
          <w:u w:color="000000"/>
        </w:rPr>
        <w:t>210</w:t>
      </w:r>
      <w:r>
        <w:t xml:space="preserve">Pb) is a beta particle emitting radionuclide in the uranium decay series and has therefore been an important part of the monitoring and research program of the </w:t>
      </w:r>
      <w:r w:rsidR="00D92477">
        <w:t>environmental radioactivity</w:t>
      </w:r>
      <w:r>
        <w:t xml:space="preserve"> group of </w:t>
      </w:r>
      <w:r>
        <w:rPr>
          <w:b/>
          <w:i/>
          <w:sz w:val="26"/>
        </w:rPr>
        <w:t>eriss</w:t>
      </w:r>
      <w:r>
        <w:t xml:space="preserve">. The </w:t>
      </w:r>
      <w:r>
        <w:rPr>
          <w:b/>
          <w:i/>
          <w:sz w:val="26"/>
        </w:rPr>
        <w:t>eriss</w:t>
      </w:r>
      <w:r>
        <w:t xml:space="preserve"> radioanalytical laboratories</w:t>
      </w:r>
      <w:r w:rsidRPr="00DC0BD2">
        <w:t xml:space="preserve"> </w:t>
      </w:r>
      <w:r>
        <w:t xml:space="preserve">have routinely used gamma and alpha spectrometric methods for </w:t>
      </w:r>
      <w:r w:rsidRPr="009A1162">
        <w:rPr>
          <w:snapToGrid w:val="0"/>
          <w:color w:val="000000"/>
          <w:position w:val="6"/>
          <w:sz w:val="16"/>
          <w:szCs w:val="0"/>
          <w:u w:color="000000"/>
        </w:rPr>
        <w:t>210</w:t>
      </w:r>
      <w:r>
        <w:t xml:space="preserve">Pb determination, though current techniques have some limitations. For gamma spectrometry, analysis can be performed immediately after sample preparation, but, the detection limits are quite high, thus this technique </w:t>
      </w:r>
      <w:r w:rsidR="0093149F">
        <w:t xml:space="preserve">cannot be used for determination of </w:t>
      </w:r>
      <w:r w:rsidR="00AE60F7">
        <w:t>radionuclide</w:t>
      </w:r>
      <w:r w:rsidR="0093149F">
        <w:t xml:space="preserve"> activity</w:t>
      </w:r>
      <w:r>
        <w:t xml:space="preserve"> </w:t>
      </w:r>
      <w:r w:rsidR="0093149F">
        <w:t xml:space="preserve">in </w:t>
      </w:r>
      <w:r>
        <w:t>environmental samples</w:t>
      </w:r>
      <w:r w:rsidR="0093149F">
        <w:t xml:space="preserve"> with low activity concentrations</w:t>
      </w:r>
      <w:r>
        <w:t xml:space="preserve">. In contrast, detection limits are very low for alpha spectrometric measurement but </w:t>
      </w:r>
      <w:r w:rsidRPr="00710C00">
        <w:rPr>
          <w:snapToGrid w:val="0"/>
          <w:color w:val="000000"/>
          <w:position w:val="6"/>
          <w:sz w:val="16"/>
          <w:szCs w:val="0"/>
          <w:u w:color="000000"/>
        </w:rPr>
        <w:t>210</w:t>
      </w:r>
      <w:r>
        <w:t>Pb must be determined via its direct daughter polonium-210, requiring complex separation chemistry and long ingrowth periods in order to achieve the low detection limits.</w:t>
      </w:r>
    </w:p>
    <w:p w:rsidR="0016710D" w:rsidRDefault="0016710D" w:rsidP="0016710D">
      <w:r>
        <w:t xml:space="preserve">Liquid scintillation counting (LSC) provides an alternative technique for </w:t>
      </w:r>
      <w:r w:rsidRPr="00E11C2A">
        <w:rPr>
          <w:snapToGrid w:val="0"/>
          <w:color w:val="000000"/>
          <w:position w:val="6"/>
          <w:sz w:val="16"/>
          <w:szCs w:val="0"/>
          <w:u w:color="000000"/>
        </w:rPr>
        <w:t>210</w:t>
      </w:r>
      <w:r>
        <w:t xml:space="preserve">Pb determination that allows measurement via the beta decay. Although LSC methods have some limitations, the detection limits approach those of alpha spectrometry and are approximately two orders of magnitude lower than gamma spectrometry. When compared to the alpha spectrometric method for </w:t>
      </w:r>
      <w:r w:rsidRPr="00E11C2A">
        <w:rPr>
          <w:snapToGrid w:val="0"/>
          <w:color w:val="000000"/>
          <w:position w:val="6"/>
          <w:sz w:val="16"/>
          <w:szCs w:val="0"/>
          <w:u w:color="000000"/>
        </w:rPr>
        <w:t>210</w:t>
      </w:r>
      <w:r>
        <w:t>Pb determination, LSC can significantly reduce the time taken for separation chemistry and therefore lead to faster analysis.</w:t>
      </w:r>
    </w:p>
    <w:p w:rsidR="0016710D" w:rsidRDefault="0016710D" w:rsidP="0016710D">
      <w:r>
        <w:t xml:space="preserve">This report provides a detailed description of a radiochemical separation and radiation measurement technique developed in the </w:t>
      </w:r>
      <w:r>
        <w:rPr>
          <w:b/>
          <w:i/>
          <w:sz w:val="26"/>
        </w:rPr>
        <w:t>eriss</w:t>
      </w:r>
      <w:r>
        <w:t xml:space="preserve"> radioanalytical laboratories for the determination of </w:t>
      </w:r>
      <w:r w:rsidRPr="00E11C2A">
        <w:rPr>
          <w:snapToGrid w:val="0"/>
          <w:color w:val="000000"/>
          <w:position w:val="6"/>
          <w:sz w:val="16"/>
          <w:szCs w:val="0"/>
          <w:u w:color="000000"/>
        </w:rPr>
        <w:t>210</w:t>
      </w:r>
      <w:r>
        <w:t>Pb via LSC. Detection limits, uncertainty estimation and the applicability of the method to various sample matrices are presented and discussed.</w:t>
      </w:r>
    </w:p>
    <w:p w:rsidR="00885B0A" w:rsidRDefault="00885B0A">
      <w:pPr>
        <w:pStyle w:val="Heading1"/>
        <w:sectPr w:rsidR="00885B0A">
          <w:pgSz w:w="11906" w:h="16838" w:code="9"/>
          <w:pgMar w:top="1440" w:right="1800" w:bottom="1440" w:left="1800" w:header="1080" w:footer="835" w:gutter="0"/>
          <w:pgNumType w:fmt="lowerRoman"/>
          <w:cols w:space="360"/>
          <w:noEndnote/>
        </w:sectPr>
      </w:pPr>
    </w:p>
    <w:p w:rsidR="008019F5" w:rsidRDefault="001A4A79" w:rsidP="00451D73">
      <w:pPr>
        <w:pStyle w:val="Heading2"/>
      </w:pPr>
      <w:bookmarkStart w:id="22" w:name="_Toc467491544"/>
      <w:bookmarkEnd w:id="18"/>
      <w:bookmarkEnd w:id="19"/>
      <w:bookmarkEnd w:id="20"/>
      <w:bookmarkEnd w:id="21"/>
      <w:r>
        <w:t xml:space="preserve">1.  </w:t>
      </w:r>
      <w:r w:rsidR="00885B0A">
        <w:t>Introduction</w:t>
      </w:r>
      <w:bookmarkEnd w:id="22"/>
    </w:p>
    <w:p w:rsidR="009D70A3" w:rsidRDefault="00D32F79" w:rsidP="00D32F79">
      <w:r>
        <w:t>Lead-210</w:t>
      </w:r>
      <w:r w:rsidR="00710C00">
        <w:t xml:space="preserve"> (</w:t>
      </w:r>
      <w:r w:rsidR="00710C00" w:rsidRPr="00710C00">
        <w:rPr>
          <w:snapToGrid w:val="0"/>
          <w:color w:val="000000"/>
          <w:position w:val="6"/>
          <w:sz w:val="16"/>
          <w:szCs w:val="0"/>
          <w:u w:color="000000"/>
        </w:rPr>
        <w:t>210</w:t>
      </w:r>
      <w:r w:rsidR="00710C00">
        <w:t>Pb)</w:t>
      </w:r>
      <w:r w:rsidR="004E48A1">
        <w:t xml:space="preserve"> </w:t>
      </w:r>
      <w:r>
        <w:t>is part of the uranium decay series. With a relatively short half-life of 22.2 years (LNHB, 2013),</w:t>
      </w:r>
      <w:r w:rsidR="003D2D19">
        <w:t xml:space="preserve"> sources of</w:t>
      </w:r>
      <w:r>
        <w:t xml:space="preserve"> </w:t>
      </w:r>
      <w:r w:rsidRPr="00710C00">
        <w:rPr>
          <w:snapToGrid w:val="0"/>
          <w:color w:val="000000"/>
          <w:position w:val="6"/>
          <w:sz w:val="16"/>
          <w:szCs w:val="0"/>
          <w:u w:color="000000"/>
        </w:rPr>
        <w:t>210</w:t>
      </w:r>
      <w:r>
        <w:t xml:space="preserve">Pb in the environment </w:t>
      </w:r>
      <w:r w:rsidR="003D2D19">
        <w:t>are essentially the radioactive decay</w:t>
      </w:r>
      <w:r>
        <w:t xml:space="preserve"> </w:t>
      </w:r>
      <w:r w:rsidR="003D2D19">
        <w:t xml:space="preserve">of </w:t>
      </w:r>
      <w:r>
        <w:t xml:space="preserve">Radon-222 </w:t>
      </w:r>
      <w:r w:rsidR="00F264BD">
        <w:t>(</w:t>
      </w:r>
      <w:r w:rsidR="009A1162" w:rsidRPr="009A1162">
        <w:rPr>
          <w:snapToGrid w:val="0"/>
          <w:color w:val="000000"/>
          <w:position w:val="6"/>
          <w:sz w:val="16"/>
          <w:szCs w:val="0"/>
          <w:u w:color="000000"/>
        </w:rPr>
        <w:t>222</w:t>
      </w:r>
      <w:r w:rsidR="00F264BD">
        <w:t xml:space="preserve">Rn) </w:t>
      </w:r>
      <w:r>
        <w:t>and Radium-226</w:t>
      </w:r>
      <w:r w:rsidR="00F264BD">
        <w:t xml:space="preserve"> (</w:t>
      </w:r>
      <w:r w:rsidR="009A1162" w:rsidRPr="009A1162">
        <w:rPr>
          <w:snapToGrid w:val="0"/>
          <w:color w:val="000000"/>
          <w:position w:val="6"/>
          <w:sz w:val="16"/>
          <w:szCs w:val="0"/>
          <w:u w:color="000000"/>
        </w:rPr>
        <w:t>226</w:t>
      </w:r>
      <w:r w:rsidR="00F264BD">
        <w:t>Ra)</w:t>
      </w:r>
      <w:r>
        <w:t xml:space="preserve"> </w:t>
      </w:r>
      <w:r w:rsidR="003D2D19">
        <w:t>in various environmental media</w:t>
      </w:r>
      <w:r>
        <w:t xml:space="preserve">. Lead-210 is a beta-emitting radionuclide, with beta </w:t>
      </w:r>
      <w:r w:rsidR="00025968">
        <w:t xml:space="preserve">emission energies of 17.0 and </w:t>
      </w:r>
      <w:r>
        <w:t>63.5 keV</w:t>
      </w:r>
      <w:r w:rsidR="00025968">
        <w:t>,</w:t>
      </w:r>
      <w:r>
        <w:t xml:space="preserve"> and a low energy gamma emission at 46.5 keV (LNHB, 2013). The direct daughter,</w:t>
      </w:r>
      <w:r w:rsidR="00710C00">
        <w:t xml:space="preserve"> bismuth-210 (</w:t>
      </w:r>
      <w:r w:rsidRPr="00710C00">
        <w:rPr>
          <w:snapToGrid w:val="0"/>
          <w:color w:val="000000"/>
          <w:position w:val="6"/>
          <w:sz w:val="16"/>
          <w:szCs w:val="0"/>
          <w:u w:color="000000"/>
        </w:rPr>
        <w:t>210</w:t>
      </w:r>
      <w:r>
        <w:t>Bi</w:t>
      </w:r>
      <w:r w:rsidR="00710C00">
        <w:t>)</w:t>
      </w:r>
      <w:r>
        <w:t xml:space="preserve"> is also a beta emitter</w:t>
      </w:r>
      <w:r w:rsidR="00D21854">
        <w:t xml:space="preserve"> (maximum beta energy of 1162 keV)</w:t>
      </w:r>
      <w:r>
        <w:t>, and grows in quickly after separation</w:t>
      </w:r>
      <w:r w:rsidR="003D2D19">
        <w:t xml:space="preserve"> of </w:t>
      </w:r>
      <w:r w:rsidR="009A1162" w:rsidRPr="009A1162">
        <w:rPr>
          <w:snapToGrid w:val="0"/>
          <w:color w:val="000000"/>
          <w:position w:val="6"/>
          <w:sz w:val="16"/>
          <w:szCs w:val="0"/>
          <w:u w:color="000000"/>
        </w:rPr>
        <w:t>210</w:t>
      </w:r>
      <w:r w:rsidR="003D2D19">
        <w:t>Pb</w:t>
      </w:r>
      <w:r>
        <w:t xml:space="preserve"> due to its short half-life of </w:t>
      </w:r>
      <w:r w:rsidR="003D2D19">
        <w:t xml:space="preserve">only </w:t>
      </w:r>
      <w:r>
        <w:t xml:space="preserve">5 days (LNHB, 2013). </w:t>
      </w:r>
      <w:r w:rsidR="009D70A3">
        <w:t xml:space="preserve">For details of </w:t>
      </w:r>
      <w:r w:rsidR="00172E50" w:rsidRPr="00172E50">
        <w:rPr>
          <w:snapToGrid w:val="0"/>
          <w:color w:val="000000"/>
          <w:position w:val="6"/>
          <w:sz w:val="16"/>
          <w:szCs w:val="0"/>
          <w:u w:color="000000"/>
        </w:rPr>
        <w:t>210</w:t>
      </w:r>
      <w:r w:rsidR="00172E50">
        <w:t xml:space="preserve">Pb and significant </w:t>
      </w:r>
      <w:r w:rsidR="009D70A3">
        <w:t xml:space="preserve">decay products of </w:t>
      </w:r>
      <w:r w:rsidR="009D70A3" w:rsidRPr="00172E50">
        <w:rPr>
          <w:snapToGrid w:val="0"/>
          <w:color w:val="000000"/>
          <w:position w:val="6"/>
          <w:sz w:val="16"/>
          <w:szCs w:val="0"/>
          <w:u w:color="000000"/>
        </w:rPr>
        <w:t>210</w:t>
      </w:r>
      <w:r w:rsidR="009D70A3">
        <w:t>Pb and their properties see table 1.</w:t>
      </w:r>
    </w:p>
    <w:p w:rsidR="003D2D19" w:rsidRDefault="009D70A3" w:rsidP="00172E50">
      <w:pPr>
        <w:pStyle w:val="tablecaption"/>
      </w:pPr>
      <w:r w:rsidRPr="00172E50">
        <w:rPr>
          <w:b/>
        </w:rPr>
        <w:t>Table 1</w:t>
      </w:r>
      <w:r>
        <w:t xml:space="preserve">   </w:t>
      </w:r>
      <w:r w:rsidR="00172E50">
        <w:t xml:space="preserve">Nuclear properties of </w:t>
      </w:r>
      <w:r w:rsidR="00172E50" w:rsidRPr="00172E50">
        <w:rPr>
          <w:snapToGrid w:val="0"/>
          <w:color w:val="000000"/>
          <w:position w:val="4"/>
          <w:sz w:val="12"/>
          <w:szCs w:val="0"/>
          <w:u w:color="000000"/>
        </w:rPr>
        <w:t>210</w:t>
      </w:r>
      <w:r w:rsidR="00172E50">
        <w:t>Pb and significant decay products</w:t>
      </w:r>
    </w:p>
    <w:tbl>
      <w:tblPr>
        <w:tblStyle w:val="TableGrid"/>
        <w:tblW w:w="847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4"/>
        <w:gridCol w:w="1208"/>
        <w:gridCol w:w="1285"/>
        <w:gridCol w:w="1150"/>
        <w:gridCol w:w="1374"/>
        <w:gridCol w:w="1891"/>
      </w:tblGrid>
      <w:tr w:rsidR="00172E50" w:rsidRPr="003F1058" w:rsidTr="00025968">
        <w:tc>
          <w:tcPr>
            <w:tcW w:w="1564" w:type="dxa"/>
            <w:tcBorders>
              <w:top w:val="single" w:sz="4" w:space="0" w:color="auto"/>
              <w:bottom w:val="single" w:sz="4" w:space="0" w:color="auto"/>
            </w:tcBorders>
          </w:tcPr>
          <w:p w:rsidR="00172E50" w:rsidRPr="003F1058" w:rsidRDefault="00172E50" w:rsidP="008263C0">
            <w:pPr>
              <w:pStyle w:val="table1"/>
              <w:rPr>
                <w:b/>
              </w:rPr>
            </w:pPr>
            <w:r w:rsidRPr="003F1058">
              <w:rPr>
                <w:b/>
              </w:rPr>
              <w:t>Isotope</w:t>
            </w:r>
          </w:p>
        </w:tc>
        <w:tc>
          <w:tcPr>
            <w:tcW w:w="1208" w:type="dxa"/>
            <w:tcBorders>
              <w:top w:val="single" w:sz="4" w:space="0" w:color="auto"/>
              <w:bottom w:val="single" w:sz="4" w:space="0" w:color="auto"/>
            </w:tcBorders>
          </w:tcPr>
          <w:p w:rsidR="00172E50" w:rsidRPr="003F1058" w:rsidRDefault="00172E50" w:rsidP="008263C0">
            <w:pPr>
              <w:pStyle w:val="table1"/>
              <w:rPr>
                <w:b/>
              </w:rPr>
            </w:pPr>
            <w:r>
              <w:rPr>
                <w:b/>
              </w:rPr>
              <w:t>Daughter isotope</w:t>
            </w:r>
          </w:p>
        </w:tc>
        <w:tc>
          <w:tcPr>
            <w:tcW w:w="1285" w:type="dxa"/>
            <w:tcBorders>
              <w:top w:val="single" w:sz="4" w:space="0" w:color="auto"/>
              <w:bottom w:val="single" w:sz="4" w:space="0" w:color="auto"/>
            </w:tcBorders>
          </w:tcPr>
          <w:p w:rsidR="00172E50" w:rsidRPr="003F1058" w:rsidRDefault="00172E50" w:rsidP="008263C0">
            <w:pPr>
              <w:pStyle w:val="table1"/>
              <w:rPr>
                <w:b/>
              </w:rPr>
            </w:pPr>
            <w:r w:rsidRPr="003F1058">
              <w:rPr>
                <w:b/>
              </w:rPr>
              <w:t>Half-life</w:t>
            </w:r>
          </w:p>
        </w:tc>
        <w:tc>
          <w:tcPr>
            <w:tcW w:w="1150" w:type="dxa"/>
            <w:tcBorders>
              <w:top w:val="single" w:sz="4" w:space="0" w:color="auto"/>
              <w:bottom w:val="single" w:sz="4" w:space="0" w:color="auto"/>
            </w:tcBorders>
          </w:tcPr>
          <w:p w:rsidR="00172E50" w:rsidRPr="003F1058" w:rsidRDefault="00172E50" w:rsidP="008263C0">
            <w:pPr>
              <w:pStyle w:val="table1"/>
              <w:rPr>
                <w:b/>
              </w:rPr>
            </w:pPr>
            <w:r w:rsidRPr="003F1058">
              <w:rPr>
                <w:b/>
              </w:rPr>
              <w:t>Decay type</w:t>
            </w:r>
          </w:p>
        </w:tc>
        <w:tc>
          <w:tcPr>
            <w:tcW w:w="1374" w:type="dxa"/>
            <w:tcBorders>
              <w:top w:val="single" w:sz="4" w:space="0" w:color="auto"/>
              <w:bottom w:val="single" w:sz="4" w:space="0" w:color="auto"/>
            </w:tcBorders>
          </w:tcPr>
          <w:p w:rsidR="00172E50" w:rsidRPr="003F1058" w:rsidRDefault="00172E50" w:rsidP="008263C0">
            <w:pPr>
              <w:pStyle w:val="table1"/>
              <w:rPr>
                <w:b/>
              </w:rPr>
            </w:pPr>
            <w:r w:rsidRPr="003F1058">
              <w:rPr>
                <w:b/>
              </w:rPr>
              <w:t>Emission probability</w:t>
            </w:r>
          </w:p>
        </w:tc>
        <w:tc>
          <w:tcPr>
            <w:tcW w:w="1891" w:type="dxa"/>
            <w:tcBorders>
              <w:top w:val="single" w:sz="4" w:space="0" w:color="auto"/>
              <w:bottom w:val="single" w:sz="4" w:space="0" w:color="auto"/>
            </w:tcBorders>
          </w:tcPr>
          <w:p w:rsidR="00172E50" w:rsidRPr="003F1058" w:rsidRDefault="00172E50" w:rsidP="008263C0">
            <w:pPr>
              <w:pStyle w:val="table1"/>
              <w:rPr>
                <w:b/>
              </w:rPr>
            </w:pPr>
            <w:r w:rsidRPr="003F1058">
              <w:rPr>
                <w:b/>
              </w:rPr>
              <w:t>Decay energy</w:t>
            </w:r>
          </w:p>
        </w:tc>
      </w:tr>
      <w:tr w:rsidR="00172E50" w:rsidTr="00025968">
        <w:tc>
          <w:tcPr>
            <w:tcW w:w="1564" w:type="dxa"/>
            <w:tcBorders>
              <w:top w:val="single" w:sz="4" w:space="0" w:color="auto"/>
            </w:tcBorders>
          </w:tcPr>
          <w:p w:rsidR="00172E50" w:rsidRDefault="00172E50" w:rsidP="008263C0">
            <w:pPr>
              <w:pStyle w:val="table1"/>
            </w:pPr>
            <w:r w:rsidRPr="003F1058">
              <w:rPr>
                <w:snapToGrid w:val="0"/>
                <w:color w:val="000000"/>
                <w:position w:val="4"/>
                <w:sz w:val="11"/>
                <w:szCs w:val="0"/>
                <w:u w:color="000000"/>
              </w:rPr>
              <w:t>210</w:t>
            </w:r>
            <w:r>
              <w:t>Pb</w:t>
            </w:r>
          </w:p>
        </w:tc>
        <w:tc>
          <w:tcPr>
            <w:tcW w:w="1208" w:type="dxa"/>
            <w:tcBorders>
              <w:top w:val="single" w:sz="4" w:space="0" w:color="auto"/>
            </w:tcBorders>
          </w:tcPr>
          <w:p w:rsidR="00172E50" w:rsidRDefault="00172E50" w:rsidP="008263C0">
            <w:pPr>
              <w:pStyle w:val="table1"/>
            </w:pPr>
            <w:r w:rsidRPr="003F1058">
              <w:rPr>
                <w:snapToGrid w:val="0"/>
                <w:color w:val="000000"/>
                <w:position w:val="4"/>
                <w:sz w:val="11"/>
                <w:szCs w:val="0"/>
                <w:u w:color="000000"/>
              </w:rPr>
              <w:t>210</w:t>
            </w:r>
            <w:r>
              <w:t>Bi</w:t>
            </w:r>
          </w:p>
        </w:tc>
        <w:tc>
          <w:tcPr>
            <w:tcW w:w="1285" w:type="dxa"/>
            <w:tcBorders>
              <w:top w:val="single" w:sz="4" w:space="0" w:color="auto"/>
            </w:tcBorders>
          </w:tcPr>
          <w:p w:rsidR="00172E50" w:rsidRDefault="00172E50" w:rsidP="009B4AC4">
            <w:pPr>
              <w:pStyle w:val="table1"/>
            </w:pPr>
            <w:r>
              <w:t xml:space="preserve">22.23 </w:t>
            </w:r>
            <w:r w:rsidR="009B4AC4">
              <w:t>years</w:t>
            </w:r>
          </w:p>
        </w:tc>
        <w:tc>
          <w:tcPr>
            <w:tcW w:w="1150" w:type="dxa"/>
            <w:tcBorders>
              <w:top w:val="single" w:sz="4" w:space="0" w:color="auto"/>
            </w:tcBorders>
          </w:tcPr>
          <w:p w:rsidR="00172E50" w:rsidRDefault="00172E50" w:rsidP="008263C0">
            <w:pPr>
              <w:pStyle w:val="table1"/>
            </w:pPr>
            <w:r>
              <w:t>Beta</w:t>
            </w:r>
          </w:p>
        </w:tc>
        <w:tc>
          <w:tcPr>
            <w:tcW w:w="1374" w:type="dxa"/>
            <w:tcBorders>
              <w:top w:val="single" w:sz="4" w:space="0" w:color="auto"/>
            </w:tcBorders>
          </w:tcPr>
          <w:p w:rsidR="00172E50" w:rsidRDefault="00025968" w:rsidP="008263C0">
            <w:pPr>
              <w:pStyle w:val="table1"/>
            </w:pPr>
            <w:r>
              <w:t>80.2%</w:t>
            </w:r>
          </w:p>
          <w:p w:rsidR="00025968" w:rsidRDefault="00025968" w:rsidP="008263C0">
            <w:pPr>
              <w:pStyle w:val="table1"/>
            </w:pPr>
            <w:r>
              <w:t>19.8%</w:t>
            </w:r>
          </w:p>
        </w:tc>
        <w:tc>
          <w:tcPr>
            <w:tcW w:w="1891" w:type="dxa"/>
            <w:tcBorders>
              <w:top w:val="single" w:sz="4" w:space="0" w:color="auto"/>
            </w:tcBorders>
          </w:tcPr>
          <w:p w:rsidR="00025968" w:rsidRDefault="00025968" w:rsidP="00025968">
            <w:pPr>
              <w:pStyle w:val="table1"/>
            </w:pPr>
            <w:r>
              <w:t>17.0 keV</w:t>
            </w:r>
          </w:p>
          <w:p w:rsidR="00172E50" w:rsidRDefault="00172E50" w:rsidP="00025968">
            <w:pPr>
              <w:pStyle w:val="table1"/>
            </w:pPr>
            <w:r>
              <w:t>63.5 keV)</w:t>
            </w:r>
          </w:p>
        </w:tc>
      </w:tr>
      <w:tr w:rsidR="00172E50" w:rsidTr="00025968">
        <w:tc>
          <w:tcPr>
            <w:tcW w:w="1564" w:type="dxa"/>
          </w:tcPr>
          <w:p w:rsidR="00172E50" w:rsidRDefault="00172E50" w:rsidP="008263C0">
            <w:pPr>
              <w:pStyle w:val="table1"/>
            </w:pPr>
            <w:r w:rsidRPr="003F1058">
              <w:rPr>
                <w:snapToGrid w:val="0"/>
                <w:color w:val="000000"/>
                <w:position w:val="4"/>
                <w:sz w:val="11"/>
                <w:szCs w:val="0"/>
                <w:u w:color="000000"/>
              </w:rPr>
              <w:t>210</w:t>
            </w:r>
            <w:r>
              <w:t>Bi</w:t>
            </w:r>
          </w:p>
        </w:tc>
        <w:tc>
          <w:tcPr>
            <w:tcW w:w="1208" w:type="dxa"/>
          </w:tcPr>
          <w:p w:rsidR="00172E50" w:rsidRDefault="00172E50" w:rsidP="008263C0">
            <w:pPr>
              <w:pStyle w:val="table1"/>
            </w:pPr>
            <w:r w:rsidRPr="003F1058">
              <w:rPr>
                <w:snapToGrid w:val="0"/>
                <w:color w:val="000000"/>
                <w:position w:val="4"/>
                <w:sz w:val="11"/>
                <w:szCs w:val="0"/>
                <w:u w:color="000000"/>
              </w:rPr>
              <w:t>210</w:t>
            </w:r>
            <w:r>
              <w:t>Po</w:t>
            </w:r>
          </w:p>
        </w:tc>
        <w:tc>
          <w:tcPr>
            <w:tcW w:w="1285" w:type="dxa"/>
          </w:tcPr>
          <w:p w:rsidR="00172E50" w:rsidRDefault="00172E50" w:rsidP="008263C0">
            <w:pPr>
              <w:pStyle w:val="table1"/>
            </w:pPr>
            <w:r>
              <w:t>5.012 d</w:t>
            </w:r>
            <w:r w:rsidR="009B4AC4">
              <w:t>ays</w:t>
            </w:r>
          </w:p>
        </w:tc>
        <w:tc>
          <w:tcPr>
            <w:tcW w:w="1150" w:type="dxa"/>
          </w:tcPr>
          <w:p w:rsidR="00172E50" w:rsidRDefault="00172E50" w:rsidP="008263C0">
            <w:pPr>
              <w:pStyle w:val="table1"/>
            </w:pPr>
            <w:r>
              <w:t>Beta</w:t>
            </w:r>
          </w:p>
        </w:tc>
        <w:tc>
          <w:tcPr>
            <w:tcW w:w="1374" w:type="dxa"/>
          </w:tcPr>
          <w:p w:rsidR="00172E50" w:rsidRDefault="00172E50" w:rsidP="008263C0">
            <w:pPr>
              <w:pStyle w:val="table1"/>
            </w:pPr>
            <w:r>
              <w:t>100%</w:t>
            </w:r>
          </w:p>
        </w:tc>
        <w:tc>
          <w:tcPr>
            <w:tcW w:w="1891" w:type="dxa"/>
          </w:tcPr>
          <w:p w:rsidR="00172E50" w:rsidRDefault="00172E50" w:rsidP="008263C0">
            <w:pPr>
              <w:pStyle w:val="table1"/>
            </w:pPr>
            <w:r>
              <w:t>1162.1 keV</w:t>
            </w:r>
          </w:p>
        </w:tc>
      </w:tr>
      <w:tr w:rsidR="00172E50" w:rsidTr="00025968">
        <w:tc>
          <w:tcPr>
            <w:tcW w:w="1564" w:type="dxa"/>
          </w:tcPr>
          <w:p w:rsidR="00172E50" w:rsidRDefault="00172E50" w:rsidP="008263C0">
            <w:pPr>
              <w:pStyle w:val="table1"/>
            </w:pPr>
            <w:r w:rsidRPr="003F1058">
              <w:rPr>
                <w:snapToGrid w:val="0"/>
                <w:color w:val="000000"/>
                <w:position w:val="4"/>
                <w:sz w:val="11"/>
                <w:szCs w:val="0"/>
                <w:u w:color="000000"/>
              </w:rPr>
              <w:t>210</w:t>
            </w:r>
            <w:r>
              <w:t>Po</w:t>
            </w:r>
          </w:p>
        </w:tc>
        <w:tc>
          <w:tcPr>
            <w:tcW w:w="1208" w:type="dxa"/>
          </w:tcPr>
          <w:p w:rsidR="00172E50" w:rsidRDefault="00172E50" w:rsidP="008263C0">
            <w:pPr>
              <w:pStyle w:val="table1"/>
            </w:pPr>
            <w:r w:rsidRPr="003F1058">
              <w:rPr>
                <w:snapToGrid w:val="0"/>
                <w:color w:val="000000"/>
                <w:position w:val="4"/>
                <w:sz w:val="11"/>
                <w:szCs w:val="0"/>
                <w:u w:color="000000"/>
              </w:rPr>
              <w:t>206</w:t>
            </w:r>
            <w:r>
              <w:t>Pb (Stable)</w:t>
            </w:r>
          </w:p>
        </w:tc>
        <w:tc>
          <w:tcPr>
            <w:tcW w:w="1285" w:type="dxa"/>
          </w:tcPr>
          <w:p w:rsidR="00172E50" w:rsidRDefault="00172E50" w:rsidP="008263C0">
            <w:pPr>
              <w:pStyle w:val="table1"/>
            </w:pPr>
            <w:r>
              <w:t>138.4 d</w:t>
            </w:r>
            <w:r w:rsidR="009B4AC4">
              <w:t>ays</w:t>
            </w:r>
          </w:p>
        </w:tc>
        <w:tc>
          <w:tcPr>
            <w:tcW w:w="1150" w:type="dxa"/>
          </w:tcPr>
          <w:p w:rsidR="00172E50" w:rsidRDefault="00172E50" w:rsidP="008263C0">
            <w:pPr>
              <w:pStyle w:val="table1"/>
            </w:pPr>
            <w:r>
              <w:t>Alpha</w:t>
            </w:r>
          </w:p>
        </w:tc>
        <w:tc>
          <w:tcPr>
            <w:tcW w:w="1374" w:type="dxa"/>
          </w:tcPr>
          <w:p w:rsidR="00172E50" w:rsidRDefault="00172E50" w:rsidP="008263C0">
            <w:pPr>
              <w:pStyle w:val="table1"/>
            </w:pPr>
            <w:r>
              <w:t>99.99%</w:t>
            </w:r>
          </w:p>
          <w:p w:rsidR="00172E50" w:rsidRDefault="00172E50" w:rsidP="008263C0">
            <w:pPr>
              <w:pStyle w:val="table1"/>
            </w:pPr>
            <w:r>
              <w:t>0.001%</w:t>
            </w:r>
          </w:p>
        </w:tc>
        <w:tc>
          <w:tcPr>
            <w:tcW w:w="1891" w:type="dxa"/>
          </w:tcPr>
          <w:p w:rsidR="00172E50" w:rsidRDefault="00172E50" w:rsidP="008263C0">
            <w:pPr>
              <w:pStyle w:val="table1"/>
            </w:pPr>
            <w:r>
              <w:t>5.304 MeV</w:t>
            </w:r>
          </w:p>
          <w:p w:rsidR="00172E50" w:rsidRDefault="00172E50" w:rsidP="008263C0">
            <w:pPr>
              <w:pStyle w:val="table1"/>
            </w:pPr>
            <w:r>
              <w:t>4.517 MeV</w:t>
            </w:r>
          </w:p>
        </w:tc>
      </w:tr>
    </w:tbl>
    <w:p w:rsidR="00172E50" w:rsidRDefault="00172E50" w:rsidP="00D32F79"/>
    <w:p w:rsidR="00D32F79" w:rsidRPr="003A50D0" w:rsidRDefault="00D32F79" w:rsidP="00D32F79">
      <w:pPr>
        <w:rPr>
          <w:color w:val="000000" w:themeColor="text1"/>
        </w:rPr>
      </w:pPr>
      <w:r>
        <w:t xml:space="preserve">There are numerous measurement techniques for </w:t>
      </w:r>
      <w:r w:rsidRPr="00710C00">
        <w:rPr>
          <w:snapToGrid w:val="0"/>
          <w:color w:val="000000"/>
          <w:position w:val="6"/>
          <w:sz w:val="16"/>
          <w:szCs w:val="0"/>
          <w:u w:color="000000"/>
        </w:rPr>
        <w:t>210</w:t>
      </w:r>
      <w:r>
        <w:t>Pb. The most commonly used methods include Gas Flow Proportional</w:t>
      </w:r>
      <w:r w:rsidR="00710C00">
        <w:t xml:space="preserve"> (GFP)</w:t>
      </w:r>
      <w:r>
        <w:t xml:space="preserve"> counting (eg – Benedik &amp; Vrecek, 2001), gamma spectrometry (eg – Marten, 1992</w:t>
      </w:r>
      <w:r w:rsidR="00F264BD">
        <w:t>)</w:t>
      </w:r>
      <w:r w:rsidR="00B90630">
        <w:t xml:space="preserve">, </w:t>
      </w:r>
      <w:r>
        <w:t>alpha spectrometry (eg – Martin and Hancock, 2004; Garcı</w:t>
      </w:r>
      <w:r>
        <w:rPr>
          <w:rFonts w:ascii="Times New Roman" w:hAnsi="Times New Roman"/>
        </w:rPr>
        <w:t>́</w:t>
      </w:r>
      <w:r>
        <w:rPr>
          <w:rFonts w:cs="Garamond"/>
        </w:rPr>
        <w:t>a-Orellana and Garcı</w:t>
      </w:r>
      <w:r>
        <w:rPr>
          <w:rFonts w:ascii="Times New Roman" w:hAnsi="Times New Roman"/>
        </w:rPr>
        <w:t>́</w:t>
      </w:r>
      <w:r>
        <w:rPr>
          <w:rFonts w:cs="Garamond"/>
        </w:rPr>
        <w:t xml:space="preserve">a-León, 2002), and </w:t>
      </w:r>
      <w:r w:rsidR="001E1B68">
        <w:rPr>
          <w:rFonts w:cs="Garamond"/>
        </w:rPr>
        <w:t>l</w:t>
      </w:r>
      <w:r w:rsidR="00710C00">
        <w:rPr>
          <w:rFonts w:cs="Garamond"/>
        </w:rPr>
        <w:t xml:space="preserve">iquid </w:t>
      </w:r>
      <w:r w:rsidR="001E1B68">
        <w:rPr>
          <w:rFonts w:cs="Garamond"/>
        </w:rPr>
        <w:t>s</w:t>
      </w:r>
      <w:r w:rsidR="00710C00">
        <w:rPr>
          <w:rFonts w:cs="Garamond"/>
        </w:rPr>
        <w:t xml:space="preserve">cintillation </w:t>
      </w:r>
      <w:r w:rsidR="001E1B68">
        <w:rPr>
          <w:rFonts w:cs="Garamond"/>
        </w:rPr>
        <w:t>c</w:t>
      </w:r>
      <w:r w:rsidR="00710C00">
        <w:rPr>
          <w:rFonts w:cs="Garamond"/>
        </w:rPr>
        <w:t>ounting (</w:t>
      </w:r>
      <w:r>
        <w:rPr>
          <w:rFonts w:cs="Garamond"/>
        </w:rPr>
        <w:t>LSC</w:t>
      </w:r>
      <w:r w:rsidR="00710C00">
        <w:rPr>
          <w:rFonts w:cs="Garamond"/>
        </w:rPr>
        <w:t>),</w:t>
      </w:r>
      <w:r>
        <w:rPr>
          <w:rFonts w:cs="Garamond"/>
        </w:rPr>
        <w:t xml:space="preserve"> (eg – Biggin et a</w:t>
      </w:r>
      <w:r>
        <w:t>l., 2002; Kim et al., 2001).</w:t>
      </w:r>
      <w:r w:rsidR="00B90630">
        <w:t xml:space="preserve"> </w:t>
      </w:r>
      <w:r w:rsidR="003D2D19">
        <w:t xml:space="preserve">Gamma and alpha spectrometric methods for </w:t>
      </w:r>
      <w:r w:rsidR="009A1162" w:rsidRPr="009A1162">
        <w:rPr>
          <w:snapToGrid w:val="0"/>
          <w:color w:val="000000"/>
          <w:position w:val="6"/>
          <w:sz w:val="16"/>
          <w:szCs w:val="0"/>
          <w:u w:color="000000"/>
        </w:rPr>
        <w:t>210</w:t>
      </w:r>
      <w:r w:rsidR="003D2D19">
        <w:t xml:space="preserve">Pb determination are routinely used in the radioanalytical laboratory of </w:t>
      </w:r>
      <w:r w:rsidR="00C8058D">
        <w:rPr>
          <w:b/>
          <w:i/>
          <w:sz w:val="26"/>
        </w:rPr>
        <w:t>eriss</w:t>
      </w:r>
      <w:r w:rsidR="00C8058D">
        <w:t xml:space="preserve"> </w:t>
      </w:r>
      <w:r w:rsidR="003D2D19">
        <w:t xml:space="preserve">in Darwin. </w:t>
      </w:r>
      <w:r w:rsidR="00B90630">
        <w:t xml:space="preserve">Recent advances in </w:t>
      </w:r>
      <w:r w:rsidR="003A50D0">
        <w:t xml:space="preserve">inductively coupled plasma </w:t>
      </w:r>
      <w:r w:rsidR="00B90630">
        <w:t xml:space="preserve">mass spectrometric </w:t>
      </w:r>
      <w:r w:rsidR="003A50D0">
        <w:t xml:space="preserve">(ICP-MS) </w:t>
      </w:r>
      <w:r w:rsidR="00B90630">
        <w:t xml:space="preserve">techniques are allowing non-radiometric techniques to be used for </w:t>
      </w:r>
      <w:r w:rsidR="00B90630">
        <w:rPr>
          <w:position w:val="5"/>
          <w:sz w:val="15"/>
        </w:rPr>
        <w:t>210</w:t>
      </w:r>
      <w:r w:rsidR="00B90630">
        <w:t xml:space="preserve">Pb analysis despite </w:t>
      </w:r>
      <w:r w:rsidR="009A1CA3">
        <w:t>its</w:t>
      </w:r>
      <w:r w:rsidR="00B90630">
        <w:t xml:space="preserve"> relatively short half-life (eg – Amr et al </w:t>
      </w:r>
      <w:r w:rsidR="00B90630" w:rsidRPr="003A50D0">
        <w:rPr>
          <w:color w:val="000000" w:themeColor="text1"/>
        </w:rPr>
        <w:t>2010</w:t>
      </w:r>
      <w:r w:rsidR="00B82D4B" w:rsidRPr="003A50D0">
        <w:rPr>
          <w:color w:val="000000" w:themeColor="text1"/>
        </w:rPr>
        <w:t xml:space="preserve">, Lariviere et al </w:t>
      </w:r>
      <w:r w:rsidR="003A50D0" w:rsidRPr="003A50D0">
        <w:rPr>
          <w:color w:val="000000" w:themeColor="text1"/>
        </w:rPr>
        <w:t>2006</w:t>
      </w:r>
      <w:r w:rsidR="00B90630" w:rsidRPr="003A50D0">
        <w:rPr>
          <w:color w:val="000000" w:themeColor="text1"/>
        </w:rPr>
        <w:t xml:space="preserve">). </w:t>
      </w:r>
    </w:p>
    <w:p w:rsidR="00D32F79" w:rsidRDefault="00D32F79" w:rsidP="00D32F79">
      <w:r>
        <w:t xml:space="preserve">There are limitations to many of the current methods used for analysis of </w:t>
      </w:r>
      <w:r w:rsidRPr="00710C00">
        <w:rPr>
          <w:snapToGrid w:val="0"/>
          <w:color w:val="000000"/>
          <w:position w:val="6"/>
          <w:sz w:val="16"/>
          <w:szCs w:val="0"/>
          <w:u w:color="000000"/>
        </w:rPr>
        <w:t>210</w:t>
      </w:r>
      <w:r>
        <w:t>Pb. For gamma spectrometry</w:t>
      </w:r>
      <w:r w:rsidR="00BC621E">
        <w:t>,</w:t>
      </w:r>
      <w:r>
        <w:t xml:space="preserve"> analysis can be performed immediately after sample preparation, but, due to the low energy gamma emission</w:t>
      </w:r>
      <w:r w:rsidR="00F264BD">
        <w:t xml:space="preserve"> and low </w:t>
      </w:r>
      <w:r w:rsidR="00BD2022">
        <w:t>number of gamma emissions per nuclear transformation (0.0405)</w:t>
      </w:r>
      <w:r>
        <w:t xml:space="preserve">, </w:t>
      </w:r>
      <w:r w:rsidR="00BD2022">
        <w:t xml:space="preserve">the </w:t>
      </w:r>
      <w:r>
        <w:t xml:space="preserve">detection limits are </w:t>
      </w:r>
      <w:r w:rsidR="003D2D19">
        <w:t xml:space="preserve">quite </w:t>
      </w:r>
      <w:r>
        <w:t>high</w:t>
      </w:r>
      <w:r w:rsidR="003D2D19">
        <w:t xml:space="preserve"> at around </w:t>
      </w:r>
      <w:r w:rsidR="001E31CF">
        <w:t>4</w:t>
      </w:r>
      <w:r w:rsidR="003D2D19">
        <w:t xml:space="preserve"> Bq kg</w:t>
      </w:r>
      <w:r w:rsidR="009A1162" w:rsidRPr="009A1162">
        <w:rPr>
          <w:snapToGrid w:val="0"/>
          <w:color w:val="000000"/>
          <w:position w:val="6"/>
          <w:sz w:val="16"/>
          <w:szCs w:val="0"/>
          <w:u w:color="000000"/>
        </w:rPr>
        <w:t>-1</w:t>
      </w:r>
      <w:r w:rsidR="00A8071B">
        <w:t xml:space="preserve"> </w:t>
      </w:r>
      <w:r w:rsidR="00EC236A">
        <w:t xml:space="preserve">or higher </w:t>
      </w:r>
      <w:r w:rsidR="00A8071B">
        <w:t>(</w:t>
      </w:r>
      <w:r w:rsidR="00BD2022">
        <w:t>Marten, 1992)</w:t>
      </w:r>
      <w:r>
        <w:t xml:space="preserve">, preventing the use of </w:t>
      </w:r>
      <w:r w:rsidR="00BD2022">
        <w:t xml:space="preserve">this </w:t>
      </w:r>
      <w:r>
        <w:t xml:space="preserve">technique for many </w:t>
      </w:r>
      <w:r w:rsidR="003D2D19">
        <w:t xml:space="preserve">low level </w:t>
      </w:r>
      <w:r>
        <w:t>environmental samples. In contrast, detection limits are very low for alpha spectrometric measurement</w:t>
      </w:r>
      <w:r w:rsidR="003D2D19">
        <w:t xml:space="preserve"> (2 mBq L</w:t>
      </w:r>
      <w:r w:rsidR="009A1162" w:rsidRPr="009A1162">
        <w:rPr>
          <w:snapToGrid w:val="0"/>
          <w:color w:val="000000"/>
          <w:position w:val="6"/>
          <w:sz w:val="16"/>
          <w:szCs w:val="0"/>
          <w:u w:color="000000"/>
        </w:rPr>
        <w:t>-1</w:t>
      </w:r>
      <w:r w:rsidR="003D2D19">
        <w:t>)</w:t>
      </w:r>
      <w:r>
        <w:t xml:space="preserve">, but </w:t>
      </w:r>
      <w:r w:rsidRPr="00710C00">
        <w:rPr>
          <w:snapToGrid w:val="0"/>
          <w:color w:val="000000"/>
          <w:position w:val="6"/>
          <w:sz w:val="16"/>
          <w:szCs w:val="0"/>
          <w:u w:color="000000"/>
        </w:rPr>
        <w:t>210</w:t>
      </w:r>
      <w:r>
        <w:t xml:space="preserve">Pb must be determined via </w:t>
      </w:r>
      <w:r w:rsidR="009A1CA3">
        <w:t>its</w:t>
      </w:r>
      <w:r>
        <w:t xml:space="preserve"> direct daughter</w:t>
      </w:r>
      <w:r w:rsidR="00710C00">
        <w:t xml:space="preserve"> polonium-210 (</w:t>
      </w:r>
      <w:r w:rsidRPr="00710C00">
        <w:rPr>
          <w:snapToGrid w:val="0"/>
          <w:color w:val="000000"/>
          <w:position w:val="6"/>
          <w:sz w:val="16"/>
          <w:szCs w:val="0"/>
          <w:u w:color="000000"/>
        </w:rPr>
        <w:t>210</w:t>
      </w:r>
      <w:r>
        <w:t>Po</w:t>
      </w:r>
      <w:r w:rsidR="00710C00">
        <w:t>)</w:t>
      </w:r>
      <w:r>
        <w:t xml:space="preserve">. This requires complex separation chemistry </w:t>
      </w:r>
      <w:r w:rsidR="00A8071B">
        <w:t xml:space="preserve">and </w:t>
      </w:r>
      <w:r>
        <w:t>long ingrowth periods in order to achieve the low detection limits</w:t>
      </w:r>
      <w:r w:rsidR="00282AE7">
        <w:t xml:space="preserve"> (eg – Martin and Hancock, 2004; Garcı</w:t>
      </w:r>
      <w:r w:rsidR="00282AE7">
        <w:rPr>
          <w:rFonts w:ascii="Times New Roman" w:hAnsi="Times New Roman"/>
        </w:rPr>
        <w:t>́</w:t>
      </w:r>
      <w:r w:rsidR="00282AE7">
        <w:rPr>
          <w:rFonts w:cs="Garamond"/>
        </w:rPr>
        <w:t>a-Orellana and Garcı</w:t>
      </w:r>
      <w:r w:rsidR="00282AE7">
        <w:rPr>
          <w:rFonts w:ascii="Times New Roman" w:hAnsi="Times New Roman"/>
        </w:rPr>
        <w:t>́</w:t>
      </w:r>
      <w:r w:rsidR="00282AE7">
        <w:rPr>
          <w:rFonts w:cs="Garamond"/>
        </w:rPr>
        <w:t>a-León, 2002)</w:t>
      </w:r>
      <w:r>
        <w:t>. Complex separation chemistry is also required for GFP analysis,</w:t>
      </w:r>
      <w:r w:rsidR="00D42B24">
        <w:t xml:space="preserve"> </w:t>
      </w:r>
      <w:r w:rsidR="002159A7">
        <w:t xml:space="preserve">but </w:t>
      </w:r>
      <w:r w:rsidR="00D42B24">
        <w:t xml:space="preserve">detection limits are </w:t>
      </w:r>
      <w:r w:rsidR="002159A7">
        <w:t xml:space="preserve">comparatively </w:t>
      </w:r>
      <w:r w:rsidR="00D42B24">
        <w:t>high</w:t>
      </w:r>
      <w:r w:rsidR="002159A7">
        <w:t>er</w:t>
      </w:r>
      <w:r w:rsidR="00D42B24">
        <w:t xml:space="preserve">  (eg – Benedik &amp; Vrecek, 2001) and</w:t>
      </w:r>
      <w:r>
        <w:t xml:space="preserve"> attenuation from the source can </w:t>
      </w:r>
      <w:r w:rsidR="00477147">
        <w:t xml:space="preserve">also be a problem </w:t>
      </w:r>
      <w:r>
        <w:t>(</w:t>
      </w:r>
      <w:r w:rsidR="00477147">
        <w:t>Packard Instrument Company, 1992</w:t>
      </w:r>
      <w:r>
        <w:t>).</w:t>
      </w:r>
      <w:r w:rsidR="008263C0">
        <w:t xml:space="preserve"> Figure 1 shows the relative degree of ingrowth of </w:t>
      </w:r>
      <w:r w:rsidR="008263C0" w:rsidRPr="000A29F3">
        <w:rPr>
          <w:snapToGrid w:val="0"/>
          <w:color w:val="000000"/>
          <w:position w:val="6"/>
          <w:sz w:val="16"/>
          <w:szCs w:val="0"/>
          <w:u w:color="000000"/>
        </w:rPr>
        <w:t>210</w:t>
      </w:r>
      <w:r w:rsidR="008263C0">
        <w:t>Pb daughters, highlighting the necessary delays in measurement using the daughter products.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4303"/>
      </w:tblGrid>
      <w:tr w:rsidR="008263C0" w:rsidTr="008263C0">
        <w:trPr>
          <w:jc w:val="center"/>
        </w:trPr>
        <w:tc>
          <w:tcPr>
            <w:tcW w:w="4395" w:type="dxa"/>
          </w:tcPr>
          <w:p w:rsidR="008263C0" w:rsidRDefault="008263C0" w:rsidP="008263C0">
            <w:pPr>
              <w:jc w:val="center"/>
            </w:pPr>
            <w:r>
              <w:rPr>
                <w:noProof/>
                <w:lang w:eastAsia="en-AU"/>
              </w:rPr>
              <w:drawing>
                <wp:inline distT="0" distB="0" distL="0" distR="0" wp14:anchorId="7A519B41" wp14:editId="7A519B42">
                  <wp:extent cx="2729372" cy="2143760"/>
                  <wp:effectExtent l="19050" t="0" r="0" b="0"/>
                  <wp:docPr id="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srcRect/>
                          <a:stretch>
                            <a:fillRect/>
                          </a:stretch>
                        </pic:blipFill>
                        <pic:spPr bwMode="auto">
                          <a:xfrm>
                            <a:off x="0" y="0"/>
                            <a:ext cx="2729372" cy="2143760"/>
                          </a:xfrm>
                          <a:prstGeom prst="rect">
                            <a:avLst/>
                          </a:prstGeom>
                          <a:noFill/>
                          <a:ln w="9525">
                            <a:noFill/>
                            <a:miter lim="800000"/>
                            <a:headEnd/>
                            <a:tailEnd/>
                          </a:ln>
                        </pic:spPr>
                      </pic:pic>
                    </a:graphicData>
                  </a:graphic>
                </wp:inline>
              </w:drawing>
            </w:r>
          </w:p>
        </w:tc>
        <w:tc>
          <w:tcPr>
            <w:tcW w:w="4303" w:type="dxa"/>
          </w:tcPr>
          <w:p w:rsidR="008263C0" w:rsidRDefault="008263C0" w:rsidP="008263C0">
            <w:pPr>
              <w:jc w:val="center"/>
            </w:pPr>
            <w:r>
              <w:rPr>
                <w:noProof/>
                <w:lang w:eastAsia="en-AU"/>
              </w:rPr>
              <w:drawing>
                <wp:inline distT="0" distB="0" distL="0" distR="0" wp14:anchorId="7A519B43" wp14:editId="7A519B44">
                  <wp:extent cx="2599690" cy="2151116"/>
                  <wp:effectExtent l="19050" t="0" r="0" b="0"/>
                  <wp:docPr id="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cstate="print"/>
                          <a:srcRect/>
                          <a:stretch>
                            <a:fillRect/>
                          </a:stretch>
                        </pic:blipFill>
                        <pic:spPr bwMode="auto">
                          <a:xfrm>
                            <a:off x="0" y="0"/>
                            <a:ext cx="2599690" cy="2151116"/>
                          </a:xfrm>
                          <a:prstGeom prst="rect">
                            <a:avLst/>
                          </a:prstGeom>
                          <a:noFill/>
                          <a:ln w="9525">
                            <a:noFill/>
                            <a:miter lim="800000"/>
                            <a:headEnd/>
                            <a:tailEnd/>
                          </a:ln>
                        </pic:spPr>
                      </pic:pic>
                    </a:graphicData>
                  </a:graphic>
                </wp:inline>
              </w:drawing>
            </w:r>
          </w:p>
        </w:tc>
      </w:tr>
    </w:tbl>
    <w:p w:rsidR="008263C0" w:rsidRPr="00C65293" w:rsidRDefault="008263C0" w:rsidP="008263C0">
      <w:pPr>
        <w:jc w:val="center"/>
        <w:rPr>
          <w:rFonts w:ascii="Arial" w:hAnsi="Arial"/>
          <w:b/>
          <w:sz w:val="18"/>
        </w:rPr>
      </w:pPr>
      <w:r w:rsidRPr="00C65293">
        <w:rPr>
          <w:rFonts w:ascii="Arial" w:hAnsi="Arial"/>
          <w:b/>
          <w:sz w:val="18"/>
        </w:rPr>
        <w:t xml:space="preserve">Figure 1  </w:t>
      </w:r>
      <w:r w:rsidRPr="003F4542">
        <w:rPr>
          <w:rFonts w:ascii="Arial" w:hAnsi="Arial"/>
          <w:sz w:val="18"/>
        </w:rPr>
        <w:t xml:space="preserve">Ingrowth curves for </w:t>
      </w:r>
      <w:r w:rsidRPr="003F4542">
        <w:rPr>
          <w:rFonts w:ascii="Arial" w:hAnsi="Arial"/>
          <w:snapToGrid w:val="0"/>
          <w:color w:val="000000"/>
          <w:position w:val="4"/>
          <w:sz w:val="12"/>
          <w:szCs w:val="0"/>
          <w:u w:color="000000"/>
        </w:rPr>
        <w:t>210</w:t>
      </w:r>
      <w:r w:rsidRPr="003F4542">
        <w:rPr>
          <w:rFonts w:ascii="Arial" w:hAnsi="Arial"/>
          <w:sz w:val="18"/>
        </w:rPr>
        <w:t xml:space="preserve">Bi and </w:t>
      </w:r>
      <w:r w:rsidRPr="003F4542">
        <w:rPr>
          <w:rFonts w:ascii="Arial" w:hAnsi="Arial"/>
          <w:snapToGrid w:val="0"/>
          <w:color w:val="000000"/>
          <w:position w:val="4"/>
          <w:sz w:val="12"/>
          <w:szCs w:val="0"/>
          <w:u w:color="000000"/>
        </w:rPr>
        <w:t>210</w:t>
      </w:r>
      <w:r w:rsidRPr="003F4542">
        <w:rPr>
          <w:rFonts w:ascii="Arial" w:hAnsi="Arial"/>
          <w:sz w:val="18"/>
        </w:rPr>
        <w:t xml:space="preserve">Po after initial separation from </w:t>
      </w:r>
      <w:r w:rsidRPr="003F4542">
        <w:rPr>
          <w:rFonts w:ascii="Arial" w:hAnsi="Arial"/>
          <w:snapToGrid w:val="0"/>
          <w:color w:val="000000"/>
          <w:position w:val="4"/>
          <w:sz w:val="12"/>
          <w:szCs w:val="0"/>
          <w:u w:color="000000"/>
        </w:rPr>
        <w:t>210</w:t>
      </w:r>
      <w:r w:rsidRPr="003F4542">
        <w:rPr>
          <w:rFonts w:ascii="Arial" w:hAnsi="Arial"/>
          <w:sz w:val="18"/>
        </w:rPr>
        <w:t>Pb</w:t>
      </w:r>
    </w:p>
    <w:p w:rsidR="008263C0" w:rsidRDefault="008263C0" w:rsidP="00D32F79"/>
    <w:p w:rsidR="00D32F79" w:rsidRDefault="00D32F79" w:rsidP="00D32F79">
      <w:r>
        <w:t xml:space="preserve">LSC </w:t>
      </w:r>
      <w:r w:rsidR="00E11C2A">
        <w:t xml:space="preserve">for </w:t>
      </w:r>
      <w:r w:rsidR="00E11C2A" w:rsidRPr="00E11C2A">
        <w:rPr>
          <w:snapToGrid w:val="0"/>
          <w:color w:val="000000"/>
          <w:position w:val="6"/>
          <w:sz w:val="16"/>
          <w:szCs w:val="0"/>
          <w:u w:color="000000"/>
        </w:rPr>
        <w:t>210</w:t>
      </w:r>
      <w:r w:rsidR="00E11C2A">
        <w:t xml:space="preserve">Pb </w:t>
      </w:r>
      <w:r>
        <w:t xml:space="preserve">has some limitations, </w:t>
      </w:r>
      <w:r w:rsidR="00BD2022">
        <w:t xml:space="preserve">as </w:t>
      </w:r>
      <w:r w:rsidR="00BC621E">
        <w:t>it also requires</w:t>
      </w:r>
      <w:r>
        <w:t xml:space="preserve"> complex separation chemistry (particularly for biota samples due to the effects of </w:t>
      </w:r>
      <w:r w:rsidR="00BC621E">
        <w:t>chemical and colour quenching</w:t>
      </w:r>
      <w:r w:rsidR="00F05D85">
        <w:t>, discussed below</w:t>
      </w:r>
      <w:r w:rsidR="00BC621E">
        <w:t>)</w:t>
      </w:r>
      <w:r w:rsidR="00BD2022">
        <w:t xml:space="preserve">. </w:t>
      </w:r>
      <w:r w:rsidR="00F05D85">
        <w:t>The</w:t>
      </w:r>
      <w:r w:rsidR="00BC621E">
        <w:t xml:space="preserve"> </w:t>
      </w:r>
      <w:r>
        <w:t xml:space="preserve">detection limits </w:t>
      </w:r>
      <w:r w:rsidR="00F05D85">
        <w:t>however</w:t>
      </w:r>
      <w:r w:rsidR="00A8071B">
        <w:t>,</w:t>
      </w:r>
      <w:r w:rsidR="00F05D85">
        <w:t xml:space="preserve"> are </w:t>
      </w:r>
      <w:r>
        <w:t>approaching those of alpha spectrometry</w:t>
      </w:r>
      <w:r w:rsidR="00EC236A">
        <w:t xml:space="preserve"> partly</w:t>
      </w:r>
      <w:r>
        <w:t xml:space="preserve"> due to the ability to effectively double the counting efficiency by including the beta decay of </w:t>
      </w:r>
      <w:r w:rsidR="00710C00" w:rsidRPr="00710C00">
        <w:rPr>
          <w:snapToGrid w:val="0"/>
          <w:color w:val="000000"/>
          <w:position w:val="6"/>
          <w:sz w:val="16"/>
          <w:szCs w:val="0"/>
          <w:u w:color="000000"/>
        </w:rPr>
        <w:t>210</w:t>
      </w:r>
      <w:r w:rsidR="00710C00">
        <w:t xml:space="preserve">Bi </w:t>
      </w:r>
      <w:r>
        <w:t xml:space="preserve">in the measurement. </w:t>
      </w:r>
      <w:r w:rsidR="00F05D85">
        <w:t>Although d</w:t>
      </w:r>
      <w:r>
        <w:t xml:space="preserve">etection limits using LSC are </w:t>
      </w:r>
      <w:r w:rsidR="00E11C2A">
        <w:t xml:space="preserve">usually </w:t>
      </w:r>
      <w:r>
        <w:t xml:space="preserve">several times higher than alpha spectrometry </w:t>
      </w:r>
      <w:r w:rsidR="00E11C2A">
        <w:t>(</w:t>
      </w:r>
      <w:r w:rsidR="00AE3233">
        <w:t>eg –</w:t>
      </w:r>
      <w:r w:rsidR="00E11C2A">
        <w:t xml:space="preserve"> </w:t>
      </w:r>
      <w:r w:rsidR="00AE3233">
        <w:t>Blanco et al, 2004, Jiaet al, 2000, Kim et al, 2001 and Garcia-Orellana and Garcia-Leon, 2002)</w:t>
      </w:r>
      <w:r w:rsidR="00F05D85">
        <w:t>,</w:t>
      </w:r>
      <w:r>
        <w:t xml:space="preserve"> LSC</w:t>
      </w:r>
      <w:r w:rsidR="00BC621E">
        <w:t xml:space="preserve"> </w:t>
      </w:r>
      <w:r>
        <w:t xml:space="preserve">overcomes several of the disadvantages of other techniques, </w:t>
      </w:r>
      <w:r w:rsidR="00BC621E">
        <w:t>allowing</w:t>
      </w:r>
      <w:r>
        <w:t xml:space="preserve"> relatively rapid measurement </w:t>
      </w:r>
      <w:r w:rsidR="00BC621E">
        <w:t>with</w:t>
      </w:r>
      <w:r>
        <w:t xml:space="preserve"> detection limits</w:t>
      </w:r>
      <w:r w:rsidR="00F05D85">
        <w:t xml:space="preserve"> two orders of magnitude lower than gamma spectrometry</w:t>
      </w:r>
      <w:r w:rsidR="00AE3233">
        <w:t xml:space="preserve"> (active sh</w:t>
      </w:r>
      <w:r w:rsidR="00E211F7">
        <w:t>ielding, such as a bismuth germa</w:t>
      </w:r>
      <w:r w:rsidR="00AE3233">
        <w:t xml:space="preserve">nate (BGO) guard can improve detection limits in LSC even further </w:t>
      </w:r>
      <w:r w:rsidR="00B21501">
        <w:t>(</w:t>
      </w:r>
      <w:r w:rsidR="00E211F7">
        <w:t xml:space="preserve"> </w:t>
      </w:r>
      <w:r w:rsidR="00AE3233">
        <w:t>L’Annunziata</w:t>
      </w:r>
      <w:r w:rsidR="00E211F7">
        <w:t>, 2012</w:t>
      </w:r>
      <w:r w:rsidR="00AE3233">
        <w:t>)</w:t>
      </w:r>
      <w:r w:rsidR="00B21501">
        <w:t>)</w:t>
      </w:r>
      <w:r>
        <w:t>.</w:t>
      </w:r>
    </w:p>
    <w:p w:rsidR="00D32F79" w:rsidRDefault="00BC621E" w:rsidP="00D32F79">
      <w:r>
        <w:t xml:space="preserve">Determination of </w:t>
      </w:r>
      <w:r w:rsidR="00F05D85">
        <w:t xml:space="preserve">the </w:t>
      </w:r>
      <w:r>
        <w:t xml:space="preserve">chemical recovery from </w:t>
      </w:r>
      <w:r w:rsidRPr="00710C00">
        <w:rPr>
          <w:snapToGrid w:val="0"/>
          <w:color w:val="000000"/>
          <w:position w:val="6"/>
          <w:sz w:val="16"/>
          <w:szCs w:val="0"/>
          <w:u w:color="000000"/>
        </w:rPr>
        <w:t>210</w:t>
      </w:r>
      <w:r>
        <w:t>Pb separation is necessary and a</w:t>
      </w:r>
      <w:r w:rsidR="00D32F79">
        <w:t xml:space="preserve"> stable </w:t>
      </w:r>
      <w:r w:rsidR="004A2406">
        <w:t>Pb</w:t>
      </w:r>
      <w:r w:rsidR="00D32F79">
        <w:t xml:space="preserve"> tracer is most commonly used</w:t>
      </w:r>
      <w:r>
        <w:t xml:space="preserve"> for this,</w:t>
      </w:r>
      <w:r w:rsidR="00D32F79">
        <w:t xml:space="preserve"> though some techniques use a radioisotope tracer such as</w:t>
      </w:r>
      <w:r w:rsidR="00C30224">
        <w:t xml:space="preserve"> lead-212</w:t>
      </w:r>
      <w:r w:rsidR="00D32F79">
        <w:t xml:space="preserve"> </w:t>
      </w:r>
      <w:r>
        <w:t>(</w:t>
      </w:r>
      <w:r w:rsidR="005A3F68" w:rsidRPr="00710C00">
        <w:rPr>
          <w:snapToGrid w:val="0"/>
          <w:color w:val="000000"/>
          <w:position w:val="6"/>
          <w:sz w:val="16"/>
          <w:szCs w:val="0"/>
          <w:u w:color="000000"/>
        </w:rPr>
        <w:t>21</w:t>
      </w:r>
      <w:r w:rsidR="005A3F68">
        <w:rPr>
          <w:snapToGrid w:val="0"/>
          <w:color w:val="000000"/>
          <w:position w:val="6"/>
          <w:sz w:val="16"/>
          <w:szCs w:val="0"/>
          <w:u w:color="000000"/>
        </w:rPr>
        <w:t>2</w:t>
      </w:r>
      <w:r w:rsidR="005A3F68">
        <w:t>Pb</w:t>
      </w:r>
      <w:r>
        <w:t xml:space="preserve">; </w:t>
      </w:r>
      <w:r w:rsidR="00D32F79">
        <w:t>eg Biggin et al., 2002).</w:t>
      </w:r>
    </w:p>
    <w:p w:rsidR="00BC621E" w:rsidRDefault="00D32F79" w:rsidP="00D32F79">
      <w:r>
        <w:t xml:space="preserve">In </w:t>
      </w:r>
      <w:r w:rsidR="00AE60F7">
        <w:t xml:space="preserve">the </w:t>
      </w:r>
      <w:r w:rsidR="00D92477">
        <w:t>environmental radioactivity</w:t>
      </w:r>
      <w:r w:rsidR="00EC236A">
        <w:t xml:space="preserve"> </w:t>
      </w:r>
      <w:r>
        <w:t>laboratory the use of LSC is attractive, primarily because</w:t>
      </w:r>
      <w:r w:rsidR="00BC621E">
        <w:t xml:space="preserve">, when compared to </w:t>
      </w:r>
      <w:r w:rsidR="00EC236A">
        <w:t xml:space="preserve">the </w:t>
      </w:r>
      <w:r w:rsidR="00BC621E">
        <w:t>current methods using either alpha spectrometry (Martin and Hancock, 2004) or gamma spectrometry (Marten, 1992)</w:t>
      </w:r>
      <w:r>
        <w:t xml:space="preserve"> it has the ability to dramatically reduce </w:t>
      </w:r>
      <w:r w:rsidR="007156CA">
        <w:t xml:space="preserve">separation chemistry and </w:t>
      </w:r>
      <w:r>
        <w:t xml:space="preserve">turnaround times </w:t>
      </w:r>
      <w:r w:rsidR="008C4FEF">
        <w:t xml:space="preserve">as well as </w:t>
      </w:r>
      <w:r>
        <w:t>improve detection limits</w:t>
      </w:r>
      <w:r w:rsidR="00BC621E">
        <w:t xml:space="preserve">. </w:t>
      </w:r>
    </w:p>
    <w:p w:rsidR="00D32F79" w:rsidRDefault="0042122C" w:rsidP="00D32F79">
      <w:r>
        <w:t xml:space="preserve">When conceptualising the development of a method for the analysis of </w:t>
      </w:r>
      <w:r w:rsidR="009A1162" w:rsidRPr="009A1162">
        <w:rPr>
          <w:snapToGrid w:val="0"/>
          <w:color w:val="000000"/>
          <w:position w:val="6"/>
          <w:sz w:val="16"/>
          <w:szCs w:val="0"/>
          <w:u w:color="000000"/>
        </w:rPr>
        <w:t>210</w:t>
      </w:r>
      <w:r>
        <w:t xml:space="preserve">Pb in the </w:t>
      </w:r>
      <w:r w:rsidR="00E85FA7">
        <w:rPr>
          <w:b/>
          <w:i/>
          <w:sz w:val="26"/>
        </w:rPr>
        <w:t>eriss</w:t>
      </w:r>
      <w:r w:rsidR="00E85FA7">
        <w:t xml:space="preserve"> </w:t>
      </w:r>
      <w:r>
        <w:t xml:space="preserve">radioanalytical laboratory it was considered </w:t>
      </w:r>
      <w:r w:rsidR="007156CA">
        <w:t xml:space="preserve">whether </w:t>
      </w:r>
      <w:r>
        <w:t xml:space="preserve">to use an established </w:t>
      </w:r>
      <w:r w:rsidR="00772ACA">
        <w:t>m</w:t>
      </w:r>
      <w:r>
        <w:t xml:space="preserve">ethod published elsewhere, or </w:t>
      </w:r>
      <w:r w:rsidR="007156CA">
        <w:t xml:space="preserve">to </w:t>
      </w:r>
      <w:r>
        <w:t>develop a method</w:t>
      </w:r>
      <w:r w:rsidR="007156CA">
        <w:t xml:space="preserve"> in-house</w:t>
      </w:r>
      <w:r w:rsidR="00772ACA">
        <w:t>.</w:t>
      </w:r>
      <w:r>
        <w:t xml:space="preserve"> </w:t>
      </w:r>
      <w:r w:rsidR="00D32F79">
        <w:t>The use of a</w:t>
      </w:r>
      <w:r w:rsidR="00BC621E">
        <w:t>n ‘of</w:t>
      </w:r>
      <w:r w:rsidR="007156CA">
        <w:t>f</w:t>
      </w:r>
      <w:r w:rsidR="00BC621E">
        <w:t>-the</w:t>
      </w:r>
      <w:r w:rsidR="0057345A">
        <w:t>-</w:t>
      </w:r>
      <w:r w:rsidR="00BC621E">
        <w:t>shelf’</w:t>
      </w:r>
      <w:r w:rsidR="00D32F79">
        <w:t xml:space="preserve"> published method has distinct advantages</w:t>
      </w:r>
      <w:r w:rsidR="0057345A">
        <w:t>:</w:t>
      </w:r>
    </w:p>
    <w:p w:rsidR="00D32F79" w:rsidRDefault="00513D18" w:rsidP="005A3F68">
      <w:pPr>
        <w:pStyle w:val="ListBullet"/>
      </w:pPr>
      <w:r>
        <w:t>t</w:t>
      </w:r>
      <w:r w:rsidR="00D32F79">
        <w:t xml:space="preserve">here is a </w:t>
      </w:r>
      <w:r w:rsidR="00BC621E">
        <w:t>p</w:t>
      </w:r>
      <w:r w:rsidR="00D32F79">
        <w:t>eer-reviewed process supporting the methodology</w:t>
      </w:r>
    </w:p>
    <w:p w:rsidR="00D32F79" w:rsidRDefault="00513D18" w:rsidP="005A3F68">
      <w:pPr>
        <w:pStyle w:val="ListBullet"/>
      </w:pPr>
      <w:r>
        <w:t>o</w:t>
      </w:r>
      <w:r w:rsidR="00D32F79">
        <w:t>ften multiple users have employed the method and many issues that may arise with new methods have been resolved</w:t>
      </w:r>
    </w:p>
    <w:p w:rsidR="00D32F79" w:rsidRDefault="00513D18" w:rsidP="00110F4D">
      <w:pPr>
        <w:pStyle w:val="bulletlist1"/>
      </w:pPr>
      <w:r>
        <w:t>c</w:t>
      </w:r>
      <w:r w:rsidR="00D32F79">
        <w:t xml:space="preserve">alibrations and calculations (should) have been thoroughly checked before </w:t>
      </w:r>
      <w:r w:rsidR="005A3F68">
        <w:t>p</w:t>
      </w:r>
      <w:r w:rsidR="00D32F79">
        <w:t>ublication</w:t>
      </w:r>
      <w:r w:rsidR="0057345A">
        <w:t>.</w:t>
      </w:r>
    </w:p>
    <w:p w:rsidR="00110F4D" w:rsidRDefault="005A3F68" w:rsidP="00BC621E">
      <w:r>
        <w:t>T</w:t>
      </w:r>
      <w:r w:rsidR="00D32F79">
        <w:t>hese factors contribute to a significant potential to save time in implementation of a new method in the laboratory</w:t>
      </w:r>
      <w:r w:rsidR="0057345A">
        <w:t>. H</w:t>
      </w:r>
      <w:r w:rsidR="00D32F79">
        <w:t xml:space="preserve">owever, </w:t>
      </w:r>
      <w:r w:rsidR="00110F4D">
        <w:t xml:space="preserve">there are also distinct disadvantages in using a </w:t>
      </w:r>
      <w:r w:rsidR="00D32F79">
        <w:t>published m</w:t>
      </w:r>
      <w:r w:rsidR="00110F4D">
        <w:t>ethod</w:t>
      </w:r>
      <w:r w:rsidR="0057345A">
        <w:t>:</w:t>
      </w:r>
    </w:p>
    <w:p w:rsidR="00110F4D" w:rsidRDefault="00513D18" w:rsidP="00110F4D">
      <w:pPr>
        <w:pStyle w:val="bulletlist1"/>
      </w:pPr>
      <w:r>
        <w:t>t</w:t>
      </w:r>
      <w:r w:rsidR="00110F4D">
        <w:t>he</w:t>
      </w:r>
      <w:r w:rsidR="0057345A">
        <w:t xml:space="preserve"> method</w:t>
      </w:r>
      <w:r w:rsidR="00110F4D">
        <w:t xml:space="preserve"> may not be capable of attaining </w:t>
      </w:r>
      <w:r w:rsidR="00D32F79">
        <w:t>appropr</w:t>
      </w:r>
      <w:r w:rsidR="00110F4D">
        <w:t>iate performance characteristic</w:t>
      </w:r>
      <w:r w:rsidR="000C05E6">
        <w:t>s</w:t>
      </w:r>
      <w:r w:rsidR="00025968">
        <w:t xml:space="preserve"> </w:t>
      </w:r>
      <w:r w:rsidR="00E5478A">
        <w:t>using</w:t>
      </w:r>
      <w:r w:rsidR="00025968">
        <w:t xml:space="preserve"> the LSC model that we have </w:t>
      </w:r>
      <w:r w:rsidR="00E5478A">
        <w:t>available for use</w:t>
      </w:r>
      <w:r>
        <w:t>;</w:t>
      </w:r>
    </w:p>
    <w:p w:rsidR="00110F4D" w:rsidRDefault="00513D18" w:rsidP="00110F4D">
      <w:pPr>
        <w:pStyle w:val="bulletlist1"/>
      </w:pPr>
      <w:r>
        <w:t>o</w:t>
      </w:r>
      <w:r w:rsidR="00D32F79">
        <w:t xml:space="preserve">ften, all of the calibration parameters, performance characteristics and some measurement parameters required to implement the method are not reported </w:t>
      </w:r>
      <w:r w:rsidR="00110F4D">
        <w:t>(</w:t>
      </w:r>
      <w:r w:rsidR="00D32F79">
        <w:t>which makes an assessment of suitability very difficult</w:t>
      </w:r>
      <w:r w:rsidR="00110F4D">
        <w:t>)</w:t>
      </w:r>
      <w:r w:rsidR="0057345A">
        <w:t>.</w:t>
      </w:r>
    </w:p>
    <w:p w:rsidR="00D32F79" w:rsidRDefault="00772ACA" w:rsidP="00D32F79">
      <w:r>
        <w:t>I</w:t>
      </w:r>
      <w:r w:rsidR="0057345A">
        <w:t>n contrast, m</w:t>
      </w:r>
      <w:r w:rsidR="00D32F79">
        <w:t>e</w:t>
      </w:r>
      <w:r w:rsidR="00110F4D">
        <w:t>t</w:t>
      </w:r>
      <w:r w:rsidR="00D32F79">
        <w:t>hods developed in-house can be tailored to specific needs</w:t>
      </w:r>
      <w:r w:rsidR="0057345A">
        <w:t xml:space="preserve">, which </w:t>
      </w:r>
      <w:r w:rsidR="00D32F79">
        <w:t>can be advantage</w:t>
      </w:r>
      <w:r w:rsidR="0057345A">
        <w:t>ous</w:t>
      </w:r>
      <w:r w:rsidR="00D32F79">
        <w:t xml:space="preserve"> in situations with unusual or unique analytical requirements</w:t>
      </w:r>
      <w:r w:rsidR="007156CA">
        <w:t xml:space="preserve">, and </w:t>
      </w:r>
      <w:r w:rsidR="00D32F79">
        <w:t>you can optimise it for best performance to suit your needs.</w:t>
      </w:r>
      <w:r w:rsidR="00A56599">
        <w:t xml:space="preserve"> Nonetheless, the p</w:t>
      </w:r>
      <w:r w:rsidR="00D32F79">
        <w:t xml:space="preserve">reparation for </w:t>
      </w:r>
      <w:r w:rsidR="00110F4D">
        <w:t xml:space="preserve">development and </w:t>
      </w:r>
      <w:r w:rsidR="00D32F79">
        <w:t xml:space="preserve">implementation of a new method should include an evaluation of the suitability of </w:t>
      </w:r>
      <w:r w:rsidR="00A56599">
        <w:t xml:space="preserve">already </w:t>
      </w:r>
      <w:r w:rsidR="00D32F79">
        <w:t>published methods due to the considerable potential to save time.</w:t>
      </w:r>
    </w:p>
    <w:p w:rsidR="00D32F79" w:rsidRDefault="00D32F79" w:rsidP="00D32F79">
      <w:r>
        <w:t xml:space="preserve">The performance characteristics of a new method introduced to the laboratory is the most important consideration in choosing the method to  use – if performance measures such as precision, accuracy or achievable detection limits of a method are not suitable then there is no use implementing it. The types of samples that need to be analysed </w:t>
      </w:r>
      <w:r w:rsidR="00A56599">
        <w:t xml:space="preserve">are </w:t>
      </w:r>
      <w:r>
        <w:t>also an important consideration as sample characteristics can have a major impact on the effectiveness of a method.</w:t>
      </w:r>
    </w:p>
    <w:p w:rsidR="00D32F79" w:rsidRDefault="00D32F79" w:rsidP="00D32F79">
      <w:r>
        <w:t>It is also of major benefit to evaluate potential methods for compatibility with methods already used in the laboratory – this can lead to significant</w:t>
      </w:r>
      <w:r w:rsidR="00226EC7">
        <w:t xml:space="preserve"> savings</w:t>
      </w:r>
      <w:r>
        <w:t xml:space="preserve">, eg </w:t>
      </w:r>
      <w:r w:rsidR="00110F4D">
        <w:t>i</w:t>
      </w:r>
      <w:r>
        <w:t>n the management of chemical inventories.</w:t>
      </w:r>
    </w:p>
    <w:p w:rsidR="00D32F79" w:rsidRDefault="00D32F79" w:rsidP="00D32F79">
      <w:r>
        <w:t>The performance characteristics we needed were:</w:t>
      </w:r>
    </w:p>
    <w:p w:rsidR="00D32F79" w:rsidRDefault="00513D18" w:rsidP="005A3F68">
      <w:pPr>
        <w:pStyle w:val="ListBullet"/>
      </w:pPr>
      <w:r>
        <w:t>a</w:t>
      </w:r>
      <w:r w:rsidR="00D32F79">
        <w:t xml:space="preserve"> minimum detection limit of </w:t>
      </w:r>
      <w:r w:rsidR="00694B96">
        <w:t>4</w:t>
      </w:r>
      <w:r w:rsidR="00D32F79">
        <w:t xml:space="preserve"> mBq</w:t>
      </w:r>
    </w:p>
    <w:p w:rsidR="00D32F79" w:rsidRDefault="00513D18" w:rsidP="005A3F68">
      <w:pPr>
        <w:pStyle w:val="ListBullet"/>
      </w:pPr>
      <w:r>
        <w:t>r</w:t>
      </w:r>
      <w:r w:rsidR="00D32F79">
        <w:t xml:space="preserve">educed turnaround times (compared to alpha spectrometry) – although 3–4 months </w:t>
      </w:r>
      <w:r w:rsidR="00A56599">
        <w:t xml:space="preserve">is </w:t>
      </w:r>
      <w:r w:rsidR="00D32F79">
        <w:t>still acceptable</w:t>
      </w:r>
    </w:p>
    <w:p w:rsidR="00D32F79" w:rsidRDefault="00513D18" w:rsidP="005A3F68">
      <w:pPr>
        <w:pStyle w:val="ListBullet"/>
      </w:pPr>
      <w:r>
        <w:t>s</w:t>
      </w:r>
      <w:r w:rsidR="00D32F79">
        <w:t xml:space="preserve">table performance for different samples (and </w:t>
      </w:r>
      <w:r w:rsidR="00226EC7">
        <w:t>‘</w:t>
      </w:r>
      <w:r w:rsidR="00D32F79">
        <w:t>difficult</w:t>
      </w:r>
      <w:r w:rsidR="00226EC7">
        <w:t>’</w:t>
      </w:r>
      <w:r w:rsidR="00D32F79">
        <w:t xml:space="preserve"> sample matrices)</w:t>
      </w:r>
    </w:p>
    <w:p w:rsidR="00D32F79" w:rsidRDefault="00513D18" w:rsidP="005A3F68">
      <w:pPr>
        <w:pStyle w:val="ListBullet"/>
      </w:pPr>
      <w:r>
        <w:t>t</w:t>
      </w:r>
      <w:r w:rsidR="00D32F79">
        <w:t>he ability to store samples for longer periods</w:t>
      </w:r>
      <w:r w:rsidR="00110F4D">
        <w:t xml:space="preserve"> after collection</w:t>
      </w:r>
      <w:r w:rsidR="00D32F79">
        <w:t xml:space="preserve"> prior to analysis (2–3 months)</w:t>
      </w:r>
      <w:r w:rsidR="00A56599">
        <w:t>.</w:t>
      </w:r>
    </w:p>
    <w:p w:rsidR="00D32F79" w:rsidRDefault="00D32F79" w:rsidP="00D32F79">
      <w:r>
        <w:t>It was also desirable to achieve a high level of compatibility</w:t>
      </w:r>
      <w:r w:rsidR="00110F4D">
        <w:t xml:space="preserve"> (ie – with equipment, chemicals and separation techniques)</w:t>
      </w:r>
      <w:r>
        <w:t xml:space="preserve"> with current methods used in </w:t>
      </w:r>
      <w:r w:rsidR="00226EC7">
        <w:t xml:space="preserve">the </w:t>
      </w:r>
      <w:r w:rsidR="00D92477">
        <w:t>environmental radioactivity</w:t>
      </w:r>
      <w:r w:rsidR="00226EC7">
        <w:t xml:space="preserve">  </w:t>
      </w:r>
      <w:r>
        <w:t xml:space="preserve">laboratories. </w:t>
      </w:r>
    </w:p>
    <w:p w:rsidR="00D32F79" w:rsidRDefault="00D32F79" w:rsidP="00D32F79">
      <w:r>
        <w:t xml:space="preserve">There are many published methods for the analysis of </w:t>
      </w:r>
      <w:r w:rsidR="005A3F68" w:rsidRPr="00710C00">
        <w:rPr>
          <w:snapToGrid w:val="0"/>
          <w:color w:val="000000"/>
          <w:position w:val="6"/>
          <w:sz w:val="16"/>
          <w:szCs w:val="0"/>
          <w:u w:color="000000"/>
        </w:rPr>
        <w:t>210</w:t>
      </w:r>
      <w:r w:rsidR="005A3F68">
        <w:t>Pb</w:t>
      </w:r>
      <w:r>
        <w:t xml:space="preserve">. In these methods there are 2 main ways for the determination of chemical recovery – using stable </w:t>
      </w:r>
      <w:r w:rsidR="004A2406">
        <w:t>Pb</w:t>
      </w:r>
      <w:r>
        <w:t xml:space="preserve">, or milking </w:t>
      </w:r>
      <w:r w:rsidR="00C30224" w:rsidRPr="00710C00">
        <w:rPr>
          <w:snapToGrid w:val="0"/>
          <w:color w:val="000000"/>
          <w:position w:val="6"/>
          <w:sz w:val="16"/>
          <w:szCs w:val="0"/>
          <w:u w:color="000000"/>
        </w:rPr>
        <w:t>21</w:t>
      </w:r>
      <w:r w:rsidR="00C30224">
        <w:rPr>
          <w:snapToGrid w:val="0"/>
          <w:color w:val="000000"/>
          <w:position w:val="6"/>
          <w:sz w:val="16"/>
          <w:szCs w:val="0"/>
          <w:u w:color="000000"/>
        </w:rPr>
        <w:t>2</w:t>
      </w:r>
      <w:r w:rsidR="00C30224">
        <w:t xml:space="preserve">Pb </w:t>
      </w:r>
      <w:r>
        <w:t>from a solution of the</w:t>
      </w:r>
      <w:r w:rsidR="00C30224">
        <w:t xml:space="preserve"> parent isotope (or isotopes – t</w:t>
      </w:r>
      <w:r>
        <w:t>h</w:t>
      </w:r>
      <w:r w:rsidR="00C30224">
        <w:t>orium</w:t>
      </w:r>
      <w:r>
        <w:t xml:space="preserve">-228, </w:t>
      </w:r>
      <w:r w:rsidR="00C30224">
        <w:t>r</w:t>
      </w:r>
      <w:r>
        <w:t>a</w:t>
      </w:r>
      <w:r w:rsidR="00C30224">
        <w:t>dium</w:t>
      </w:r>
      <w:r>
        <w:t xml:space="preserve">-228 or </w:t>
      </w:r>
      <w:r w:rsidR="00C30224">
        <w:t>t</w:t>
      </w:r>
      <w:r>
        <w:t>h</w:t>
      </w:r>
      <w:r w:rsidR="00C30224">
        <w:t>orium</w:t>
      </w:r>
      <w:r>
        <w:t xml:space="preserve">-232). </w:t>
      </w:r>
      <w:r w:rsidR="00226EC7">
        <w:t>Lead-212</w:t>
      </w:r>
      <w:r w:rsidR="00E67AF4">
        <w:t xml:space="preserve"> has a half-life of </w:t>
      </w:r>
      <w:r>
        <w:t xml:space="preserve"> </w:t>
      </w:r>
      <w:r w:rsidR="00CA0EEF">
        <w:t xml:space="preserve">10.6 h,  and we measure all parent isotopes at low levels in </w:t>
      </w:r>
      <w:r w:rsidR="00226EC7">
        <w:t xml:space="preserve">the </w:t>
      </w:r>
      <w:r w:rsidR="00D92477">
        <w:t>environmental radioactivity</w:t>
      </w:r>
      <w:r w:rsidR="00226EC7">
        <w:t xml:space="preserve">  </w:t>
      </w:r>
      <w:r w:rsidR="00CA0EEF">
        <w:t>laboratory. Thus,</w:t>
      </w:r>
      <w:r>
        <w:t xml:space="preserve"> </w:t>
      </w:r>
      <w:r w:rsidR="00226EC7">
        <w:t xml:space="preserve">the high </w:t>
      </w:r>
      <w:r>
        <w:t xml:space="preserve">activity </w:t>
      </w:r>
      <w:r w:rsidR="00CA0EEF">
        <w:t xml:space="preserve">of the </w:t>
      </w:r>
      <w:r w:rsidR="00CA0EEF" w:rsidRPr="00710C00">
        <w:rPr>
          <w:snapToGrid w:val="0"/>
          <w:color w:val="000000"/>
          <w:position w:val="6"/>
          <w:sz w:val="16"/>
          <w:szCs w:val="0"/>
          <w:u w:color="000000"/>
        </w:rPr>
        <w:t>21</w:t>
      </w:r>
      <w:r w:rsidR="00CA0EEF">
        <w:rPr>
          <w:snapToGrid w:val="0"/>
          <w:color w:val="000000"/>
          <w:position w:val="6"/>
          <w:sz w:val="16"/>
          <w:szCs w:val="0"/>
          <w:u w:color="000000"/>
        </w:rPr>
        <w:t>2</w:t>
      </w:r>
      <w:r w:rsidR="00CA0EEF">
        <w:t xml:space="preserve">Pb parent solution </w:t>
      </w:r>
      <w:r>
        <w:t>required makes this a very undesirable option</w:t>
      </w:r>
      <w:r w:rsidR="00CA0EEF">
        <w:t xml:space="preserve"> for a low-level laboratory</w:t>
      </w:r>
      <w:r>
        <w:t>.</w:t>
      </w:r>
    </w:p>
    <w:p w:rsidR="00D32F79" w:rsidRDefault="00D32F79" w:rsidP="00D32F79">
      <w:r>
        <w:t xml:space="preserve">There are many methods for chemical separation of </w:t>
      </w:r>
      <w:r w:rsidR="004A2406">
        <w:t>Pb</w:t>
      </w:r>
      <w:r>
        <w:t xml:space="preserve">, however, our current separation technique is very effective and meets our required performance characteristics. This method could be adapted for </w:t>
      </w:r>
      <w:r w:rsidR="004A2406" w:rsidRPr="004A2406">
        <w:rPr>
          <w:snapToGrid w:val="0"/>
          <w:color w:val="000000"/>
          <w:position w:val="6"/>
          <w:sz w:val="16"/>
          <w:szCs w:val="0"/>
          <w:u w:color="000000"/>
        </w:rPr>
        <w:t>210</w:t>
      </w:r>
      <w:r w:rsidR="004A2406">
        <w:t>Pb</w:t>
      </w:r>
      <w:r>
        <w:t xml:space="preserve"> measurement with LSC.</w:t>
      </w:r>
    </w:p>
    <w:p w:rsidR="00D32F79" w:rsidRDefault="00D32F79" w:rsidP="00D32F79">
      <w:r>
        <w:t>LSC involves mixing a sample with a scintillation cocktail. The cocktail consists of organic solvents and fluors. When a radioactive particle strikes the fluor a burst of light is emitted and this is measured via a photo-</w:t>
      </w:r>
      <w:r w:rsidR="009A1CA3">
        <w:t>multiplier</w:t>
      </w:r>
      <w:r>
        <w:t xml:space="preserve"> tube. There are several major publications that provide an in-depth discussion of the principles and practice of LSC (eg L’Annunziata, 2012)</w:t>
      </w:r>
    </w:p>
    <w:p w:rsidR="00D32F79" w:rsidRDefault="00D32F79" w:rsidP="00D32F79">
      <w:r>
        <w:t>To optimise a LSC technique for best performance a number of parameters can be adjusted. The primary parameters are:</w:t>
      </w:r>
    </w:p>
    <w:p w:rsidR="00D32F79" w:rsidRDefault="00513D18" w:rsidP="005A3F68">
      <w:pPr>
        <w:pStyle w:val="ListBullet"/>
      </w:pPr>
      <w:r>
        <w:t>t</w:t>
      </w:r>
      <w:r w:rsidR="00D32F79">
        <w:t>he volume of sample and cocktail (that is the sample cocktail ratio)</w:t>
      </w:r>
    </w:p>
    <w:p w:rsidR="00D32F79" w:rsidRDefault="00513D18" w:rsidP="005A3F68">
      <w:pPr>
        <w:pStyle w:val="ListBullet"/>
      </w:pPr>
      <w:r>
        <w:t>t</w:t>
      </w:r>
      <w:r w:rsidR="00D32F79">
        <w:t xml:space="preserve">he selection of cocktail for the isotope to be measured, desired </w:t>
      </w:r>
      <w:r w:rsidR="007D2CD4">
        <w:t xml:space="preserve">chemical </w:t>
      </w:r>
      <w:r w:rsidR="00D32F79">
        <w:t>stability and possible detection limits</w:t>
      </w:r>
    </w:p>
    <w:p w:rsidR="00D32F79" w:rsidRDefault="00D32F79" w:rsidP="005A3F68">
      <w:pPr>
        <w:pStyle w:val="ListBullet"/>
      </w:pPr>
      <w:r>
        <w:t>The count conditions – eg count time</w:t>
      </w:r>
      <w:r w:rsidR="007D2CD4">
        <w:t>.</w:t>
      </w:r>
      <w:r>
        <w:t xml:space="preserve"> </w:t>
      </w:r>
    </w:p>
    <w:p w:rsidR="00D32F79" w:rsidRDefault="00D32F79" w:rsidP="00D32F79">
      <w:r>
        <w:t>It is this optimisation where the difficulties in adopting published methods begin.</w:t>
      </w:r>
      <w:r w:rsidR="007D2CD4">
        <w:t xml:space="preserve"> Whereas c</w:t>
      </w:r>
      <w:r>
        <w:t>hemical separation methods are usually quite detailed and reproducible, many of the count conditions on the LSC are omitted in publication</w:t>
      </w:r>
      <w:r w:rsidR="007D2CD4">
        <w:t>s</w:t>
      </w:r>
      <w:r>
        <w:t>. Only specific details each author believes are the most important are published. Parameters that are not often reported include:</w:t>
      </w:r>
    </w:p>
    <w:p w:rsidR="00D32F79" w:rsidRDefault="00513D18" w:rsidP="005A3F68">
      <w:pPr>
        <w:pStyle w:val="ListBullet"/>
      </w:pPr>
      <w:r>
        <w:t>c</w:t>
      </w:r>
      <w:r w:rsidR="007D2CD4">
        <w:t>hemical s</w:t>
      </w:r>
      <w:r w:rsidR="00D32F79">
        <w:t>tability of cocktails with sample solutions</w:t>
      </w:r>
    </w:p>
    <w:p w:rsidR="00D32F79" w:rsidRDefault="00513D18" w:rsidP="005A3F68">
      <w:pPr>
        <w:pStyle w:val="ListBullet"/>
      </w:pPr>
      <w:r>
        <w:t>v</w:t>
      </w:r>
      <w:r w:rsidR="00D32F79">
        <w:t>ariability of quench in samples</w:t>
      </w:r>
    </w:p>
    <w:p w:rsidR="00D32F79" w:rsidRDefault="00513D18" w:rsidP="005A3F68">
      <w:pPr>
        <w:pStyle w:val="ListBullet"/>
      </w:pPr>
      <w:r>
        <w:t>o</w:t>
      </w:r>
      <w:r w:rsidR="00D32F79">
        <w:t>ptimisation of counting windows</w:t>
      </w:r>
      <w:r w:rsidR="007D2CD4">
        <w:t>.</w:t>
      </w:r>
    </w:p>
    <w:p w:rsidR="00D32F79" w:rsidRDefault="00D32F79" w:rsidP="00D32F79">
      <w:r>
        <w:t>Two more parameters that can be varied on some instruments are not often reported, these are:</w:t>
      </w:r>
    </w:p>
    <w:p w:rsidR="00D32F79" w:rsidRDefault="00416B53" w:rsidP="005A3F68">
      <w:pPr>
        <w:pStyle w:val="ListBullet"/>
      </w:pPr>
      <w:r>
        <w:t>d</w:t>
      </w:r>
      <w:r w:rsidR="00D32F79">
        <w:t xml:space="preserve">elay </w:t>
      </w:r>
      <w:r>
        <w:t>b</w:t>
      </w:r>
      <w:r w:rsidR="00D32F79">
        <w:t xml:space="preserve">efore </w:t>
      </w:r>
      <w:r>
        <w:t>b</w:t>
      </w:r>
      <w:r w:rsidR="00D32F79">
        <w:t>urst timing</w:t>
      </w:r>
    </w:p>
    <w:p w:rsidR="00D32F79" w:rsidRDefault="00416B53" w:rsidP="005A3F68">
      <w:pPr>
        <w:pStyle w:val="ListBullet"/>
      </w:pPr>
      <w:r>
        <w:t>a</w:t>
      </w:r>
      <w:r w:rsidR="00D32F79">
        <w:t>nti</w:t>
      </w:r>
      <w:r w:rsidR="0015240D">
        <w:t>-</w:t>
      </w:r>
      <w:r w:rsidR="00D32F79">
        <w:t>coincidence timing</w:t>
      </w:r>
      <w:r w:rsidR="007D2CD4">
        <w:t>.</w:t>
      </w:r>
    </w:p>
    <w:p w:rsidR="00D32F79" w:rsidRDefault="00D32F79" w:rsidP="00D32F79">
      <w:r>
        <w:t xml:space="preserve">Although these final 2 settings can’t be adjusted on many instruments, the default settings are unknown to those not using </w:t>
      </w:r>
      <w:r w:rsidR="00CF3026">
        <w:t>those</w:t>
      </w:r>
      <w:r>
        <w:t xml:space="preserve"> instruments. </w:t>
      </w:r>
      <w:r w:rsidR="007D2CD4">
        <w:t xml:space="preserve">These setting </w:t>
      </w:r>
      <w:r>
        <w:t xml:space="preserve">will </w:t>
      </w:r>
      <w:r w:rsidR="007D2CD4">
        <w:t xml:space="preserve">be </w:t>
      </w:r>
      <w:r>
        <w:t>dis</w:t>
      </w:r>
      <w:r w:rsidR="008019F5">
        <w:t>cuss</w:t>
      </w:r>
      <w:r w:rsidR="007D2CD4">
        <w:t>ed</w:t>
      </w:r>
      <w:r w:rsidR="008019F5">
        <w:t xml:space="preserve"> in more depth later.</w:t>
      </w:r>
    </w:p>
    <w:p w:rsidR="007D2CD4" w:rsidRDefault="00CF3026" w:rsidP="00D32F79">
      <w:r>
        <w:t xml:space="preserve">Given the suitability of our current </w:t>
      </w:r>
      <w:r w:rsidR="007D2CD4">
        <w:t xml:space="preserve">Pb </w:t>
      </w:r>
      <w:r>
        <w:t xml:space="preserve">separation technique and the lack of published methods suitable for low-level counting that are compatible with our liquid scintillation counter, the development of a new method was considered the most </w:t>
      </w:r>
      <w:r w:rsidR="007D2CD4">
        <w:t xml:space="preserve">effective </w:t>
      </w:r>
      <w:r>
        <w:t>option for achieving the performance characteristics required</w:t>
      </w:r>
      <w:r w:rsidR="007D2CD4">
        <w:t xml:space="preserve"> in the EnRad radioanalytical laboratory</w:t>
      </w:r>
      <w:r>
        <w:t>.</w:t>
      </w:r>
    </w:p>
    <w:p w:rsidR="002E1379" w:rsidRDefault="001A4A79" w:rsidP="002E1379">
      <w:pPr>
        <w:pStyle w:val="Heading2"/>
      </w:pPr>
      <w:bookmarkStart w:id="23" w:name="_Toc467491545"/>
      <w:r>
        <w:t xml:space="preserve">2.  </w:t>
      </w:r>
      <w:r w:rsidR="002E1379">
        <w:t xml:space="preserve">Liquid </w:t>
      </w:r>
      <w:r w:rsidR="001E1B68">
        <w:t>s</w:t>
      </w:r>
      <w:r w:rsidR="002E1379">
        <w:t xml:space="preserve">cintillation </w:t>
      </w:r>
      <w:r w:rsidR="001E1B68">
        <w:t>c</w:t>
      </w:r>
      <w:r w:rsidR="002E1379">
        <w:t>ounting (LSC)</w:t>
      </w:r>
      <w:bookmarkEnd w:id="23"/>
    </w:p>
    <w:p w:rsidR="00A8071B" w:rsidRPr="00264C59" w:rsidRDefault="00451D73">
      <w:pPr>
        <w:pStyle w:val="Heading3"/>
      </w:pPr>
      <w:bookmarkStart w:id="24" w:name="_Toc467491546"/>
      <w:r>
        <w:t xml:space="preserve">2.1  </w:t>
      </w:r>
      <w:r w:rsidR="00F750B5" w:rsidRPr="00264C59">
        <w:t>General</w:t>
      </w:r>
      <w:bookmarkEnd w:id="24"/>
    </w:p>
    <w:p w:rsidR="00201238" w:rsidRPr="00201238" w:rsidRDefault="00201238" w:rsidP="00201238">
      <w:r w:rsidRPr="00201238">
        <w:t xml:space="preserve">LSC is based on </w:t>
      </w:r>
      <w:r>
        <w:t xml:space="preserve">properties of some organic compounds </w:t>
      </w:r>
      <w:r w:rsidR="00A55B66">
        <w:t>enabling them to</w:t>
      </w:r>
      <w:r>
        <w:t xml:space="preserve"> convert energy</w:t>
      </w:r>
      <w:r w:rsidRPr="00201238">
        <w:t xml:space="preserve"> </w:t>
      </w:r>
      <w:r>
        <w:t xml:space="preserve">absorbed from nuclear radiation into photons of light. These photons, in turn, </w:t>
      </w:r>
      <w:r w:rsidR="00A55B66">
        <w:t>are then</w:t>
      </w:r>
      <w:r>
        <w:t xml:space="preserve"> converted to a burst of electrons using a photomultiplier tube (PMT) which can be measured as an electric pulse (L’Annunziata, 2012). </w:t>
      </w:r>
      <w:r w:rsidR="00DE7E96">
        <w:t>Organic compounds that emit photons, or ‘fluoresce’, when bombarded by nuclear radiation are called ‘fluors’. The basic practice of LSC involves mixing a sample with a</w:t>
      </w:r>
      <w:r w:rsidR="007A3F60">
        <w:t xml:space="preserve"> scintillati</w:t>
      </w:r>
      <w:r w:rsidR="00DE7E96">
        <w:t>o</w:t>
      </w:r>
      <w:r w:rsidR="007A3F60">
        <w:t>n</w:t>
      </w:r>
      <w:r w:rsidR="00DE7E96">
        <w:t xml:space="preserve"> cocktail </w:t>
      </w:r>
      <w:r w:rsidR="007A3F60">
        <w:t xml:space="preserve">(comprising one or more </w:t>
      </w:r>
      <w:r w:rsidR="00DE7E96">
        <w:t xml:space="preserve">fluors </w:t>
      </w:r>
      <w:r w:rsidR="007A3F60">
        <w:t>dissolved in a suitable solvent) and measuring the fluorescent light emissions.</w:t>
      </w:r>
      <w:r w:rsidR="00DE7E96">
        <w:t xml:space="preserve"> </w:t>
      </w:r>
      <w:r w:rsidR="00296EE7">
        <w:t xml:space="preserve">Although early </w:t>
      </w:r>
      <w:r w:rsidR="007A3F60">
        <w:t xml:space="preserve">LSC </w:t>
      </w:r>
      <w:r w:rsidR="00296EE7">
        <w:t>instruments were not suitable for low-level radioanalysis, due to excessively high backgrounds, advances in organic scintillants, low-background vial</w:t>
      </w:r>
      <w:r w:rsidR="007A3F60">
        <w:t>s and microcomputing have allowed LSC to progress into low-level analysis (L’Annunziata, 2012).</w:t>
      </w:r>
    </w:p>
    <w:p w:rsidR="00A8071B" w:rsidRPr="00264C59" w:rsidRDefault="00451D73">
      <w:pPr>
        <w:pStyle w:val="Heading3"/>
      </w:pPr>
      <w:bookmarkStart w:id="25" w:name="_Toc467491547"/>
      <w:r>
        <w:t xml:space="preserve">2.2  </w:t>
      </w:r>
      <w:r w:rsidR="00AA79D8" w:rsidRPr="00264C59">
        <w:t>The TriCarb</w:t>
      </w:r>
      <w:r w:rsidR="00264C59" w:rsidRPr="00264C59">
        <w:t xml:space="preserve"> 3100TR</w:t>
      </w:r>
      <w:bookmarkEnd w:id="25"/>
    </w:p>
    <w:p w:rsidR="003C5B91" w:rsidRDefault="007A3F60" w:rsidP="007A3F60">
      <w:r w:rsidRPr="007A3F60">
        <w:t xml:space="preserve">The </w:t>
      </w:r>
      <w:r w:rsidR="003C5B91">
        <w:t>TriCarb 31</w:t>
      </w:r>
      <w:r>
        <w:t xml:space="preserve">00TR </w:t>
      </w:r>
      <w:r w:rsidR="003C5B91">
        <w:t>is a modern LSC instrument from PerkinElmer, with several components and functions designed to enable low-level analysis of radioactivity. The most important of these are:</w:t>
      </w:r>
    </w:p>
    <w:p w:rsidR="003C5B91" w:rsidRDefault="003C5B91" w:rsidP="003C5B91">
      <w:pPr>
        <w:pStyle w:val="ListBullet"/>
      </w:pPr>
      <w:r>
        <w:t xml:space="preserve"> </w:t>
      </w:r>
      <w:r w:rsidR="00513D18">
        <w:t>t</w:t>
      </w:r>
      <w:r>
        <w:t xml:space="preserve">he use of two PMTs, enabling </w:t>
      </w:r>
      <w:r w:rsidR="009A1CA3">
        <w:t>coincidence</w:t>
      </w:r>
      <w:r>
        <w:t xml:space="preserve"> counting to reduce background events</w:t>
      </w:r>
    </w:p>
    <w:p w:rsidR="003C5B91" w:rsidRDefault="00513D18" w:rsidP="003C5B91">
      <w:pPr>
        <w:pStyle w:val="ListBullet"/>
      </w:pPr>
      <w:r>
        <w:t>a</w:t>
      </w:r>
      <w:r w:rsidR="003C5B91">
        <w:t xml:space="preserve"> minimum thickness of 2 inches of lead as passive shielding surrounding the sample counting chamber</w:t>
      </w:r>
    </w:p>
    <w:p w:rsidR="003C5B91" w:rsidRDefault="00513D18" w:rsidP="003C5B91">
      <w:pPr>
        <w:pStyle w:val="ListBullet"/>
      </w:pPr>
      <w:r>
        <w:t>t</w:t>
      </w:r>
      <w:r w:rsidR="00720B6C">
        <w:t>ime-resolved liquid scintillation counting using advanced pulse shape analysis to discriminate between true radioactive decay events and background pulses</w:t>
      </w:r>
      <w:r>
        <w:t>.</w:t>
      </w:r>
    </w:p>
    <w:p w:rsidR="00C65293" w:rsidRDefault="00264C59" w:rsidP="00720B6C">
      <w:r>
        <w:t>These properties make this instrument suitable, therefore, for low-level analysis of environmental radioactivity.</w:t>
      </w:r>
    </w:p>
    <w:p w:rsidR="005A3F68" w:rsidRDefault="00451D73" w:rsidP="008019F5">
      <w:pPr>
        <w:pStyle w:val="Heading3"/>
      </w:pPr>
      <w:bookmarkStart w:id="26" w:name="_Toc467491548"/>
      <w:r>
        <w:t xml:space="preserve">2.3  </w:t>
      </w:r>
      <w:r w:rsidR="005A3F68">
        <w:t>Selection of scintillation cocktail, vials and count conditions,</w:t>
      </w:r>
      <w:bookmarkEnd w:id="26"/>
      <w:r w:rsidR="005A3F68">
        <w:t xml:space="preserve"> </w:t>
      </w:r>
    </w:p>
    <w:p w:rsidR="005A3F68" w:rsidRDefault="005A3F68" w:rsidP="005A3F68">
      <w:r>
        <w:t xml:space="preserve">Pre-selection of some conditions prior to experimentation </w:t>
      </w:r>
      <w:r w:rsidR="0015240D">
        <w:t>was</w:t>
      </w:r>
      <w:r>
        <w:t xml:space="preserve"> undertaken based on our knowledge of the radiochemical procedure and the properties of reagents and equipment such as the scintillion cocktail and counting vials.</w:t>
      </w:r>
    </w:p>
    <w:p w:rsidR="00535019" w:rsidRDefault="005A3F68" w:rsidP="00535019">
      <w:r>
        <w:t xml:space="preserve">The starting point for our method was directly after separation of </w:t>
      </w:r>
      <w:r w:rsidR="004A2406">
        <w:t>Pb</w:t>
      </w:r>
      <w:r>
        <w:t xml:space="preserve"> via anion exchange with a final solution of 25 mL of 9 M HCl</w:t>
      </w:r>
      <w:r w:rsidR="0015240D">
        <w:t xml:space="preserve">. </w:t>
      </w:r>
      <w:r w:rsidR="00535019">
        <w:t xml:space="preserve">The difference in </w:t>
      </w:r>
      <w:r w:rsidR="00304E8D">
        <w:t>blank</w:t>
      </w:r>
      <w:r w:rsidR="00535019">
        <w:t xml:space="preserve"> count rates between glass and plastic vials has been widely reported and shows that plastic vials generally have a </w:t>
      </w:r>
      <w:r w:rsidR="00CF3026">
        <w:t>lower</w:t>
      </w:r>
      <w:r w:rsidR="00535019">
        <w:t xml:space="preserve"> </w:t>
      </w:r>
      <w:r w:rsidR="00304E8D">
        <w:t>blank</w:t>
      </w:r>
      <w:r w:rsidR="00535019">
        <w:t xml:space="preserve"> </w:t>
      </w:r>
      <w:r w:rsidR="00737ED8">
        <w:t xml:space="preserve">count rate </w:t>
      </w:r>
      <w:r w:rsidR="00535019">
        <w:t>than glass (L’Annunziata, 2012)</w:t>
      </w:r>
      <w:r w:rsidR="00541F99">
        <w:t xml:space="preserve">. </w:t>
      </w:r>
      <w:r w:rsidR="00535019">
        <w:t xml:space="preserve"> </w:t>
      </w:r>
      <w:r w:rsidR="00541F99">
        <w:t>Routinely used 20 mL plastic (HDPE) LSC vials are suitably compatible with 9 M HCl to enable evaporation of the final solution in them</w:t>
      </w:r>
      <w:r w:rsidR="00772ACA">
        <w:t>,</w:t>
      </w:r>
      <w:r w:rsidR="00541F99">
        <w:t xml:space="preserve"> </w:t>
      </w:r>
      <w:r w:rsidR="00535019">
        <w:t>so these vials were selected for this method.</w:t>
      </w:r>
    </w:p>
    <w:p w:rsidR="005A3F68" w:rsidRDefault="005A3F68" w:rsidP="005A3F68">
      <w:r>
        <w:t xml:space="preserve">As </w:t>
      </w:r>
      <w:r w:rsidR="00772ACA">
        <w:t xml:space="preserve">the scintillation cocktail </w:t>
      </w:r>
      <w:r w:rsidR="00992E8E">
        <w:t xml:space="preserve">Ultima Gold AB </w:t>
      </w:r>
      <w:r w:rsidR="00737ED8">
        <w:t xml:space="preserve">(UGAB) </w:t>
      </w:r>
      <w:r>
        <w:t xml:space="preserve">is already used in </w:t>
      </w:r>
      <w:r w:rsidR="00737ED8">
        <w:t xml:space="preserve">the </w:t>
      </w:r>
      <w:r w:rsidR="00D92477">
        <w:t>environmental radioactivity</w:t>
      </w:r>
      <w:r w:rsidR="001E1B68">
        <w:t xml:space="preserve"> laboratory</w:t>
      </w:r>
      <w:r>
        <w:t xml:space="preserve"> for gross α/β analysis, this was the preferred cocktail for this method to reduce administration of chemicals and limit the generation of different types of </w:t>
      </w:r>
      <w:r w:rsidR="00541F99">
        <w:t xml:space="preserve">organic </w:t>
      </w:r>
      <w:r>
        <w:t xml:space="preserve">waste. </w:t>
      </w:r>
      <w:r w:rsidR="00737ED8">
        <w:t xml:space="preserve">The </w:t>
      </w:r>
      <w:r w:rsidR="00D92477">
        <w:t>environmental radioactivity</w:t>
      </w:r>
      <w:r w:rsidR="00737ED8">
        <w:t xml:space="preserve"> </w:t>
      </w:r>
      <w:r>
        <w:t xml:space="preserve">laboratory </w:t>
      </w:r>
      <w:r w:rsidR="00772ACA">
        <w:t xml:space="preserve">typically only </w:t>
      </w:r>
      <w:r>
        <w:t>runs a low number of samples per year and the long-term stability of UGAB demonstrated by Feng et al (2012) was a factor in deciding to use this cocktail</w:t>
      </w:r>
      <w:r w:rsidR="00332E53" w:rsidRPr="00332E53">
        <w:t xml:space="preserve"> </w:t>
      </w:r>
      <w:r w:rsidR="00737ED8">
        <w:t xml:space="preserve">(although at </w:t>
      </w:r>
      <w:r w:rsidR="00332E53">
        <w:t xml:space="preserve">present </w:t>
      </w:r>
      <w:r w:rsidR="0093069A">
        <w:t>the through</w:t>
      </w:r>
      <w:r w:rsidR="000C05E6">
        <w:t>p</w:t>
      </w:r>
      <w:r w:rsidR="0093069A">
        <w:t xml:space="preserve">ut of samples for </w:t>
      </w:r>
      <w:r w:rsidR="00992E8E">
        <w:t xml:space="preserve">gross α/β </w:t>
      </w:r>
      <w:r w:rsidR="0093069A">
        <w:t xml:space="preserve">counting is </w:t>
      </w:r>
      <w:r w:rsidR="00332E53">
        <w:t>not</w:t>
      </w:r>
      <w:r w:rsidR="0093069A">
        <w:t xml:space="preserve"> high</w:t>
      </w:r>
      <w:r w:rsidR="00332E53">
        <w:t xml:space="preserve"> enough to use a full bottle before reaching the expiry date</w:t>
      </w:r>
      <w:r w:rsidR="0093069A">
        <w:t>). Based</w:t>
      </w:r>
      <w:r w:rsidR="00332E53">
        <w:t xml:space="preserve"> on data available for th</w:t>
      </w:r>
      <w:r w:rsidR="0093069A">
        <w:t>e UGAB</w:t>
      </w:r>
      <w:r w:rsidR="00332E53">
        <w:t xml:space="preserve"> cocktail it should be able to reach the required detection limits.</w:t>
      </w:r>
    </w:p>
    <w:p w:rsidR="005A3F68" w:rsidRDefault="005A3F68" w:rsidP="005A3F68">
      <w:r>
        <w:t>The PbCl</w:t>
      </w:r>
      <w:r w:rsidRPr="00C30224">
        <w:rPr>
          <w:snapToGrid w:val="0"/>
          <w:color w:val="000000"/>
          <w:position w:val="-6"/>
          <w:sz w:val="16"/>
          <w:szCs w:val="0"/>
          <w:u w:color="000000"/>
        </w:rPr>
        <w:t>2</w:t>
      </w:r>
      <w:r>
        <w:t xml:space="preserve"> remaining after evaporation of the 25 mL 9 M HCl has low solubility in water (4.5 g L</w:t>
      </w:r>
      <w:r w:rsidRPr="00C30224">
        <w:rPr>
          <w:snapToGrid w:val="0"/>
          <w:color w:val="000000"/>
          <w:position w:val="6"/>
          <w:sz w:val="16"/>
          <w:szCs w:val="0"/>
          <w:u w:color="000000"/>
        </w:rPr>
        <w:t>-1</w:t>
      </w:r>
      <w:r>
        <w:t xml:space="preserve"> at 20°C) so a dilute acid or base solution is required to ensure complete dissolution prior to mixing with a scintillation cocktail. Ultima Gold cocktails have low phase stability in alkali (ie NaOH), but are generally phase stable in acid solutions (PerkinElmer, 2002). HCl has a lower </w:t>
      </w:r>
      <w:r w:rsidR="00304E8D">
        <w:t>blank</w:t>
      </w:r>
      <w:r>
        <w:t xml:space="preserve"> count rate than HNO</w:t>
      </w:r>
      <w:r w:rsidRPr="00C30224">
        <w:rPr>
          <w:snapToGrid w:val="0"/>
          <w:color w:val="000000"/>
          <w:position w:val="-6"/>
          <w:sz w:val="16"/>
          <w:szCs w:val="0"/>
          <w:u w:color="000000"/>
        </w:rPr>
        <w:t>3</w:t>
      </w:r>
      <w:r>
        <w:t xml:space="preserve"> </w:t>
      </w:r>
      <w:r w:rsidR="00933671">
        <w:t xml:space="preserve">due to sample quenching effects </w:t>
      </w:r>
      <w:r>
        <w:t>and</w:t>
      </w:r>
      <w:r w:rsidR="00933671">
        <w:t xml:space="preserve"> is less reactive than</w:t>
      </w:r>
      <w:r>
        <w:t xml:space="preserve"> </w:t>
      </w:r>
      <w:r w:rsidRPr="00933671">
        <w:t>H</w:t>
      </w:r>
      <w:r w:rsidRPr="00933671">
        <w:rPr>
          <w:snapToGrid w:val="0"/>
          <w:position w:val="-6"/>
          <w:sz w:val="16"/>
          <w:szCs w:val="0"/>
          <w:u w:color="000000"/>
        </w:rPr>
        <w:t>2</w:t>
      </w:r>
      <w:r w:rsidRPr="00933671">
        <w:t>SO</w:t>
      </w:r>
      <w:r w:rsidRPr="00933671">
        <w:rPr>
          <w:snapToGrid w:val="0"/>
          <w:position w:val="-6"/>
          <w:sz w:val="16"/>
          <w:szCs w:val="0"/>
          <w:u w:color="000000"/>
        </w:rPr>
        <w:t>4</w:t>
      </w:r>
      <w:r w:rsidRPr="00933671">
        <w:t xml:space="preserve"> (</w:t>
      </w:r>
      <w:r w:rsidR="00933671" w:rsidRPr="00933671">
        <w:t>L’Annunziata, 2012</w:t>
      </w:r>
      <w:r w:rsidRPr="00933671">
        <w:t>)</w:t>
      </w:r>
      <w:r w:rsidR="000C05E6">
        <w:t>, therefore HCl was selected as the aqueous component of the scintillation cocktail</w:t>
      </w:r>
      <w:r w:rsidR="00541F99" w:rsidRPr="00933671">
        <w:t>.</w:t>
      </w:r>
      <w:r w:rsidR="00541F99">
        <w:t xml:space="preserve"> </w:t>
      </w:r>
    </w:p>
    <w:p w:rsidR="005A3F68" w:rsidRDefault="00451D73" w:rsidP="008019F5">
      <w:pPr>
        <w:pStyle w:val="Heading3"/>
      </w:pPr>
      <w:bookmarkStart w:id="27" w:name="_Toc467491549"/>
      <w:r>
        <w:t xml:space="preserve">2.4  </w:t>
      </w:r>
      <w:r w:rsidR="00B80A1B">
        <w:t xml:space="preserve">CPM counting vs </w:t>
      </w:r>
      <w:r w:rsidR="005A3F68">
        <w:t>Alpha/beta discrimination</w:t>
      </w:r>
      <w:bookmarkEnd w:id="27"/>
      <w:r w:rsidR="005A3F68">
        <w:t xml:space="preserve"> </w:t>
      </w:r>
    </w:p>
    <w:p w:rsidR="005A3F68" w:rsidRDefault="005A3F68" w:rsidP="005A3F68">
      <w:r>
        <w:t xml:space="preserve">Many methods for </w:t>
      </w:r>
      <w:r w:rsidRPr="00C30224">
        <w:rPr>
          <w:snapToGrid w:val="0"/>
          <w:color w:val="000000"/>
          <w:position w:val="6"/>
          <w:sz w:val="16"/>
          <w:szCs w:val="0"/>
          <w:u w:color="000000"/>
        </w:rPr>
        <w:t>210</w:t>
      </w:r>
      <w:r>
        <w:t xml:space="preserve">Pb analysis via LSC rely on the discrimination of alpha and beta pulses to separate </w:t>
      </w:r>
      <w:r w:rsidR="00DE5A3D">
        <w:t xml:space="preserve">beta </w:t>
      </w:r>
      <w:r>
        <w:t xml:space="preserve">counts from </w:t>
      </w:r>
      <w:r w:rsidR="00C30224" w:rsidRPr="00C30224">
        <w:rPr>
          <w:snapToGrid w:val="0"/>
          <w:color w:val="000000"/>
          <w:position w:val="6"/>
          <w:sz w:val="16"/>
          <w:szCs w:val="0"/>
          <w:u w:color="000000"/>
        </w:rPr>
        <w:t>210</w:t>
      </w:r>
      <w:r w:rsidR="00C30224">
        <w:t>Pb</w:t>
      </w:r>
      <w:r w:rsidR="00992E8E">
        <w:t xml:space="preserve"> and </w:t>
      </w:r>
      <w:r w:rsidR="00C30224" w:rsidRPr="00C30224">
        <w:rPr>
          <w:snapToGrid w:val="0"/>
          <w:color w:val="000000"/>
          <w:position w:val="6"/>
          <w:sz w:val="16"/>
          <w:szCs w:val="0"/>
          <w:u w:color="000000"/>
        </w:rPr>
        <w:t>210</w:t>
      </w:r>
      <w:r w:rsidR="00C30224">
        <w:t xml:space="preserve">Bi </w:t>
      </w:r>
      <w:r w:rsidR="0093069A">
        <w:t xml:space="preserve">from </w:t>
      </w:r>
      <w:r w:rsidR="00DE5A3D">
        <w:t xml:space="preserve">alpha counts from </w:t>
      </w:r>
      <w:r w:rsidR="00DE5A3D" w:rsidRPr="00DE5A3D">
        <w:rPr>
          <w:snapToGrid w:val="0"/>
          <w:color w:val="000000"/>
          <w:position w:val="6"/>
          <w:sz w:val="16"/>
          <w:szCs w:val="0"/>
          <w:u w:color="000000"/>
        </w:rPr>
        <w:t>210</w:t>
      </w:r>
      <w:r w:rsidR="00DE5A3D">
        <w:t>Po</w:t>
      </w:r>
      <w:r w:rsidR="00332E53">
        <w:t xml:space="preserve"> (see L’Annunziata (2012) for a complete description of </w:t>
      </w:r>
      <w:r w:rsidR="001E1B68">
        <w:t xml:space="preserve">how </w:t>
      </w:r>
      <w:r w:rsidR="001E1B68" w:rsidRPr="00992E8E">
        <w:t>α</w:t>
      </w:r>
      <w:r w:rsidR="00992E8E">
        <w:t>/β</w:t>
      </w:r>
      <w:r w:rsidR="00332E53">
        <w:t xml:space="preserve"> discrimination functions operate)</w:t>
      </w:r>
      <w:r>
        <w:t xml:space="preserve">. In some cases this is to allow analysis of multiple isotopes (eg simultaneous determination of </w:t>
      </w:r>
      <w:r w:rsidRPr="00DE5A3D">
        <w:rPr>
          <w:snapToGrid w:val="0"/>
          <w:color w:val="000000"/>
          <w:position w:val="6"/>
          <w:sz w:val="16"/>
          <w:szCs w:val="0"/>
          <w:u w:color="000000"/>
        </w:rPr>
        <w:t>226</w:t>
      </w:r>
      <w:r>
        <w:t xml:space="preserve">Ra and </w:t>
      </w:r>
      <w:r w:rsidR="00C30224" w:rsidRPr="00C30224">
        <w:rPr>
          <w:snapToGrid w:val="0"/>
          <w:color w:val="000000"/>
          <w:position w:val="6"/>
          <w:sz w:val="16"/>
          <w:szCs w:val="0"/>
          <w:u w:color="000000"/>
        </w:rPr>
        <w:t>210</w:t>
      </w:r>
      <w:r w:rsidR="00C30224">
        <w:t xml:space="preserve">Pb </w:t>
      </w:r>
      <w:r>
        <w:t xml:space="preserve">by Kim et al (2001)), in others simply to remove interference from </w:t>
      </w:r>
      <w:r w:rsidRPr="00C30224">
        <w:rPr>
          <w:snapToGrid w:val="0"/>
          <w:color w:val="000000"/>
          <w:position w:val="6"/>
          <w:sz w:val="16"/>
          <w:szCs w:val="0"/>
          <w:u w:color="000000"/>
        </w:rPr>
        <w:t>210</w:t>
      </w:r>
      <w:r>
        <w:t xml:space="preserve">Po ingrowth in the sample (eg Blanco et al (2004)). In </w:t>
      </w:r>
      <w:r w:rsidR="00992E8E">
        <w:t xml:space="preserve">the </w:t>
      </w:r>
      <w:r>
        <w:t xml:space="preserve">method </w:t>
      </w:r>
      <w:r w:rsidR="00992E8E">
        <w:t>developed here</w:t>
      </w:r>
      <w:r w:rsidR="00704687">
        <w:t>,</w:t>
      </w:r>
      <w:r w:rsidR="00992E8E">
        <w:t xml:space="preserve"> </w:t>
      </w:r>
      <w:r>
        <w:t xml:space="preserve">however, to maximise the number of counts </w:t>
      </w:r>
      <w:r w:rsidR="00992E8E">
        <w:t xml:space="preserve">registered for each sample </w:t>
      </w:r>
      <w:r>
        <w:t xml:space="preserve">and therefore achieve lower detection limits, the direct CPM </w:t>
      </w:r>
      <w:r w:rsidR="0093069A">
        <w:t xml:space="preserve">(counts per minute) </w:t>
      </w:r>
      <w:r>
        <w:t xml:space="preserve">mode was used with no </w:t>
      </w:r>
      <w:r w:rsidR="00992E8E">
        <w:t xml:space="preserve">α/β </w:t>
      </w:r>
      <w:r>
        <w:t xml:space="preserve">discrimination. This also has the advantage that the uncertainty associated with spill-over events is eliminated, reducing the overall uncertainty in the sample and blank signals and therefore reducing the limits of detection and quantification as defined by Currie (1968). </w:t>
      </w:r>
    </w:p>
    <w:p w:rsidR="005A3F68" w:rsidRDefault="00451D73" w:rsidP="008019F5">
      <w:pPr>
        <w:pStyle w:val="Heading3"/>
      </w:pPr>
      <w:bookmarkStart w:id="28" w:name="_Toc467491550"/>
      <w:r>
        <w:t xml:space="preserve">2.5  </w:t>
      </w:r>
      <w:r w:rsidR="00F22066">
        <w:t>Time-</w:t>
      </w:r>
      <w:r w:rsidR="00264C59">
        <w:t xml:space="preserve">resolved LSC: </w:t>
      </w:r>
      <w:r w:rsidR="001E1B68">
        <w:t>d</w:t>
      </w:r>
      <w:r w:rsidR="00D012FC">
        <w:t>elay before burst (D</w:t>
      </w:r>
      <w:r w:rsidR="005A3F68">
        <w:t>BB</w:t>
      </w:r>
      <w:r w:rsidR="00D012FC">
        <w:t>)</w:t>
      </w:r>
      <w:r w:rsidR="005A3F68">
        <w:t xml:space="preserve"> and </w:t>
      </w:r>
      <w:r w:rsidR="001E1B68">
        <w:t>c</w:t>
      </w:r>
      <w:r w:rsidR="005A3F68">
        <w:t>oincidence</w:t>
      </w:r>
      <w:r w:rsidR="00D012FC">
        <w:t xml:space="preserve"> </w:t>
      </w:r>
      <w:r w:rsidR="00720B6C">
        <w:t>time</w:t>
      </w:r>
      <w:bookmarkEnd w:id="28"/>
    </w:p>
    <w:p w:rsidR="00CD1383" w:rsidRDefault="00F22066" w:rsidP="00C05807">
      <w:r>
        <w:t>A typical beta scintillation event is composed of at least two components as a function of time – a fast and slow component..</w:t>
      </w:r>
      <w:r w:rsidR="00C05807">
        <w:t xml:space="preserve"> The length and duration of afterpulse(s) following the fast component can differentiate true beta </w:t>
      </w:r>
      <w:r w:rsidR="009A1CA3">
        <w:t>scintillation</w:t>
      </w:r>
      <w:r w:rsidR="00C05807">
        <w:t xml:space="preserve"> events from non-quenchable blank pulses – which tend to have a longer slow component. The TriCarb 3100TR has time-resolved pulse shape analysis software that provides the ability to </w:t>
      </w:r>
      <w:r w:rsidR="001B4F27">
        <w:t>analyse these pulses and adjust the timing for accepting and rejecting them</w:t>
      </w:r>
      <w:r w:rsidR="00CD1383">
        <w:t xml:space="preserve"> (Figure </w:t>
      </w:r>
      <w:r w:rsidR="00451D73">
        <w:t>2</w:t>
      </w:r>
      <w:r w:rsidR="00CD1383">
        <w:t>)</w:t>
      </w:r>
      <w:r w:rsidR="001B4F27">
        <w:t xml:space="preserve">. </w:t>
      </w:r>
    </w:p>
    <w:p w:rsidR="00CD1383" w:rsidRDefault="00CD1383" w:rsidP="00CD1383">
      <w:r>
        <w:rPr>
          <w:noProof/>
          <w:lang w:eastAsia="en-AU"/>
        </w:rPr>
        <w:drawing>
          <wp:inline distT="0" distB="0" distL="0" distR="0" wp14:anchorId="7A519B45" wp14:editId="7A519B46">
            <wp:extent cx="5274310" cy="1968375"/>
            <wp:effectExtent l="19050" t="0" r="2540" b="0"/>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srcRect/>
                    <a:stretch>
                      <a:fillRect/>
                    </a:stretch>
                  </pic:blipFill>
                  <pic:spPr bwMode="auto">
                    <a:xfrm>
                      <a:off x="0" y="0"/>
                      <a:ext cx="5274310" cy="1968375"/>
                    </a:xfrm>
                    <a:prstGeom prst="rect">
                      <a:avLst/>
                    </a:prstGeom>
                    <a:noFill/>
                    <a:ln w="9525">
                      <a:noFill/>
                      <a:miter lim="800000"/>
                      <a:headEnd/>
                      <a:tailEnd/>
                    </a:ln>
                  </pic:spPr>
                </pic:pic>
              </a:graphicData>
            </a:graphic>
          </wp:inline>
        </w:drawing>
      </w:r>
    </w:p>
    <w:p w:rsidR="00CD1383" w:rsidRPr="00CD1383" w:rsidRDefault="00CD1383" w:rsidP="00CD1383">
      <w:pPr>
        <w:pStyle w:val="figurecaption"/>
      </w:pPr>
      <w:r w:rsidRPr="00CD1383">
        <w:rPr>
          <w:b/>
        </w:rPr>
        <w:t xml:space="preserve">Figure </w:t>
      </w:r>
      <w:r w:rsidR="00451D73">
        <w:rPr>
          <w:b/>
        </w:rPr>
        <w:t>2</w:t>
      </w:r>
      <w:r w:rsidR="00451D73" w:rsidRPr="00CD1383">
        <w:t xml:space="preserve"> </w:t>
      </w:r>
      <w:r w:rsidR="00451D73">
        <w:t xml:space="preserve"> </w:t>
      </w:r>
      <w:r w:rsidRPr="00CD1383">
        <w:t>Three Dimensional plots of pulse height spectra for a background and true beta event, respectively (from Passo J R 2015).</w:t>
      </w:r>
    </w:p>
    <w:p w:rsidR="00CD1383" w:rsidRDefault="00CD1383" w:rsidP="00C05807"/>
    <w:p w:rsidR="00C05807" w:rsidRDefault="001B4F27" w:rsidP="00C05807">
      <w:r>
        <w:t>A</w:t>
      </w:r>
      <w:r w:rsidR="00C05807">
        <w:t>djust</w:t>
      </w:r>
      <w:r>
        <w:t>ing</w:t>
      </w:r>
      <w:r w:rsidR="00C05807">
        <w:t xml:space="preserve"> the </w:t>
      </w:r>
      <w:r w:rsidR="00704687">
        <w:t>d</w:t>
      </w:r>
      <w:r w:rsidR="00C05807">
        <w:t xml:space="preserve">elay before burst (DBB) </w:t>
      </w:r>
      <w:r>
        <w:t>setting changes the time delay before afterpul</w:t>
      </w:r>
      <w:r w:rsidR="009A1CA3">
        <w:t>s</w:t>
      </w:r>
      <w:r>
        <w:t xml:space="preserve">es are counted, this </w:t>
      </w:r>
      <w:r w:rsidR="00C05807">
        <w:t>allow</w:t>
      </w:r>
      <w:r>
        <w:t>s</w:t>
      </w:r>
      <w:r w:rsidR="00C05807">
        <w:t xml:space="preserve"> </w:t>
      </w:r>
      <w:r>
        <w:t>discrimination of</w:t>
      </w:r>
      <w:r w:rsidR="00C05807">
        <w:t xml:space="preserve"> true beta events from blank pulses.</w:t>
      </w:r>
      <w:r w:rsidR="0024738A">
        <w:t xml:space="preserve"> </w:t>
      </w:r>
      <w:r w:rsidR="00C05807">
        <w:t>Afterpulses, which occur after the fast pulse and the specified delay time interval, indicate that a scintillation event is due to background. The actual length of the afterpulses from true beta events will vary depending on the cocktail used and the energy of the beta emissions. Some scintillants, such as the Packard Ultima Gold produce afterpulses that make a beta event appear similar to a typical background event</w:t>
      </w:r>
      <w:r w:rsidR="00CD1383">
        <w:t xml:space="preserve"> (Passo and Cook, 1996)</w:t>
      </w:r>
      <w:r w:rsidR="00C05807">
        <w:t xml:space="preserve">. </w:t>
      </w:r>
    </w:p>
    <w:p w:rsidR="005A3F68" w:rsidRDefault="00F75826" w:rsidP="005A3F68">
      <w:r>
        <w:t xml:space="preserve">The use of two PMTs in the TriCarb 3100TR allows coincidence counting to take place which reduces the background from radiation external to the source. </w:t>
      </w:r>
      <w:r w:rsidR="00AC699D">
        <w:t xml:space="preserve">The coincidence timing on the TriCarb 3100TR can be adjusted from 10–100 ns. </w:t>
      </w:r>
      <w:r>
        <w:t xml:space="preserve">The </w:t>
      </w:r>
      <w:r w:rsidR="001B4F27">
        <w:t xml:space="preserve">Coincidence timing </w:t>
      </w:r>
      <w:r w:rsidR="005A3F68">
        <w:t xml:space="preserve">function rejects pulses that are received from the scintillation counter’s two photomultiplier tubes </w:t>
      </w:r>
      <w:r w:rsidR="002F2DD1">
        <w:t xml:space="preserve">outside </w:t>
      </w:r>
      <w:r w:rsidR="005A3F68">
        <w:t xml:space="preserve">a specified timeframe – </w:t>
      </w:r>
      <w:r w:rsidR="00783B07">
        <w:t xml:space="preserve">decreasing </w:t>
      </w:r>
      <w:r w:rsidR="005A3F68">
        <w:t xml:space="preserve">this time will increase the number of events rejected, reducing both the efficiency and the </w:t>
      </w:r>
      <w:r w:rsidR="00304E8D">
        <w:t>blank</w:t>
      </w:r>
      <w:r w:rsidR="005A3F68">
        <w:t xml:space="preserve"> count rate.</w:t>
      </w:r>
      <w:r w:rsidR="00AC699D" w:rsidRPr="00AC699D">
        <w:t xml:space="preserve"> </w:t>
      </w:r>
      <w:r w:rsidR="00AC699D">
        <w:t>Sensitivity of a measurement technique can be measured using the</w:t>
      </w:r>
      <w:r w:rsidR="00AC699D" w:rsidRPr="004169B1">
        <w:t xml:space="preserve"> </w:t>
      </w:r>
      <w:r w:rsidR="00751F4D">
        <w:t>figure of merit</w:t>
      </w:r>
      <w:r w:rsidR="00AC699D">
        <w:t xml:space="preserve"> (L’Annunziata, 2012) which is the square of the efficiency divided by the blank counts (E</w:t>
      </w:r>
      <w:r w:rsidR="00AC699D" w:rsidRPr="00094AF9">
        <w:rPr>
          <w:snapToGrid w:val="0"/>
          <w:color w:val="000000"/>
          <w:position w:val="6"/>
          <w:sz w:val="16"/>
          <w:szCs w:val="0"/>
          <w:u w:color="000000"/>
        </w:rPr>
        <w:t>2</w:t>
      </w:r>
      <w:r w:rsidR="00AC699D">
        <w:t xml:space="preserve">/B), as such parameters that influence the background and/or efficiency can influence the optimised count conditions. </w:t>
      </w:r>
      <w:r>
        <w:t xml:space="preserve"> </w:t>
      </w:r>
    </w:p>
    <w:p w:rsidR="005A3F68" w:rsidRDefault="00451D73" w:rsidP="008019F5">
      <w:pPr>
        <w:pStyle w:val="Heading3"/>
      </w:pPr>
      <w:bookmarkStart w:id="29" w:name="_Toc467491551"/>
      <w:r>
        <w:t xml:space="preserve">2.6  </w:t>
      </w:r>
      <w:r w:rsidR="005A3F68">
        <w:t>Counting windows</w:t>
      </w:r>
      <w:bookmarkEnd w:id="29"/>
      <w:r w:rsidR="005A3F68">
        <w:t xml:space="preserve"> </w:t>
      </w:r>
    </w:p>
    <w:p w:rsidR="003D6EBD" w:rsidRDefault="00332E53" w:rsidP="005A3F68">
      <w:r>
        <w:t>S</w:t>
      </w:r>
      <w:r w:rsidR="005A3F68">
        <w:t>electing a</w:t>
      </w:r>
      <w:r>
        <w:t>n optimum</w:t>
      </w:r>
      <w:r w:rsidR="005A3F68">
        <w:t xml:space="preserve"> counting window</w:t>
      </w:r>
      <w:r>
        <w:t xml:space="preserve"> is a challenge due to the ingrowth of </w:t>
      </w:r>
      <w:r w:rsidR="00C30224" w:rsidRPr="00C30224">
        <w:rPr>
          <w:snapToGrid w:val="0"/>
          <w:color w:val="000000"/>
          <w:position w:val="6"/>
          <w:sz w:val="16"/>
          <w:szCs w:val="0"/>
          <w:u w:color="000000"/>
        </w:rPr>
        <w:t>210</w:t>
      </w:r>
      <w:r w:rsidR="00C30224">
        <w:t xml:space="preserve">Bi </w:t>
      </w:r>
      <w:r>
        <w:t>and</w:t>
      </w:r>
      <w:r w:rsidR="005A3F68">
        <w:t xml:space="preserve"> </w:t>
      </w:r>
      <w:r w:rsidR="00C30224" w:rsidRPr="00C30224">
        <w:rPr>
          <w:snapToGrid w:val="0"/>
          <w:color w:val="000000"/>
          <w:position w:val="6"/>
          <w:sz w:val="16"/>
          <w:szCs w:val="0"/>
          <w:u w:color="000000"/>
        </w:rPr>
        <w:t>210</w:t>
      </w:r>
      <w:r>
        <w:t>Po into the sample after initial Pb separation.</w:t>
      </w:r>
      <w:r w:rsidRPr="00332E53">
        <w:t xml:space="preserve"> </w:t>
      </w:r>
      <w:r w:rsidR="005A3F68">
        <w:t>If only using</w:t>
      </w:r>
      <w:r w:rsidR="004169B1">
        <w:t xml:space="preserve"> a</w:t>
      </w:r>
      <w:r w:rsidR="005A3F68">
        <w:t xml:space="preserve"> </w:t>
      </w:r>
      <w:r w:rsidR="00C30224" w:rsidRPr="00C30224">
        <w:rPr>
          <w:snapToGrid w:val="0"/>
          <w:color w:val="000000"/>
          <w:position w:val="6"/>
          <w:sz w:val="16"/>
          <w:szCs w:val="0"/>
          <w:u w:color="000000"/>
        </w:rPr>
        <w:t>210</w:t>
      </w:r>
      <w:r w:rsidR="00C30224">
        <w:t>Pb</w:t>
      </w:r>
      <w:r w:rsidR="004169B1">
        <w:t xml:space="preserve"> window,</w:t>
      </w:r>
      <w:r w:rsidR="00C30224">
        <w:t xml:space="preserve"> </w:t>
      </w:r>
      <w:r w:rsidR="005A3F68">
        <w:t>measurements can be taken di</w:t>
      </w:r>
      <w:r w:rsidR="004169B1">
        <w:t xml:space="preserve">rectly after separation of </w:t>
      </w:r>
      <w:r w:rsidR="00783B07">
        <w:t>lead</w:t>
      </w:r>
      <w:r w:rsidR="004169B1">
        <w:t>, though a</w:t>
      </w:r>
      <w:r w:rsidR="005A3F68">
        <w:t xml:space="preserve">fter time some counts from </w:t>
      </w:r>
      <w:r w:rsidR="00C30224" w:rsidRPr="00C30224">
        <w:rPr>
          <w:snapToGrid w:val="0"/>
          <w:color w:val="000000"/>
          <w:position w:val="6"/>
          <w:sz w:val="16"/>
          <w:szCs w:val="0"/>
          <w:u w:color="000000"/>
        </w:rPr>
        <w:t>210</w:t>
      </w:r>
      <w:r w:rsidR="00C30224">
        <w:t xml:space="preserve">Bi </w:t>
      </w:r>
      <w:r w:rsidR="005A3F68">
        <w:t xml:space="preserve">will contribute to the </w:t>
      </w:r>
      <w:r w:rsidR="00C30224" w:rsidRPr="00C30224">
        <w:rPr>
          <w:snapToGrid w:val="0"/>
          <w:color w:val="000000"/>
          <w:position w:val="6"/>
          <w:sz w:val="16"/>
          <w:szCs w:val="0"/>
          <w:u w:color="000000"/>
        </w:rPr>
        <w:t>210</w:t>
      </w:r>
      <w:r w:rsidR="00C30224">
        <w:t xml:space="preserve">Pb </w:t>
      </w:r>
      <w:r w:rsidR="005A3F68">
        <w:t>counting window.</w:t>
      </w:r>
      <w:r w:rsidR="004169B1">
        <w:t xml:space="preserve"> </w:t>
      </w:r>
      <w:r w:rsidR="005A3F68">
        <w:t xml:space="preserve">If including </w:t>
      </w:r>
      <w:r w:rsidR="00C30224" w:rsidRPr="00C30224">
        <w:rPr>
          <w:snapToGrid w:val="0"/>
          <w:color w:val="000000"/>
          <w:position w:val="6"/>
          <w:sz w:val="16"/>
          <w:szCs w:val="0"/>
          <w:u w:color="000000"/>
        </w:rPr>
        <w:t>210</w:t>
      </w:r>
      <w:r w:rsidR="00C30224">
        <w:t xml:space="preserve">Bi </w:t>
      </w:r>
      <w:r w:rsidR="005A3F68">
        <w:t>then</w:t>
      </w:r>
      <w:r w:rsidR="004169B1">
        <w:t xml:space="preserve"> either </w:t>
      </w:r>
      <w:r w:rsidR="005A3F68">
        <w:t xml:space="preserve">time must be taken to allow </w:t>
      </w:r>
      <w:r w:rsidR="004169B1">
        <w:t xml:space="preserve">for </w:t>
      </w:r>
      <w:r w:rsidR="005A3F68">
        <w:t xml:space="preserve">ingrowth of </w:t>
      </w:r>
      <w:r w:rsidR="00C30224" w:rsidRPr="00C30224">
        <w:rPr>
          <w:snapToGrid w:val="0"/>
          <w:color w:val="000000"/>
          <w:position w:val="6"/>
          <w:sz w:val="16"/>
          <w:szCs w:val="0"/>
          <w:u w:color="000000"/>
        </w:rPr>
        <w:t>210</w:t>
      </w:r>
      <w:r w:rsidR="00C30224">
        <w:t>Bi</w:t>
      </w:r>
      <w:r w:rsidR="005A3F68">
        <w:t xml:space="preserve">, or calibration must be performed to calculate the relative contribution </w:t>
      </w:r>
      <w:r w:rsidR="004169B1">
        <w:t xml:space="preserve">from </w:t>
      </w:r>
      <w:r w:rsidR="004169B1" w:rsidRPr="00C30224">
        <w:rPr>
          <w:snapToGrid w:val="0"/>
          <w:color w:val="000000"/>
          <w:position w:val="6"/>
          <w:sz w:val="16"/>
          <w:szCs w:val="0"/>
          <w:u w:color="000000"/>
        </w:rPr>
        <w:t>210</w:t>
      </w:r>
      <w:r w:rsidR="004169B1">
        <w:t xml:space="preserve">Bi </w:t>
      </w:r>
      <w:r w:rsidR="003D6EBD">
        <w:t>in the</w:t>
      </w:r>
      <w:r w:rsidR="00783B07">
        <w:t xml:space="preserve"> </w:t>
      </w:r>
      <w:r w:rsidR="003D6EBD" w:rsidRPr="00C30224">
        <w:rPr>
          <w:snapToGrid w:val="0"/>
          <w:color w:val="000000"/>
          <w:position w:val="6"/>
          <w:sz w:val="16"/>
          <w:szCs w:val="0"/>
          <w:u w:color="000000"/>
        </w:rPr>
        <w:t>210</w:t>
      </w:r>
      <w:r w:rsidR="003D6EBD">
        <w:t xml:space="preserve">Pb window </w:t>
      </w:r>
      <w:r w:rsidR="005A3F68">
        <w:t xml:space="preserve">over time. </w:t>
      </w:r>
      <w:r w:rsidR="00C30224" w:rsidRPr="00C30224">
        <w:rPr>
          <w:snapToGrid w:val="0"/>
          <w:color w:val="000000"/>
          <w:position w:val="6"/>
          <w:sz w:val="16"/>
          <w:szCs w:val="0"/>
          <w:u w:color="000000"/>
        </w:rPr>
        <w:t>210</w:t>
      </w:r>
      <w:r w:rsidR="00C30224">
        <w:t xml:space="preserve">Bi </w:t>
      </w:r>
      <w:r w:rsidR="005A3F68">
        <w:t>reaches equilibrium within 53 days, which is suitable for our purposes and provides significantly increased sensitivity.</w:t>
      </w:r>
      <w:r w:rsidR="004169B1" w:rsidRPr="004169B1">
        <w:t xml:space="preserve"> </w:t>
      </w:r>
      <w:r w:rsidR="004169B1">
        <w:t xml:space="preserve">Use of a window including </w:t>
      </w:r>
      <w:r w:rsidR="004169B1" w:rsidRPr="00C30224">
        <w:rPr>
          <w:snapToGrid w:val="0"/>
          <w:color w:val="000000"/>
          <w:position w:val="6"/>
          <w:sz w:val="16"/>
          <w:szCs w:val="0"/>
          <w:u w:color="000000"/>
        </w:rPr>
        <w:t>210</w:t>
      </w:r>
      <w:r w:rsidR="004169B1">
        <w:t xml:space="preserve">Po can </w:t>
      </w:r>
      <w:r w:rsidR="003D6EBD">
        <w:t xml:space="preserve">further </w:t>
      </w:r>
      <w:r w:rsidR="004169B1">
        <w:t>be used in CPM count mode as there is no discrimination between alpha and beta particles, though long ingrowth times are required</w:t>
      </w:r>
      <w:r w:rsidR="00783B07">
        <w:t xml:space="preserve"> due to the longer </w:t>
      </w:r>
      <w:r w:rsidR="00416B53">
        <w:t>half-life</w:t>
      </w:r>
      <w:r w:rsidR="00783B07">
        <w:t xml:space="preserve"> of </w:t>
      </w:r>
      <w:r w:rsidR="006D6E95" w:rsidRPr="006D6E95">
        <w:rPr>
          <w:snapToGrid w:val="0"/>
          <w:color w:val="000000"/>
          <w:position w:val="6"/>
          <w:sz w:val="16"/>
          <w:szCs w:val="0"/>
          <w:u w:color="000000"/>
        </w:rPr>
        <w:t>210</w:t>
      </w:r>
      <w:r w:rsidR="00783B07">
        <w:t>Po</w:t>
      </w:r>
      <w:r w:rsidR="004169B1">
        <w:t xml:space="preserve">. </w:t>
      </w:r>
    </w:p>
    <w:p w:rsidR="005A3F68" w:rsidRDefault="004169B1" w:rsidP="005A3F68">
      <w:r>
        <w:t xml:space="preserve">The </w:t>
      </w:r>
      <w:r w:rsidR="00751F4D">
        <w:t>figure of merit</w:t>
      </w:r>
      <w:r w:rsidR="003D6EBD">
        <w:t xml:space="preserve"> </w:t>
      </w:r>
      <w:r>
        <w:t xml:space="preserve">was used to select appropriate windows based on the relative stage of ingrowth for </w:t>
      </w:r>
      <w:r w:rsidRPr="00C30224">
        <w:rPr>
          <w:snapToGrid w:val="0"/>
          <w:color w:val="000000"/>
          <w:position w:val="6"/>
          <w:sz w:val="16"/>
          <w:szCs w:val="0"/>
          <w:u w:color="000000"/>
        </w:rPr>
        <w:t>210</w:t>
      </w:r>
      <w:r>
        <w:t xml:space="preserve">Bi and </w:t>
      </w:r>
      <w:r w:rsidRPr="00C30224">
        <w:rPr>
          <w:snapToGrid w:val="0"/>
          <w:color w:val="000000"/>
          <w:position w:val="6"/>
          <w:sz w:val="16"/>
          <w:szCs w:val="0"/>
          <w:u w:color="000000"/>
        </w:rPr>
        <w:t>210</w:t>
      </w:r>
      <w:r>
        <w:t>Po.</w:t>
      </w:r>
    </w:p>
    <w:p w:rsidR="005A3F68" w:rsidRDefault="00451D73" w:rsidP="008019F5">
      <w:pPr>
        <w:pStyle w:val="Heading3"/>
      </w:pPr>
      <w:bookmarkStart w:id="30" w:name="_Toc467491552"/>
      <w:r>
        <w:t xml:space="preserve">2.7  </w:t>
      </w:r>
      <w:r w:rsidR="005A3F68">
        <w:t xml:space="preserve">Quench </w:t>
      </w:r>
      <w:r w:rsidR="00AA79D8">
        <w:t>and tSIE</w:t>
      </w:r>
      <w:bookmarkEnd w:id="30"/>
    </w:p>
    <w:p w:rsidR="00FA70A1" w:rsidRDefault="005A3F68" w:rsidP="00FA70A1">
      <w:r>
        <w:t>Quench correction can often be a critically important factor in accurate LSC measurements. However, with the preparation of a highly consistent matrix for all samples, this is not always necessary.</w:t>
      </w:r>
      <w:r w:rsidR="00FA70A1" w:rsidRPr="00FA70A1">
        <w:t xml:space="preserve"> To measure quench in the samples and standards we use the quench indicating parameter tSIE – the transformed </w:t>
      </w:r>
      <w:r w:rsidR="00FA70A1">
        <w:t xml:space="preserve">spectral </w:t>
      </w:r>
      <w:r w:rsidR="00FA70A1" w:rsidRPr="00FA70A1">
        <w:t xml:space="preserve">index of the internal standard. This is measured by the instrument through the use of a high activity internal </w:t>
      </w:r>
      <w:r w:rsidR="00FA70A1" w:rsidRPr="00FA70A1">
        <w:rPr>
          <w:snapToGrid w:val="0"/>
          <w:color w:val="000000"/>
          <w:position w:val="6"/>
          <w:sz w:val="16"/>
          <w:szCs w:val="0"/>
          <w:u w:color="000000"/>
        </w:rPr>
        <w:t>133</w:t>
      </w:r>
      <w:r w:rsidR="00FA70A1" w:rsidRPr="00FA70A1">
        <w:t>Ba standard.</w:t>
      </w:r>
      <w:r>
        <w:t xml:space="preserve"> </w:t>
      </w:r>
      <w:r w:rsidR="00FA70A1">
        <w:t>In our samples, there is very low variability in tSIE and insignificant variation in the efficiency for potential values of tSIE over an extended range of possible values.</w:t>
      </w:r>
      <w:r w:rsidR="004169B1">
        <w:t xml:space="preserve"> Thus, quench correction was not an important consideration for this method.</w:t>
      </w:r>
    </w:p>
    <w:p w:rsidR="00A8071B" w:rsidRDefault="00451D73">
      <w:pPr>
        <w:pStyle w:val="Heading2"/>
      </w:pPr>
      <w:bookmarkStart w:id="31" w:name="_Toc467491553"/>
      <w:r>
        <w:t xml:space="preserve">3.  </w:t>
      </w:r>
      <w:r w:rsidR="00B80A1B">
        <w:t>Methods</w:t>
      </w:r>
      <w:bookmarkEnd w:id="31"/>
    </w:p>
    <w:p w:rsidR="00B80A1B" w:rsidRDefault="00451D73" w:rsidP="00B80A1B">
      <w:pPr>
        <w:pStyle w:val="Heading3"/>
      </w:pPr>
      <w:bookmarkStart w:id="32" w:name="_Toc467491554"/>
      <w:r>
        <w:t xml:space="preserve">3.1  </w:t>
      </w:r>
      <w:r w:rsidR="00B80A1B">
        <w:t>Cocktail optimisation</w:t>
      </w:r>
      <w:bookmarkEnd w:id="32"/>
    </w:p>
    <w:p w:rsidR="00B80A1B" w:rsidRDefault="00B80A1B" w:rsidP="00B80A1B">
      <w:r>
        <w:t>Solutions of 1 mL and 2 mL of HCl at concentrations of 1 M and 2 M HCl with levels ranging from 2–20 mL of</w:t>
      </w:r>
      <w:r w:rsidR="00AA79D8">
        <w:t xml:space="preserve"> </w:t>
      </w:r>
      <w:r w:rsidR="002C73E1">
        <w:t xml:space="preserve">Ultima </w:t>
      </w:r>
      <w:r w:rsidR="00AA79D8">
        <w:t>Gold AB</w:t>
      </w:r>
      <w:r>
        <w:t xml:space="preserve"> </w:t>
      </w:r>
      <w:r w:rsidR="00AA79D8">
        <w:t>(</w:t>
      </w:r>
      <w:r>
        <w:t>UGAB</w:t>
      </w:r>
      <w:r w:rsidR="00AA79D8">
        <w:t>)</w:t>
      </w:r>
      <w:r>
        <w:t xml:space="preserve"> were tested to check for completeness of dissolution and to optimise the solution to scintillant </w:t>
      </w:r>
      <w:r w:rsidR="00903976">
        <w:t>ratio</w:t>
      </w:r>
      <w:r>
        <w:t xml:space="preserve"> in the cocktail. </w:t>
      </w:r>
      <w:r w:rsidR="00FF4C67">
        <w:t xml:space="preserve">The activity added to each standard was 16.3 Bq of a </w:t>
      </w:r>
      <w:r w:rsidR="00FF4C67" w:rsidRPr="00C30224">
        <w:rPr>
          <w:snapToGrid w:val="0"/>
          <w:color w:val="000000"/>
          <w:position w:val="6"/>
          <w:sz w:val="16"/>
          <w:szCs w:val="0"/>
          <w:u w:color="000000"/>
        </w:rPr>
        <w:t>210</w:t>
      </w:r>
      <w:r w:rsidR="00FF4C67">
        <w:t xml:space="preserve">Pb solution in equilibrium with the </w:t>
      </w:r>
      <w:r w:rsidR="00FF4C67" w:rsidRPr="00F3393F">
        <w:rPr>
          <w:snapToGrid w:val="0"/>
          <w:color w:val="000000"/>
          <w:position w:val="6"/>
          <w:sz w:val="16"/>
          <w:szCs w:val="0"/>
          <w:u w:color="000000"/>
        </w:rPr>
        <w:t>210</w:t>
      </w:r>
      <w:r w:rsidR="00FF4C67">
        <w:t xml:space="preserve">Bi and </w:t>
      </w:r>
      <w:r w:rsidR="00FF4C67" w:rsidRPr="00C30224">
        <w:rPr>
          <w:snapToGrid w:val="0"/>
          <w:color w:val="000000"/>
          <w:position w:val="6"/>
          <w:sz w:val="16"/>
          <w:szCs w:val="0"/>
          <w:u w:color="000000"/>
        </w:rPr>
        <w:t>210</w:t>
      </w:r>
      <w:r w:rsidR="00FF4C67">
        <w:t xml:space="preserve">Po </w:t>
      </w:r>
      <w:r w:rsidR="00AA79D8">
        <w:t>decay products</w:t>
      </w:r>
      <w:r w:rsidR="00FF4C67">
        <w:t>.</w:t>
      </w:r>
    </w:p>
    <w:p w:rsidR="00CB696F" w:rsidRDefault="00451D73" w:rsidP="00B80A1B">
      <w:pPr>
        <w:pStyle w:val="Heading3"/>
      </w:pPr>
      <w:bookmarkStart w:id="33" w:name="_Toc467491555"/>
      <w:r>
        <w:t xml:space="preserve">3.2  </w:t>
      </w:r>
      <w:r w:rsidR="00CB696F">
        <w:t>Optimisation of count parameters</w:t>
      </w:r>
      <w:bookmarkEnd w:id="33"/>
    </w:p>
    <w:p w:rsidR="00CB696F" w:rsidRDefault="00451D73" w:rsidP="00CB696F">
      <w:pPr>
        <w:pStyle w:val="Heading4"/>
      </w:pPr>
      <w:bookmarkStart w:id="34" w:name="_Toc467491556"/>
      <w:r>
        <w:t xml:space="preserve">3.2.1  </w:t>
      </w:r>
      <w:r w:rsidR="00CB696F">
        <w:t xml:space="preserve">Delay </w:t>
      </w:r>
      <w:r w:rsidR="00416B53">
        <w:t>b</w:t>
      </w:r>
      <w:r w:rsidR="00CB696F">
        <w:t xml:space="preserve">efore </w:t>
      </w:r>
      <w:r w:rsidR="00416B53">
        <w:t>b</w:t>
      </w:r>
      <w:r w:rsidR="00CB696F">
        <w:t xml:space="preserve">urst and </w:t>
      </w:r>
      <w:r w:rsidR="00416B53">
        <w:t>a</w:t>
      </w:r>
      <w:r w:rsidR="00CB696F">
        <w:t>nti-coincidence timing</w:t>
      </w:r>
      <w:bookmarkEnd w:id="34"/>
    </w:p>
    <w:p w:rsidR="00CB696F" w:rsidRPr="00CB696F" w:rsidRDefault="00CB696F" w:rsidP="00CB696F">
      <w:r>
        <w:t xml:space="preserve">A series of 6 standards were prepared from a </w:t>
      </w:r>
      <w:r w:rsidR="009841A1" w:rsidRPr="009841A1">
        <w:rPr>
          <w:snapToGrid w:val="0"/>
          <w:color w:val="000000"/>
          <w:position w:val="6"/>
          <w:sz w:val="16"/>
          <w:szCs w:val="0"/>
          <w:u w:color="000000"/>
        </w:rPr>
        <w:t>210</w:t>
      </w:r>
      <w:r w:rsidR="009841A1">
        <w:t xml:space="preserve">Pb </w:t>
      </w:r>
      <w:r>
        <w:t>standard solution in equilibrium with daughter isotopes</w:t>
      </w:r>
      <w:r w:rsidR="009841A1">
        <w:t xml:space="preserve"> </w:t>
      </w:r>
      <w:r w:rsidRPr="00C30224">
        <w:rPr>
          <w:snapToGrid w:val="0"/>
          <w:color w:val="000000"/>
          <w:position w:val="6"/>
          <w:sz w:val="16"/>
          <w:szCs w:val="0"/>
          <w:u w:color="000000"/>
        </w:rPr>
        <w:t>210</w:t>
      </w:r>
      <w:r>
        <w:t xml:space="preserve">Bi and </w:t>
      </w:r>
      <w:r w:rsidRPr="00C30224">
        <w:rPr>
          <w:snapToGrid w:val="0"/>
          <w:color w:val="000000"/>
          <w:position w:val="6"/>
          <w:sz w:val="16"/>
          <w:szCs w:val="0"/>
          <w:u w:color="000000"/>
        </w:rPr>
        <w:t>210</w:t>
      </w:r>
      <w:r w:rsidR="009841A1">
        <w:t>Po. The standards were prepared with an analytical blank using a</w:t>
      </w:r>
      <w:r w:rsidR="008B5850">
        <w:t>n optimised</w:t>
      </w:r>
      <w:r w:rsidR="009841A1">
        <w:t xml:space="preserve"> scintillation cocktail mix of 2 mL </w:t>
      </w:r>
      <w:r w:rsidR="008B5850">
        <w:t>1</w:t>
      </w:r>
      <w:r w:rsidR="009841A1">
        <w:t xml:space="preserve"> M HCl </w:t>
      </w:r>
      <w:r w:rsidR="008B5850">
        <w:t>with</w:t>
      </w:r>
      <w:r w:rsidR="009841A1">
        <w:t xml:space="preserve"> 10 mL UGAB. The total activity of </w:t>
      </w:r>
      <w:r w:rsidR="009841A1" w:rsidRPr="009841A1">
        <w:rPr>
          <w:snapToGrid w:val="0"/>
          <w:color w:val="000000"/>
          <w:position w:val="6"/>
          <w:sz w:val="16"/>
          <w:szCs w:val="0"/>
          <w:u w:color="000000"/>
        </w:rPr>
        <w:t>210</w:t>
      </w:r>
      <w:r w:rsidR="009841A1">
        <w:t>Pb added to each standard ranged</w:t>
      </w:r>
      <w:r>
        <w:t xml:space="preserve"> from </w:t>
      </w:r>
      <w:r w:rsidR="009841A1">
        <w:t xml:space="preserve">292–294 Bq. All standards </w:t>
      </w:r>
      <w:r w:rsidR="00352BD9">
        <w:t xml:space="preserve">were counted for 1 min </w:t>
      </w:r>
      <w:r w:rsidR="009841A1">
        <w:t>and the analytical blank</w:t>
      </w:r>
      <w:r w:rsidR="00AA79D8">
        <w:t>s</w:t>
      </w:r>
      <w:r w:rsidR="009841A1">
        <w:t xml:space="preserve"> were counted for 100 min across </w:t>
      </w:r>
      <w:r>
        <w:t xml:space="preserve">a range of anti-coincidence timing </w:t>
      </w:r>
      <w:r w:rsidR="009841A1">
        <w:t xml:space="preserve">settings </w:t>
      </w:r>
      <w:r>
        <w:t xml:space="preserve">from 10–100 ns while also varying the DBB </w:t>
      </w:r>
      <w:r w:rsidR="00E47EE8">
        <w:t>timing</w:t>
      </w:r>
      <w:r>
        <w:t xml:space="preserve"> from 75–800 ns. </w:t>
      </w:r>
      <w:r w:rsidR="009841A1">
        <w:t xml:space="preserve">Counting of these standards and the analytical blank took place over a period of </w:t>
      </w:r>
      <w:r w:rsidR="00352BD9">
        <w:t xml:space="preserve">51 </w:t>
      </w:r>
      <w:r w:rsidR="009841A1">
        <w:t>days after initial preparation.</w:t>
      </w:r>
    </w:p>
    <w:p w:rsidR="00B80A1B" w:rsidRDefault="00451D73" w:rsidP="00CB696F">
      <w:pPr>
        <w:pStyle w:val="Heading4"/>
      </w:pPr>
      <w:bookmarkStart w:id="35" w:name="_Toc467491557"/>
      <w:r>
        <w:t xml:space="preserve">3.2.2  </w:t>
      </w:r>
      <w:r w:rsidR="00B80A1B">
        <w:t xml:space="preserve">Efficiency </w:t>
      </w:r>
      <w:r w:rsidR="00D92477">
        <w:t>c</w:t>
      </w:r>
      <w:r w:rsidR="00B80A1B">
        <w:t>alibration and cocktail stability</w:t>
      </w:r>
      <w:bookmarkEnd w:id="35"/>
    </w:p>
    <w:p w:rsidR="00AB5CE7" w:rsidRDefault="00B80A1B" w:rsidP="00AB5CE7">
      <w:r>
        <w:t>A series of standards were counted</w:t>
      </w:r>
      <w:r w:rsidR="00500C90">
        <w:t xml:space="preserve"> in CPM mode</w:t>
      </w:r>
      <w:r>
        <w:t xml:space="preserve"> </w:t>
      </w:r>
      <w:r w:rsidR="00500C90">
        <w:t xml:space="preserve">over a period of </w:t>
      </w:r>
      <w:r w:rsidR="00B13613">
        <w:t>&gt;300</w:t>
      </w:r>
      <w:r w:rsidR="00500C90">
        <w:t xml:space="preserve"> days </w:t>
      </w:r>
      <w:r>
        <w:t>to give a</w:t>
      </w:r>
      <w:r w:rsidR="00AB5CE7">
        <w:t xml:space="preserve"> relative efficiency </w:t>
      </w:r>
      <w:r>
        <w:t xml:space="preserve">calibration that takes into account the amount of both </w:t>
      </w:r>
      <w:r w:rsidRPr="00C30224">
        <w:rPr>
          <w:snapToGrid w:val="0"/>
          <w:color w:val="000000"/>
          <w:position w:val="6"/>
          <w:sz w:val="16"/>
          <w:szCs w:val="0"/>
          <w:u w:color="000000"/>
        </w:rPr>
        <w:t>210</w:t>
      </w:r>
      <w:r>
        <w:t xml:space="preserve">Bi and </w:t>
      </w:r>
      <w:r w:rsidRPr="00C30224">
        <w:rPr>
          <w:snapToGrid w:val="0"/>
          <w:color w:val="000000"/>
          <w:position w:val="6"/>
          <w:sz w:val="16"/>
          <w:szCs w:val="0"/>
          <w:u w:color="000000"/>
        </w:rPr>
        <w:t>210</w:t>
      </w:r>
      <w:r>
        <w:t xml:space="preserve">Po that have ingrown in the sample to allow both rapid measurement directly after separation of </w:t>
      </w:r>
      <w:r w:rsidRPr="00C30224">
        <w:rPr>
          <w:snapToGrid w:val="0"/>
          <w:color w:val="000000"/>
          <w:position w:val="6"/>
          <w:sz w:val="16"/>
          <w:szCs w:val="0"/>
          <w:u w:color="000000"/>
        </w:rPr>
        <w:t>210</w:t>
      </w:r>
      <w:r>
        <w:t>Pb and</w:t>
      </w:r>
      <w:r w:rsidR="00500C90" w:rsidRPr="00500C90">
        <w:t xml:space="preserve"> </w:t>
      </w:r>
      <w:r w:rsidR="00500C90">
        <w:t>later measurement</w:t>
      </w:r>
      <w:r>
        <w:t xml:space="preserve"> for maximum ingrowth of </w:t>
      </w:r>
      <w:r w:rsidRPr="00C30224">
        <w:rPr>
          <w:snapToGrid w:val="0"/>
          <w:color w:val="000000"/>
          <w:position w:val="6"/>
          <w:sz w:val="16"/>
          <w:szCs w:val="0"/>
          <w:u w:color="000000"/>
        </w:rPr>
        <w:t>210</w:t>
      </w:r>
      <w:r>
        <w:t xml:space="preserve">Bi and </w:t>
      </w:r>
      <w:r w:rsidRPr="00C30224">
        <w:rPr>
          <w:snapToGrid w:val="0"/>
          <w:color w:val="000000"/>
          <w:position w:val="6"/>
          <w:sz w:val="16"/>
          <w:szCs w:val="0"/>
          <w:u w:color="000000"/>
        </w:rPr>
        <w:t>210</w:t>
      </w:r>
      <w:r>
        <w:t xml:space="preserve">Po </w:t>
      </w:r>
      <w:r w:rsidR="00500C90">
        <w:t>leading to</w:t>
      </w:r>
      <w:r>
        <w:t xml:space="preserve"> lower detection limits.</w:t>
      </w:r>
      <w:r w:rsidR="00AB5CE7">
        <w:t xml:space="preserve"> The relative efficiency was </w:t>
      </w:r>
      <w:r w:rsidR="000A29F3">
        <w:t xml:space="preserve">calculated </w:t>
      </w:r>
      <w:r w:rsidR="00AB5CE7">
        <w:t xml:space="preserve">as a function of the activity of </w:t>
      </w:r>
      <w:r w:rsidR="00AB5CE7" w:rsidRPr="00A859B0">
        <w:rPr>
          <w:snapToGrid w:val="0"/>
          <w:color w:val="000000"/>
          <w:position w:val="6"/>
          <w:sz w:val="16"/>
          <w:szCs w:val="0"/>
          <w:u w:color="000000"/>
        </w:rPr>
        <w:t>210</w:t>
      </w:r>
      <w:r w:rsidR="00AB5CE7">
        <w:t>Pb in the sample</w:t>
      </w:r>
      <w:r w:rsidR="000A29F3">
        <w:t xml:space="preserve"> (equation</w:t>
      </w:r>
      <w:r w:rsidR="00210752">
        <w:t>s</w:t>
      </w:r>
      <w:r w:rsidR="000A29F3">
        <w:t xml:space="preserve"> 1</w:t>
      </w:r>
      <w:r w:rsidR="00210752">
        <w:t xml:space="preserve"> and 2</w:t>
      </w:r>
      <w:r w:rsidR="000A29F3">
        <w:t>)</w:t>
      </w:r>
      <w:r w:rsidR="00AB5CE7">
        <w:t xml:space="preserve">. Relative efficiencies of greater than 100% were achieved </w:t>
      </w:r>
      <w:r w:rsidR="0035002C">
        <w:t xml:space="preserve">as all </w:t>
      </w:r>
      <w:r w:rsidR="00AB5CE7">
        <w:t xml:space="preserve">counts from the isotopes </w:t>
      </w:r>
      <w:r w:rsidR="00AB5CE7" w:rsidRPr="00896DE7">
        <w:rPr>
          <w:snapToGrid w:val="0"/>
          <w:color w:val="000000"/>
          <w:position w:val="6"/>
          <w:sz w:val="16"/>
          <w:szCs w:val="0"/>
          <w:u w:color="000000"/>
        </w:rPr>
        <w:t>210</w:t>
      </w:r>
      <w:r w:rsidR="00AB5CE7">
        <w:t xml:space="preserve">Bi and </w:t>
      </w:r>
      <w:r w:rsidR="00AB5CE7" w:rsidRPr="00896DE7">
        <w:rPr>
          <w:snapToGrid w:val="0"/>
          <w:color w:val="000000"/>
          <w:position w:val="6"/>
          <w:sz w:val="16"/>
          <w:szCs w:val="0"/>
          <w:u w:color="000000"/>
        </w:rPr>
        <w:t>210</w:t>
      </w:r>
      <w:r w:rsidR="00AB5CE7">
        <w:t xml:space="preserve">Po </w:t>
      </w:r>
      <w:r w:rsidR="0035002C">
        <w:t xml:space="preserve">were summed </w:t>
      </w:r>
      <w:r w:rsidR="00AB5CE7">
        <w:t xml:space="preserve">with the counts from </w:t>
      </w:r>
      <w:r w:rsidR="00AB5CE7" w:rsidRPr="002471B6">
        <w:rPr>
          <w:snapToGrid w:val="0"/>
          <w:color w:val="000000"/>
          <w:position w:val="6"/>
          <w:sz w:val="16"/>
          <w:szCs w:val="0"/>
          <w:u w:color="000000"/>
        </w:rPr>
        <w:t>210</w:t>
      </w:r>
      <w:r w:rsidR="00AB5CE7">
        <w:t>Pb</w:t>
      </w:r>
      <w:r w:rsidR="0035002C">
        <w:t xml:space="preserve"> for a given count window</w:t>
      </w:r>
      <w:r w:rsidR="00AB5CE7">
        <w:t xml:space="preserve">. </w:t>
      </w:r>
    </w:p>
    <w:p w:rsidR="00B80A1B" w:rsidRPr="0035002C" w:rsidRDefault="006D5378" w:rsidP="006D5378">
      <w:pPr>
        <w:jc w:val="right"/>
        <w:rPr>
          <w:rFonts w:ascii="Arial" w:hAnsi="Arial"/>
          <w:b/>
          <w:sz w:val="18"/>
        </w:rPr>
      </w:pPr>
      <w:r w:rsidRPr="0035002C">
        <w:rPr>
          <w:rFonts w:ascii="Arial" w:hAnsi="Arial"/>
          <w:b/>
          <w:sz w:val="18"/>
        </w:rPr>
        <w:t>Equation 1</w:t>
      </w:r>
    </w:p>
    <w:p w:rsidR="005D3B57" w:rsidRDefault="005E27BE" w:rsidP="006D5378">
      <m:oMathPara>
        <m:oMath>
          <m:sSub>
            <m:sSubPr>
              <m:ctrlPr>
                <w:rPr>
                  <w:rFonts w:ascii="Cambria Math" w:hAnsi="Cambria Math"/>
                  <w:i/>
                </w:rPr>
              </m:ctrlPr>
            </m:sSubPr>
            <m:e>
              <m:r>
                <w:rPr>
                  <w:rFonts w:ascii="Cambria Math" w:hAnsi="Cambria Math"/>
                </w:rPr>
                <m:t>ε</m:t>
              </m:r>
            </m:e>
            <m:sub>
              <m:r>
                <w:rPr>
                  <w:rFonts w:ascii="Cambria Math" w:hAnsi="Cambria Math"/>
                </w:rPr>
                <m:t>Relative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CR</m:t>
                  </m:r>
                </m:sub>
              </m:sSub>
            </m:num>
            <m:den>
              <m:sSub>
                <m:sSubPr>
                  <m:ctrlPr>
                    <w:rPr>
                      <w:rFonts w:ascii="Cambria Math" w:hAnsi="Cambria Math"/>
                      <w:i/>
                    </w:rPr>
                  </m:ctrlPr>
                </m:sSubPr>
                <m:e>
                  <m:r>
                    <w:rPr>
                      <w:rFonts w:ascii="Cambria Math" w:hAnsi="Cambria Math"/>
                    </w:rPr>
                    <m:t>A</m:t>
                  </m:r>
                </m:e>
                <m:sub>
                  <m:r>
                    <w:rPr>
                      <w:rFonts w:ascii="Cambria Math" w:hAnsi="Cambria Math"/>
                    </w:rPr>
                    <m:t>Pb-210</m:t>
                  </m:r>
                </m:sub>
              </m:sSub>
            </m:den>
          </m:f>
        </m:oMath>
      </m:oMathPara>
    </w:p>
    <w:p w:rsidR="006D5378" w:rsidRDefault="006D5378" w:rsidP="006D5378">
      <w:r>
        <w:t>Where:</w:t>
      </w:r>
    </w:p>
    <w:p w:rsidR="006D5378" w:rsidRDefault="006D5378" w:rsidP="006D5378">
      <w:r w:rsidRPr="006E56BC">
        <w:rPr>
          <w:i/>
          <w:sz w:val="32"/>
        </w:rPr>
        <w:t>ε</w:t>
      </w:r>
      <w:r>
        <w:rPr>
          <w:i/>
          <w:snapToGrid w:val="0"/>
          <w:color w:val="000000"/>
          <w:position w:val="-6"/>
          <w:sz w:val="16"/>
          <w:szCs w:val="0"/>
          <w:u w:color="000000"/>
        </w:rPr>
        <w:t xml:space="preserve">Relative </w:t>
      </w:r>
      <w:r>
        <w:t>= The relative efficiency</w:t>
      </w:r>
      <w:r w:rsidR="0035002C">
        <w:t xml:space="preserve"> in a given count window</w:t>
      </w:r>
    </w:p>
    <w:p w:rsidR="0035002C" w:rsidRDefault="0035002C" w:rsidP="0035002C">
      <w:r>
        <w:rPr>
          <w:i/>
        </w:rPr>
        <w:t>N</w:t>
      </w:r>
      <w:r w:rsidRPr="006E56BC">
        <w:rPr>
          <w:i/>
          <w:snapToGrid w:val="0"/>
          <w:color w:val="000000"/>
          <w:position w:val="-6"/>
          <w:sz w:val="16"/>
          <w:szCs w:val="0"/>
          <w:u w:color="000000"/>
        </w:rPr>
        <w:t>C</w:t>
      </w:r>
      <w:r>
        <w:rPr>
          <w:i/>
          <w:snapToGrid w:val="0"/>
          <w:color w:val="000000"/>
          <w:position w:val="-6"/>
          <w:sz w:val="16"/>
          <w:szCs w:val="0"/>
          <w:u w:color="000000"/>
        </w:rPr>
        <w:t>R</w:t>
      </w:r>
      <w:r>
        <w:t xml:space="preserve"> = The net count rate in a given count window (counts s</w:t>
      </w:r>
      <w:r w:rsidRPr="005D3B57">
        <w:rPr>
          <w:snapToGrid w:val="0"/>
          <w:color w:val="000000"/>
          <w:position w:val="6"/>
          <w:sz w:val="16"/>
          <w:szCs w:val="0"/>
          <w:u w:color="000000"/>
        </w:rPr>
        <w:t>-1</w:t>
      </w:r>
      <w:r>
        <w:t>)</w:t>
      </w:r>
    </w:p>
    <w:p w:rsidR="006D5378" w:rsidRDefault="0035002C" w:rsidP="006D5378">
      <w:r>
        <w:rPr>
          <w:i/>
        </w:rPr>
        <w:t>A</w:t>
      </w:r>
      <w:r>
        <w:rPr>
          <w:i/>
          <w:snapToGrid w:val="0"/>
          <w:color w:val="000000"/>
          <w:position w:val="-6"/>
          <w:sz w:val="16"/>
          <w:szCs w:val="0"/>
          <w:u w:color="000000"/>
        </w:rPr>
        <w:t>Pb-210</w:t>
      </w:r>
      <w:r w:rsidR="006D5378">
        <w:t xml:space="preserve"> = The </w:t>
      </w:r>
      <w:r>
        <w:t xml:space="preserve">activity of </w:t>
      </w:r>
      <w:r w:rsidRPr="0035002C">
        <w:rPr>
          <w:snapToGrid w:val="0"/>
          <w:color w:val="000000"/>
          <w:position w:val="6"/>
          <w:sz w:val="16"/>
          <w:szCs w:val="0"/>
          <w:u w:color="000000"/>
        </w:rPr>
        <w:t>210</w:t>
      </w:r>
      <w:r>
        <w:t>Pb in the sample or standard</w:t>
      </w:r>
    </w:p>
    <w:p w:rsidR="00D92477" w:rsidRDefault="00D92477" w:rsidP="00AF6C51">
      <w:pPr>
        <w:jc w:val="right"/>
        <w:rPr>
          <w:rFonts w:ascii="Arial" w:hAnsi="Arial"/>
          <w:b/>
          <w:sz w:val="18"/>
        </w:rPr>
      </w:pPr>
    </w:p>
    <w:p w:rsidR="00D92477" w:rsidRDefault="00D92477" w:rsidP="00AF6C51">
      <w:pPr>
        <w:jc w:val="right"/>
        <w:rPr>
          <w:rFonts w:ascii="Arial" w:hAnsi="Arial"/>
          <w:b/>
          <w:sz w:val="18"/>
        </w:rPr>
      </w:pPr>
    </w:p>
    <w:p w:rsidR="00AF6C51" w:rsidRPr="0035002C" w:rsidRDefault="00AF6C51" w:rsidP="00AF6C51">
      <w:pPr>
        <w:jc w:val="right"/>
        <w:rPr>
          <w:rFonts w:ascii="Arial" w:hAnsi="Arial"/>
          <w:b/>
          <w:sz w:val="18"/>
        </w:rPr>
      </w:pPr>
      <w:r w:rsidRPr="0035002C">
        <w:rPr>
          <w:rFonts w:ascii="Arial" w:hAnsi="Arial"/>
          <w:b/>
          <w:sz w:val="18"/>
        </w:rPr>
        <w:t xml:space="preserve">Equation </w:t>
      </w:r>
      <w:r>
        <w:rPr>
          <w:rFonts w:ascii="Arial" w:hAnsi="Arial"/>
          <w:b/>
          <w:sz w:val="18"/>
        </w:rPr>
        <w:t>2</w:t>
      </w:r>
    </w:p>
    <w:p w:rsidR="005D3B57" w:rsidRDefault="005E27BE" w:rsidP="005D3B57">
      <m:oMathPara>
        <m:oMath>
          <m:sSub>
            <m:sSubPr>
              <m:ctrlPr>
                <w:rPr>
                  <w:rFonts w:ascii="Cambria Math" w:hAnsi="Cambria Math"/>
                  <w:i/>
                </w:rPr>
              </m:ctrlPr>
            </m:sSubPr>
            <m:e>
              <m:r>
                <w:rPr>
                  <w:rFonts w:ascii="Cambria Math" w:hAnsi="Cambria Math"/>
                </w:rPr>
                <m:t>N</m:t>
              </m:r>
            </m:e>
            <m:sub>
              <m:r>
                <w:rPr>
                  <w:rFonts w:ascii="Cambria Math" w:hAnsi="Cambria Math"/>
                </w:rPr>
                <m:t>CR</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G</m:t>
                  </m:r>
                </m:e>
                <m:sub>
                  <m:r>
                    <w:rPr>
                      <w:rFonts w:ascii="Cambria Math" w:hAnsi="Cambria Math"/>
                    </w:rPr>
                    <m:t>C</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C</m:t>
                  </m:r>
                </m:sub>
              </m:sSub>
            </m:num>
            <m:den>
              <m:r>
                <w:rPr>
                  <w:rFonts w:ascii="Cambria Math" w:hAnsi="Cambria Math"/>
                </w:rPr>
                <m:t>t</m:t>
              </m:r>
            </m:den>
          </m:f>
        </m:oMath>
      </m:oMathPara>
    </w:p>
    <w:p w:rsidR="005D3B57" w:rsidRDefault="005D3B57" w:rsidP="005D3B57">
      <w:r>
        <w:t>Where:</w:t>
      </w:r>
    </w:p>
    <w:p w:rsidR="005D3B57" w:rsidRDefault="005D3B57" w:rsidP="005D3B57">
      <w:r>
        <w:rPr>
          <w:i/>
        </w:rPr>
        <w:t>N</w:t>
      </w:r>
      <w:r w:rsidRPr="006E56BC">
        <w:rPr>
          <w:i/>
          <w:snapToGrid w:val="0"/>
          <w:color w:val="000000"/>
          <w:position w:val="-6"/>
          <w:sz w:val="16"/>
          <w:szCs w:val="0"/>
          <w:u w:color="000000"/>
        </w:rPr>
        <w:t>C</w:t>
      </w:r>
      <w:r>
        <w:rPr>
          <w:i/>
          <w:snapToGrid w:val="0"/>
          <w:color w:val="000000"/>
          <w:position w:val="-6"/>
          <w:sz w:val="16"/>
          <w:szCs w:val="0"/>
          <w:u w:color="000000"/>
        </w:rPr>
        <w:t>R</w:t>
      </w:r>
      <w:r>
        <w:t xml:space="preserve"> = The net count rate in a given count window (counts s</w:t>
      </w:r>
      <w:r w:rsidRPr="005D3B57">
        <w:rPr>
          <w:snapToGrid w:val="0"/>
          <w:color w:val="000000"/>
          <w:position w:val="6"/>
          <w:sz w:val="16"/>
          <w:szCs w:val="0"/>
          <w:u w:color="000000"/>
        </w:rPr>
        <w:t>-1</w:t>
      </w:r>
      <w:r>
        <w:t>)</w:t>
      </w:r>
    </w:p>
    <w:p w:rsidR="005D3B57" w:rsidRDefault="005D3B57" w:rsidP="005D3B57">
      <w:r>
        <w:rPr>
          <w:i/>
        </w:rPr>
        <w:t>G</w:t>
      </w:r>
      <w:r w:rsidRPr="006E56BC">
        <w:rPr>
          <w:i/>
          <w:snapToGrid w:val="0"/>
          <w:color w:val="000000"/>
          <w:position w:val="-6"/>
          <w:sz w:val="16"/>
          <w:szCs w:val="0"/>
          <w:u w:color="000000"/>
        </w:rPr>
        <w:t>C</w:t>
      </w:r>
      <w:r>
        <w:t xml:space="preserve"> = The gross counts</w:t>
      </w:r>
      <w:r w:rsidRPr="005D3B57">
        <w:t xml:space="preserve"> </w:t>
      </w:r>
      <w:r>
        <w:t>in a given count window</w:t>
      </w:r>
    </w:p>
    <w:p w:rsidR="005D3B57" w:rsidRDefault="005D3B57" w:rsidP="005D3B57">
      <w:r>
        <w:rPr>
          <w:i/>
        </w:rPr>
        <w:t>B</w:t>
      </w:r>
      <w:r w:rsidRPr="006E56BC">
        <w:rPr>
          <w:i/>
          <w:snapToGrid w:val="0"/>
          <w:color w:val="000000"/>
          <w:position w:val="-6"/>
          <w:sz w:val="16"/>
          <w:szCs w:val="0"/>
          <w:u w:color="000000"/>
        </w:rPr>
        <w:t>C</w:t>
      </w:r>
      <w:r>
        <w:t xml:space="preserve"> = The background counts</w:t>
      </w:r>
      <w:r w:rsidRPr="005D3B57">
        <w:t xml:space="preserve"> </w:t>
      </w:r>
      <w:r>
        <w:t>in a given count window</w:t>
      </w:r>
    </w:p>
    <w:p w:rsidR="005D3B57" w:rsidRDefault="005D3B57" w:rsidP="005D3B57">
      <w:r w:rsidRPr="005D3B57">
        <w:rPr>
          <w:i/>
        </w:rPr>
        <w:t>t</w:t>
      </w:r>
      <w:r>
        <w:t xml:space="preserve"> = The count time (s)</w:t>
      </w:r>
    </w:p>
    <w:p w:rsidR="00B80A1B" w:rsidRDefault="00B80A1B" w:rsidP="00B80A1B">
      <w:r>
        <w:t xml:space="preserve">These standards were prepared from a stock solution of </w:t>
      </w:r>
      <w:r w:rsidRPr="00B80A1B">
        <w:rPr>
          <w:snapToGrid w:val="0"/>
          <w:color w:val="000000"/>
          <w:position w:val="6"/>
          <w:sz w:val="16"/>
          <w:szCs w:val="0"/>
          <w:u w:color="000000"/>
        </w:rPr>
        <w:t>210</w:t>
      </w:r>
      <w:r>
        <w:t xml:space="preserve">Pb that had been chemically purified so that </w:t>
      </w:r>
      <w:r w:rsidRPr="00C30224">
        <w:rPr>
          <w:snapToGrid w:val="0"/>
          <w:color w:val="000000"/>
          <w:position w:val="6"/>
          <w:sz w:val="16"/>
          <w:szCs w:val="0"/>
          <w:u w:color="000000"/>
        </w:rPr>
        <w:t>210</w:t>
      </w:r>
      <w:r>
        <w:t xml:space="preserve">Bi and </w:t>
      </w:r>
      <w:r w:rsidRPr="00C30224">
        <w:rPr>
          <w:snapToGrid w:val="0"/>
          <w:color w:val="000000"/>
          <w:position w:val="6"/>
          <w:sz w:val="16"/>
          <w:szCs w:val="0"/>
          <w:u w:color="000000"/>
        </w:rPr>
        <w:t>210</w:t>
      </w:r>
      <w:r>
        <w:t xml:space="preserve">Po had been removed. Standards were prepared fresh at suitable intervals to </w:t>
      </w:r>
      <w:r w:rsidR="00874C33">
        <w:t xml:space="preserve">give a representative estimation of the </w:t>
      </w:r>
      <w:r w:rsidR="0035002C">
        <w:t xml:space="preserve">relative </w:t>
      </w:r>
      <w:r w:rsidR="00874C33">
        <w:t xml:space="preserve">efficiency of counting </w:t>
      </w:r>
      <w:r w:rsidR="00903976">
        <w:t>with</w:t>
      </w:r>
      <w:r w:rsidR="00874C33">
        <w:t xml:space="preserve">  ingrowth of </w:t>
      </w:r>
      <w:r w:rsidR="00874C33" w:rsidRPr="00C30224">
        <w:rPr>
          <w:snapToGrid w:val="0"/>
          <w:color w:val="000000"/>
          <w:position w:val="6"/>
          <w:sz w:val="16"/>
          <w:szCs w:val="0"/>
          <w:u w:color="000000"/>
        </w:rPr>
        <w:t>210</w:t>
      </w:r>
      <w:r w:rsidR="00874C33">
        <w:t xml:space="preserve">Bi and </w:t>
      </w:r>
      <w:r w:rsidR="00874C33" w:rsidRPr="00C30224">
        <w:rPr>
          <w:snapToGrid w:val="0"/>
          <w:color w:val="000000"/>
          <w:position w:val="6"/>
          <w:sz w:val="16"/>
          <w:szCs w:val="0"/>
          <w:u w:color="000000"/>
        </w:rPr>
        <w:t>210</w:t>
      </w:r>
      <w:r w:rsidR="00874C33">
        <w:t>Po. A number of these prepared standards were re-counted over a period of &gt;300 days to assess the stability of the cocktail mixture. Efficiency calibrations were calculated for freshly prepared and aged cocktail solutions.</w:t>
      </w:r>
    </w:p>
    <w:p w:rsidR="00874C33" w:rsidRDefault="00451D73" w:rsidP="00CB696F">
      <w:pPr>
        <w:pStyle w:val="Heading4"/>
      </w:pPr>
      <w:bookmarkStart w:id="36" w:name="_Toc467491558"/>
      <w:r>
        <w:t xml:space="preserve">3.2.3  </w:t>
      </w:r>
      <w:r w:rsidR="00874C33">
        <w:t>Selection of counting windows</w:t>
      </w:r>
      <w:bookmarkEnd w:id="36"/>
    </w:p>
    <w:p w:rsidR="00874C33" w:rsidRDefault="00874C33" w:rsidP="00B80A1B">
      <w:r>
        <w:t xml:space="preserve">Data from the standards used for </w:t>
      </w:r>
      <w:r w:rsidR="0035002C">
        <w:t xml:space="preserve">relative </w:t>
      </w:r>
      <w:r>
        <w:t xml:space="preserve">efficiency calibration was used to calculate optimum count windows for </w:t>
      </w:r>
      <w:r w:rsidR="008B5850">
        <w:t xml:space="preserve">3 selected counting phases. These phases related to the relative stage of ingrowth of daughters </w:t>
      </w:r>
      <w:r w:rsidR="008B5850" w:rsidRPr="00C30224">
        <w:rPr>
          <w:snapToGrid w:val="0"/>
          <w:color w:val="000000"/>
          <w:position w:val="6"/>
          <w:sz w:val="16"/>
          <w:szCs w:val="0"/>
          <w:u w:color="000000"/>
        </w:rPr>
        <w:t>210</w:t>
      </w:r>
      <w:r w:rsidR="008B5850">
        <w:t xml:space="preserve">Bi and </w:t>
      </w:r>
      <w:r w:rsidR="008B5850" w:rsidRPr="00C30224">
        <w:rPr>
          <w:snapToGrid w:val="0"/>
          <w:color w:val="000000"/>
          <w:position w:val="6"/>
          <w:sz w:val="16"/>
          <w:szCs w:val="0"/>
          <w:u w:color="000000"/>
        </w:rPr>
        <w:t>210</w:t>
      </w:r>
      <w:r w:rsidR="008B5850">
        <w:t xml:space="preserve">Po. Optimisation </w:t>
      </w:r>
      <w:r w:rsidR="00FA70A1">
        <w:t xml:space="preserve">using the </w:t>
      </w:r>
      <w:r w:rsidR="00751F4D">
        <w:t>figure of merit</w:t>
      </w:r>
      <w:r w:rsidR="00463DA4">
        <w:t xml:space="preserve"> </w:t>
      </w:r>
      <w:r w:rsidR="008B5850">
        <w:t xml:space="preserve">was performed by an iterative process on a selected number of channel ranges corresponding to windows for </w:t>
      </w:r>
      <w:r w:rsidR="008B5850" w:rsidRPr="009841A1">
        <w:rPr>
          <w:snapToGrid w:val="0"/>
          <w:color w:val="000000"/>
          <w:position w:val="6"/>
          <w:sz w:val="16"/>
          <w:szCs w:val="0"/>
          <w:u w:color="000000"/>
        </w:rPr>
        <w:t>210</w:t>
      </w:r>
      <w:r w:rsidR="008B5850">
        <w:t xml:space="preserve">Pb only, </w:t>
      </w:r>
      <w:r w:rsidR="008B5850" w:rsidRPr="00C30224">
        <w:rPr>
          <w:snapToGrid w:val="0"/>
          <w:color w:val="000000"/>
          <w:position w:val="6"/>
          <w:sz w:val="16"/>
          <w:szCs w:val="0"/>
          <w:u w:color="000000"/>
        </w:rPr>
        <w:t>210</w:t>
      </w:r>
      <w:r w:rsidR="008B5850">
        <w:t xml:space="preserve">Bi and </w:t>
      </w:r>
      <w:r w:rsidR="008B5850" w:rsidRPr="00C30224">
        <w:rPr>
          <w:snapToGrid w:val="0"/>
          <w:color w:val="000000"/>
          <w:position w:val="6"/>
          <w:sz w:val="16"/>
          <w:szCs w:val="0"/>
          <w:u w:color="000000"/>
        </w:rPr>
        <w:t>210</w:t>
      </w:r>
      <w:r w:rsidR="008B5850">
        <w:t xml:space="preserve">Pb and a final window </w:t>
      </w:r>
      <w:r w:rsidR="00903976">
        <w:t>count primarily</w:t>
      </w:r>
      <w:r w:rsidR="004D06A2">
        <w:t xml:space="preserve"> for</w:t>
      </w:r>
      <w:r w:rsidR="00903976">
        <w:t xml:space="preserve"> </w:t>
      </w:r>
      <w:r w:rsidR="00903976" w:rsidRPr="003A790B">
        <w:rPr>
          <w:snapToGrid w:val="0"/>
          <w:color w:val="000000"/>
          <w:position w:val="6"/>
          <w:sz w:val="16"/>
          <w:szCs w:val="0"/>
          <w:u w:color="000000"/>
        </w:rPr>
        <w:t>210</w:t>
      </w:r>
      <w:r w:rsidR="00903976">
        <w:t xml:space="preserve">Po (with some counts from </w:t>
      </w:r>
      <w:r w:rsidR="00903976" w:rsidRPr="003A790B">
        <w:rPr>
          <w:snapToGrid w:val="0"/>
          <w:color w:val="000000"/>
          <w:position w:val="6"/>
          <w:sz w:val="16"/>
          <w:szCs w:val="0"/>
          <w:u w:color="000000"/>
        </w:rPr>
        <w:t>210</w:t>
      </w:r>
      <w:r w:rsidR="00903976">
        <w:t>Bi)</w:t>
      </w:r>
      <w:r w:rsidR="008B5850">
        <w:t>.</w:t>
      </w:r>
    </w:p>
    <w:p w:rsidR="00FA70A1" w:rsidRDefault="00451D73" w:rsidP="00FA70A1">
      <w:pPr>
        <w:pStyle w:val="Heading4"/>
      </w:pPr>
      <w:bookmarkStart w:id="37" w:name="_Toc467491559"/>
      <w:r>
        <w:t xml:space="preserve">3.2.4  </w:t>
      </w:r>
      <w:r w:rsidR="00FA70A1">
        <w:t xml:space="preserve">Method </w:t>
      </w:r>
      <w:r w:rsidR="00D92477">
        <w:t>c</w:t>
      </w:r>
      <w:r w:rsidR="00FA70A1">
        <w:t>omparison</w:t>
      </w:r>
      <w:bookmarkEnd w:id="37"/>
    </w:p>
    <w:p w:rsidR="00FA70A1" w:rsidRDefault="00FF4C67" w:rsidP="00B80A1B">
      <w:r w:rsidRPr="00FF4C67">
        <w:t xml:space="preserve">As a quality control check on the accuracy of the method a comparison </w:t>
      </w:r>
      <w:r>
        <w:t xml:space="preserve">of results </w:t>
      </w:r>
      <w:r w:rsidRPr="00FF4C67">
        <w:t xml:space="preserve">with a gamma spectrometric method using </w:t>
      </w:r>
      <w:r>
        <w:t xml:space="preserve">a set of </w:t>
      </w:r>
      <w:r w:rsidRPr="00FF4C67">
        <w:t xml:space="preserve">freshwater mussels samples was done. </w:t>
      </w:r>
      <w:r>
        <w:t xml:space="preserve">The </w:t>
      </w:r>
      <w:r w:rsidRPr="00FF4C67">
        <w:t xml:space="preserve">freshwater mussels </w:t>
      </w:r>
      <w:r>
        <w:t xml:space="preserve">were </w:t>
      </w:r>
      <w:r w:rsidRPr="00FF4C67">
        <w:t xml:space="preserve">collected from Mudginberri and Sandy </w:t>
      </w:r>
      <w:r w:rsidR="00463DA4">
        <w:t>B</w:t>
      </w:r>
      <w:r w:rsidR="00463DA4" w:rsidRPr="00FF4C67">
        <w:t xml:space="preserve">illabongs </w:t>
      </w:r>
      <w:r w:rsidRPr="00FF4C67">
        <w:t>in the Northern Territory, Australia</w:t>
      </w:r>
      <w:r>
        <w:t>. The sample preparation technique used</w:t>
      </w:r>
      <w:r w:rsidRPr="00FF4C67">
        <w:t xml:space="preserve"> an epoxy resin to cast 2–5 g of dried mussel tissue into 42 mm diameter discs (Marten, 1992)</w:t>
      </w:r>
      <w:r>
        <w:t>.</w:t>
      </w:r>
      <w:r w:rsidRPr="00FF4C67">
        <w:t xml:space="preserve"> </w:t>
      </w:r>
      <w:r>
        <w:t>A</w:t>
      </w:r>
      <w:r w:rsidRPr="00FF4C67">
        <w:t xml:space="preserve">ctivity concentrations </w:t>
      </w:r>
      <w:r>
        <w:t xml:space="preserve">of </w:t>
      </w:r>
      <w:r w:rsidRPr="00C30224">
        <w:rPr>
          <w:snapToGrid w:val="0"/>
          <w:color w:val="000000"/>
          <w:position w:val="6"/>
          <w:sz w:val="16"/>
          <w:szCs w:val="0"/>
          <w:u w:color="000000"/>
        </w:rPr>
        <w:t>210</w:t>
      </w:r>
      <w:r>
        <w:t xml:space="preserve">Pb </w:t>
      </w:r>
      <w:r w:rsidRPr="00FF4C67">
        <w:t>were determined using a HPGe gamma spectrometer</w:t>
      </w:r>
      <w:r w:rsidR="00463DA4">
        <w:t xml:space="preserve"> and an in-house analysis program, </w:t>
      </w:r>
      <w:r w:rsidR="00463DA4" w:rsidRPr="00196E40">
        <w:t>VisualGamma</w:t>
      </w:r>
      <w:r w:rsidRPr="00196E40">
        <w:t xml:space="preserve"> (methods are describe</w:t>
      </w:r>
      <w:r w:rsidR="00071686" w:rsidRPr="00196E40">
        <w:t>d</w:t>
      </w:r>
      <w:r w:rsidRPr="00196E40">
        <w:t xml:space="preserve"> in Esparon and Pfitzner, 2010). Approximately 0.2–1 g of dried</w:t>
      </w:r>
      <w:r w:rsidRPr="00FF4C67">
        <w:t xml:space="preserve"> mussel tissue</w:t>
      </w:r>
      <w:r>
        <w:t xml:space="preserve"> was used for the </w:t>
      </w:r>
      <w:r w:rsidRPr="009841A1">
        <w:rPr>
          <w:snapToGrid w:val="0"/>
          <w:color w:val="000000"/>
          <w:position w:val="6"/>
          <w:sz w:val="16"/>
          <w:szCs w:val="0"/>
          <w:u w:color="000000"/>
        </w:rPr>
        <w:t>210</w:t>
      </w:r>
      <w:r>
        <w:t>Pb analysis via LSC using the method described in this study.</w:t>
      </w:r>
    </w:p>
    <w:p w:rsidR="00A8071B" w:rsidRDefault="00451D73">
      <w:pPr>
        <w:pStyle w:val="Heading2"/>
      </w:pPr>
      <w:bookmarkStart w:id="38" w:name="_Toc467491560"/>
      <w:r>
        <w:t xml:space="preserve">4.  </w:t>
      </w:r>
      <w:r w:rsidR="008A719E">
        <w:t>Results</w:t>
      </w:r>
      <w:bookmarkEnd w:id="38"/>
      <w:r w:rsidR="008A719E">
        <w:t xml:space="preserve"> </w:t>
      </w:r>
    </w:p>
    <w:p w:rsidR="00A8071B" w:rsidRDefault="00451D73">
      <w:pPr>
        <w:pStyle w:val="Heading3"/>
      </w:pPr>
      <w:bookmarkStart w:id="39" w:name="_Toc467491561"/>
      <w:r>
        <w:t xml:space="preserve">4.1  </w:t>
      </w:r>
      <w:r w:rsidR="00EB752E">
        <w:t>T</w:t>
      </w:r>
      <w:r w:rsidR="00EB752E" w:rsidRPr="00FA70A1">
        <w:t xml:space="preserve">ransformed </w:t>
      </w:r>
      <w:r w:rsidR="00EB752E">
        <w:t xml:space="preserve">spectral </w:t>
      </w:r>
      <w:r w:rsidR="00EB752E" w:rsidRPr="00FA70A1">
        <w:t>index of the internal standard</w:t>
      </w:r>
      <w:r w:rsidR="00EB752E">
        <w:t xml:space="preserve"> (tSIE)</w:t>
      </w:r>
      <w:bookmarkEnd w:id="39"/>
    </w:p>
    <w:p w:rsidR="005A3F68" w:rsidRDefault="00FF4C67" w:rsidP="005A3F68">
      <w:r>
        <w:t xml:space="preserve">Solutions of </w:t>
      </w:r>
      <w:r w:rsidR="005A3F68">
        <w:t xml:space="preserve">1 mL </w:t>
      </w:r>
      <w:r>
        <w:t>and</w:t>
      </w:r>
      <w:r w:rsidR="005A3F68">
        <w:t xml:space="preserve"> 2 mL of HCL at concentrations of 1 M and 2 M HCl were tested </w:t>
      </w:r>
      <w:r w:rsidR="00EB752E">
        <w:t xml:space="preserve">and the tSIE determined </w:t>
      </w:r>
      <w:r w:rsidR="004A1210">
        <w:t xml:space="preserve">(using the internal </w:t>
      </w:r>
      <w:r w:rsidR="006D6E95" w:rsidRPr="006D6E95">
        <w:rPr>
          <w:snapToGrid w:val="0"/>
          <w:color w:val="000000"/>
          <w:position w:val="6"/>
          <w:sz w:val="16"/>
          <w:szCs w:val="0"/>
          <w:u w:color="000000"/>
        </w:rPr>
        <w:t>133</w:t>
      </w:r>
      <w:r w:rsidR="004A1210">
        <w:t xml:space="preserve">Ba source) </w:t>
      </w:r>
      <w:r w:rsidR="005A3F68">
        <w:t xml:space="preserve">with levels </w:t>
      </w:r>
      <w:r>
        <w:t>of UGAB ranging from 2–20 mL</w:t>
      </w:r>
      <w:r w:rsidR="005A3F68">
        <w:t xml:space="preserve">. There were no differences in </w:t>
      </w:r>
      <w:r w:rsidR="00304E8D">
        <w:t>blank</w:t>
      </w:r>
      <w:r w:rsidR="005A3F68">
        <w:t xml:space="preserve"> levels and </w:t>
      </w:r>
      <w:r w:rsidR="0035002C">
        <w:t xml:space="preserve">relative </w:t>
      </w:r>
      <w:r w:rsidR="005A3F68">
        <w:t xml:space="preserve">efficiency between </w:t>
      </w:r>
      <w:r>
        <w:t xml:space="preserve">the </w:t>
      </w:r>
      <w:r w:rsidR="005A3F68">
        <w:t>1 M and 2 M HCl</w:t>
      </w:r>
      <w:r w:rsidR="00D012FC">
        <w:t xml:space="preserve"> soluti</w:t>
      </w:r>
      <w:r>
        <w:t>ons</w:t>
      </w:r>
      <w:r w:rsidR="00CF6CF0">
        <w:t xml:space="preserve">. However, 1 </w:t>
      </w:r>
      <w:r w:rsidR="005A3F68">
        <w:t xml:space="preserve">mL of 1 M HCl was </w:t>
      </w:r>
      <w:r w:rsidR="00CF6CF0">
        <w:t>in</w:t>
      </w:r>
      <w:r w:rsidR="005A3F68">
        <w:t>sufficient to ensure complete dissolutio</w:t>
      </w:r>
      <w:r w:rsidR="00546F70">
        <w:t>n of the sample</w:t>
      </w:r>
      <w:r w:rsidR="00CF6CF0">
        <w:t>.</w:t>
      </w:r>
      <w:r w:rsidR="005A3F68">
        <w:t xml:space="preserve">. </w:t>
      </w:r>
    </w:p>
    <w:p w:rsidR="005908E4" w:rsidRDefault="005A3F68" w:rsidP="005A3F68">
      <w:r>
        <w:t xml:space="preserve">Figure </w:t>
      </w:r>
      <w:r w:rsidR="00451D73">
        <w:t>3</w:t>
      </w:r>
      <w:r>
        <w:t xml:space="preserve"> </w:t>
      </w:r>
      <w:r w:rsidR="00CF6CF0">
        <w:t>shows the</w:t>
      </w:r>
      <w:r>
        <w:t xml:space="preserve"> results from v</w:t>
      </w:r>
      <w:r w:rsidR="00F3393F">
        <w:t xml:space="preserve">ariations of UGAB volume with 2 mL of 1 </w:t>
      </w:r>
      <w:r>
        <w:t>M HCl. The quench parameter (tSIE) sharply falls at UGAB volumes below 10 mL</w:t>
      </w:r>
      <w:r w:rsidR="00CF6CF0">
        <w:t>.</w:t>
      </w:r>
      <w:r>
        <w:t xml:space="preserve"> </w:t>
      </w:r>
    </w:p>
    <w:p w:rsidR="00714307" w:rsidRDefault="00710541" w:rsidP="005C6B3D">
      <w:pPr>
        <w:pStyle w:val="figurecaption"/>
        <w:rPr>
          <w:b/>
        </w:rPr>
      </w:pPr>
      <w:r w:rsidRPr="00710541">
        <w:rPr>
          <w:noProof/>
          <w:lang w:eastAsia="en-AU"/>
        </w:rPr>
        <w:drawing>
          <wp:inline distT="0" distB="0" distL="0" distR="0" wp14:anchorId="7A519B47" wp14:editId="48E15A2E">
            <wp:extent cx="5072571" cy="372427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9" cstate="print"/>
                    <a:srcRect t="7927"/>
                    <a:stretch/>
                  </pic:blipFill>
                  <pic:spPr bwMode="auto">
                    <a:xfrm>
                      <a:off x="0" y="0"/>
                      <a:ext cx="5086541" cy="3734531"/>
                    </a:xfrm>
                    <a:prstGeom prst="rect">
                      <a:avLst/>
                    </a:prstGeom>
                    <a:noFill/>
                    <a:ln>
                      <a:noFill/>
                    </a:ln>
                    <a:extLst>
                      <a:ext uri="{53640926-AAD7-44D8-BBD7-CCE9431645EC}">
                        <a14:shadowObscured xmlns:a14="http://schemas.microsoft.com/office/drawing/2010/main"/>
                      </a:ext>
                    </a:extLst>
                  </pic:spPr>
                </pic:pic>
              </a:graphicData>
            </a:graphic>
          </wp:inline>
        </w:drawing>
      </w:r>
    </w:p>
    <w:p w:rsidR="005908E4" w:rsidRDefault="005908E4" w:rsidP="005C6B3D">
      <w:pPr>
        <w:pStyle w:val="figurecaption"/>
      </w:pPr>
      <w:r w:rsidRPr="00F3393F">
        <w:rPr>
          <w:b/>
        </w:rPr>
        <w:t>Figure</w:t>
      </w:r>
      <w:r w:rsidRPr="00546F70">
        <w:rPr>
          <w:b/>
        </w:rPr>
        <w:t xml:space="preserve"> </w:t>
      </w:r>
      <w:r w:rsidR="00451D73">
        <w:rPr>
          <w:b/>
        </w:rPr>
        <w:t>3</w:t>
      </w:r>
      <w:r w:rsidR="00451D73">
        <w:t xml:space="preserve">  </w:t>
      </w:r>
      <w:r>
        <w:t xml:space="preserve">Quench indicating parameter tSIE variation relative to the volume of UGAB scintillant </w:t>
      </w:r>
      <w:r w:rsidR="00FF4C67">
        <w:t>mixed with</w:t>
      </w:r>
      <w:r>
        <w:t xml:space="preserve"> 2 mL of 1 M HCl</w:t>
      </w:r>
    </w:p>
    <w:p w:rsidR="00BC32DE" w:rsidRDefault="00451D73" w:rsidP="00BC32DE">
      <w:pPr>
        <w:pStyle w:val="Heading3"/>
      </w:pPr>
      <w:bookmarkStart w:id="40" w:name="_Toc467491562"/>
      <w:r>
        <w:t xml:space="preserve">4.2  </w:t>
      </w:r>
      <w:r w:rsidR="00886D43">
        <w:t>Optimising E</w:t>
      </w:r>
      <w:r w:rsidR="00886D43" w:rsidRPr="00094AF9">
        <w:rPr>
          <w:snapToGrid w:val="0"/>
          <w:color w:val="000000"/>
          <w:position w:val="6"/>
          <w:sz w:val="16"/>
          <w:szCs w:val="0"/>
          <w:u w:color="000000"/>
        </w:rPr>
        <w:t>2</w:t>
      </w:r>
      <w:r w:rsidR="00886D43">
        <w:t xml:space="preserve">/B </w:t>
      </w:r>
      <w:r w:rsidR="00CF6CF0">
        <w:t>for varying volumes of UGAB</w:t>
      </w:r>
      <w:bookmarkEnd w:id="40"/>
    </w:p>
    <w:p w:rsidR="00CF6CF0" w:rsidRDefault="00CF6CF0" w:rsidP="00CF6CF0">
      <w:r>
        <w:t xml:space="preserve">Figures </w:t>
      </w:r>
      <w:r w:rsidR="00451D73">
        <w:t xml:space="preserve">4 </w:t>
      </w:r>
      <w:r>
        <w:t xml:space="preserve">and </w:t>
      </w:r>
      <w:r w:rsidR="00451D73">
        <w:t>5</w:t>
      </w:r>
      <w:r w:rsidR="00D92477">
        <w:t xml:space="preserve"> (next page)</w:t>
      </w:r>
      <w:r w:rsidR="00451D73">
        <w:t xml:space="preserve"> </w:t>
      </w:r>
      <w:r>
        <w:t xml:space="preserve">show the </w:t>
      </w:r>
      <w:r w:rsidR="00990C0E">
        <w:t xml:space="preserve">relationships between </w:t>
      </w:r>
      <w:r w:rsidR="0035002C">
        <w:t xml:space="preserve">relative </w:t>
      </w:r>
      <w:r>
        <w:t xml:space="preserve">efficiency and </w:t>
      </w:r>
      <w:r w:rsidR="00990C0E">
        <w:t xml:space="preserve">the </w:t>
      </w:r>
      <w:r>
        <w:t xml:space="preserve">blank </w:t>
      </w:r>
      <w:r w:rsidR="00990C0E">
        <w:t xml:space="preserve">count rate, </w:t>
      </w:r>
      <w:r>
        <w:t xml:space="preserve">and </w:t>
      </w:r>
      <w:r w:rsidR="00990C0E">
        <w:t xml:space="preserve">the </w:t>
      </w:r>
      <w:r>
        <w:t>volume of UGAB</w:t>
      </w:r>
      <w:r w:rsidR="00990C0E">
        <w:t xml:space="preserve"> in the scintillation cocktail. Both the relative efficiency and blank count rate increase with increasing volume of UGAB</w:t>
      </w:r>
      <w:r>
        <w:t xml:space="preserve">. </w:t>
      </w:r>
    </w:p>
    <w:p w:rsidR="00684812" w:rsidRDefault="00710541" w:rsidP="0098319A">
      <w:pPr>
        <w:jc w:val="center"/>
      </w:pPr>
      <w:r w:rsidRPr="00710541">
        <w:rPr>
          <w:noProof/>
          <w:lang w:eastAsia="en-AU"/>
        </w:rPr>
        <w:drawing>
          <wp:inline distT="0" distB="0" distL="0" distR="0" wp14:anchorId="7A519B49" wp14:editId="1C5AEF16">
            <wp:extent cx="4781550" cy="3529522"/>
            <wp:effectExtent l="0" t="0" r="0" b="0"/>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0" cstate="print"/>
                    <a:srcRect t="8096"/>
                    <a:stretch/>
                  </pic:blipFill>
                  <pic:spPr bwMode="auto">
                    <a:xfrm>
                      <a:off x="0" y="0"/>
                      <a:ext cx="4830049" cy="3565322"/>
                    </a:xfrm>
                    <a:prstGeom prst="rect">
                      <a:avLst/>
                    </a:prstGeom>
                    <a:noFill/>
                    <a:ln>
                      <a:noFill/>
                    </a:ln>
                    <a:extLst>
                      <a:ext uri="{53640926-AAD7-44D8-BBD7-CCE9431645EC}">
                        <a14:shadowObscured xmlns:a14="http://schemas.microsoft.com/office/drawing/2010/main"/>
                      </a:ext>
                    </a:extLst>
                  </pic:spPr>
                </pic:pic>
              </a:graphicData>
            </a:graphic>
          </wp:inline>
        </w:drawing>
      </w:r>
    </w:p>
    <w:p w:rsidR="00CF6CF0" w:rsidRPr="00684812" w:rsidRDefault="00CF6CF0" w:rsidP="00D92477">
      <w:pPr>
        <w:jc w:val="center"/>
        <w:rPr>
          <w:rFonts w:ascii="Arial" w:hAnsi="Arial"/>
          <w:b/>
          <w:sz w:val="18"/>
        </w:rPr>
      </w:pPr>
      <w:r w:rsidRPr="00684812">
        <w:rPr>
          <w:rFonts w:ascii="Arial" w:hAnsi="Arial"/>
          <w:b/>
          <w:sz w:val="18"/>
        </w:rPr>
        <w:t xml:space="preserve">Figure </w:t>
      </w:r>
      <w:r w:rsidR="00451D73">
        <w:rPr>
          <w:rFonts w:ascii="Arial" w:hAnsi="Arial"/>
          <w:b/>
          <w:sz w:val="18"/>
        </w:rPr>
        <w:t xml:space="preserve">4 </w:t>
      </w:r>
      <w:r w:rsidRPr="00684812">
        <w:rPr>
          <w:rFonts w:ascii="Arial" w:hAnsi="Arial"/>
          <w:b/>
          <w:sz w:val="18"/>
        </w:rPr>
        <w:t xml:space="preserve"> </w:t>
      </w:r>
      <w:r w:rsidR="0035002C" w:rsidRPr="00DA7A77">
        <w:rPr>
          <w:rFonts w:ascii="Arial" w:hAnsi="Arial"/>
          <w:sz w:val="18"/>
        </w:rPr>
        <w:t>Relative</w:t>
      </w:r>
      <w:r w:rsidR="0035002C">
        <w:rPr>
          <w:rFonts w:ascii="Arial" w:hAnsi="Arial"/>
          <w:b/>
          <w:sz w:val="18"/>
        </w:rPr>
        <w:t xml:space="preserve"> </w:t>
      </w:r>
      <w:r w:rsidR="0035002C">
        <w:rPr>
          <w:rFonts w:ascii="Arial" w:hAnsi="Arial"/>
          <w:sz w:val="18"/>
        </w:rPr>
        <w:t>e</w:t>
      </w:r>
      <w:r w:rsidRPr="00684812">
        <w:rPr>
          <w:rFonts w:ascii="Arial" w:hAnsi="Arial"/>
          <w:sz w:val="18"/>
        </w:rPr>
        <w:t>fficiency plotted against the volume of UGAB scintillant in 2 mL of 1 M HCl.</w:t>
      </w:r>
      <w:r w:rsidR="004A1210">
        <w:rPr>
          <w:rFonts w:ascii="Arial" w:hAnsi="Arial"/>
          <w:sz w:val="18"/>
        </w:rPr>
        <w:t xml:space="preserve"> The </w:t>
      </w:r>
      <w:r w:rsidR="0035002C">
        <w:rPr>
          <w:rFonts w:ascii="Arial" w:hAnsi="Arial"/>
          <w:sz w:val="18"/>
        </w:rPr>
        <w:t xml:space="preserve">relative </w:t>
      </w:r>
      <w:r w:rsidR="004A1210">
        <w:rPr>
          <w:rFonts w:ascii="Arial" w:hAnsi="Arial"/>
          <w:sz w:val="18"/>
        </w:rPr>
        <w:t>efficiency was determined using equation 1.</w:t>
      </w:r>
    </w:p>
    <w:p w:rsidR="0098319A" w:rsidRDefault="00DA7A77" w:rsidP="002D74E7">
      <w:pPr>
        <w:jc w:val="center"/>
        <w:rPr>
          <w:rFonts w:ascii="Arial" w:hAnsi="Arial"/>
          <w:b/>
          <w:sz w:val="18"/>
        </w:rPr>
      </w:pPr>
      <w:r w:rsidRPr="00DA7A77">
        <w:rPr>
          <w:noProof/>
          <w:lang w:eastAsia="en-AU"/>
        </w:rPr>
        <w:drawing>
          <wp:inline distT="0" distB="0" distL="0" distR="0" wp14:anchorId="7A519B4B" wp14:editId="718D64C7">
            <wp:extent cx="5106995" cy="3552825"/>
            <wp:effectExtent l="0" t="0" r="0" b="0"/>
            <wp:docPr id="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31" cstate="print"/>
                    <a:srcRect t="7670"/>
                    <a:stretch/>
                  </pic:blipFill>
                  <pic:spPr bwMode="auto">
                    <a:xfrm>
                      <a:off x="0" y="0"/>
                      <a:ext cx="5112745" cy="3556825"/>
                    </a:xfrm>
                    <a:prstGeom prst="rect">
                      <a:avLst/>
                    </a:prstGeom>
                    <a:noFill/>
                    <a:ln>
                      <a:noFill/>
                    </a:ln>
                    <a:extLst>
                      <a:ext uri="{53640926-AAD7-44D8-BBD7-CCE9431645EC}">
                        <a14:shadowObscured xmlns:a14="http://schemas.microsoft.com/office/drawing/2010/main"/>
                      </a:ext>
                    </a:extLst>
                  </pic:spPr>
                </pic:pic>
              </a:graphicData>
            </a:graphic>
          </wp:inline>
        </w:drawing>
      </w:r>
    </w:p>
    <w:p w:rsidR="002A0976" w:rsidRDefault="00CF6CF0" w:rsidP="00D92477">
      <w:pPr>
        <w:jc w:val="center"/>
        <w:rPr>
          <w:rFonts w:ascii="Arial" w:hAnsi="Arial"/>
          <w:sz w:val="18"/>
        </w:rPr>
      </w:pPr>
      <w:r w:rsidRPr="00684812">
        <w:rPr>
          <w:rFonts w:ascii="Arial" w:hAnsi="Arial"/>
          <w:b/>
          <w:sz w:val="18"/>
        </w:rPr>
        <w:t xml:space="preserve">Figure </w:t>
      </w:r>
      <w:r w:rsidR="00451D73">
        <w:rPr>
          <w:rFonts w:ascii="Arial" w:hAnsi="Arial"/>
          <w:b/>
          <w:sz w:val="18"/>
        </w:rPr>
        <w:t>5</w:t>
      </w:r>
      <w:r w:rsidRPr="00684812">
        <w:rPr>
          <w:rFonts w:ascii="Arial" w:hAnsi="Arial"/>
          <w:b/>
          <w:sz w:val="18"/>
        </w:rPr>
        <w:t xml:space="preserve"> </w:t>
      </w:r>
      <w:r w:rsidR="00451D73">
        <w:rPr>
          <w:rFonts w:ascii="Arial" w:hAnsi="Arial"/>
          <w:b/>
          <w:sz w:val="18"/>
        </w:rPr>
        <w:t xml:space="preserve"> </w:t>
      </w:r>
      <w:r w:rsidR="00684812">
        <w:rPr>
          <w:rFonts w:ascii="Arial" w:hAnsi="Arial"/>
          <w:sz w:val="18"/>
        </w:rPr>
        <w:t>B</w:t>
      </w:r>
      <w:r w:rsidRPr="00684812">
        <w:rPr>
          <w:rFonts w:ascii="Arial" w:hAnsi="Arial"/>
          <w:sz w:val="18"/>
        </w:rPr>
        <w:t>ackground plotted against the volume of UGAB scintillant in 2 mL of 1 M HCl.</w:t>
      </w:r>
      <w:r w:rsidR="002A0976">
        <w:rPr>
          <w:rFonts w:ascii="Arial" w:hAnsi="Arial"/>
          <w:sz w:val="18"/>
        </w:rPr>
        <w:t xml:space="preserve"> </w:t>
      </w:r>
      <w:r w:rsidR="005D7317">
        <w:rPr>
          <w:rFonts w:ascii="Arial" w:hAnsi="Arial"/>
          <w:sz w:val="18"/>
        </w:rPr>
        <w:t>Linear regression fitted with 95% confidence intervals shown.</w:t>
      </w:r>
    </w:p>
    <w:p w:rsidR="005A3F68" w:rsidRDefault="002A0976" w:rsidP="005A3F68">
      <w:r>
        <w:t>The e</w:t>
      </w:r>
      <w:r w:rsidR="003F3103">
        <w:t xml:space="preserve">fficiency reached an </w:t>
      </w:r>
      <w:r w:rsidR="00AE60F7">
        <w:t>effective maximum</w:t>
      </w:r>
      <w:r w:rsidR="003F3103">
        <w:t xml:space="preserve"> at betwee</w:t>
      </w:r>
      <w:r w:rsidR="00AE60F7">
        <w:t xml:space="preserve">n 10–18 mL of UGAB, whereas </w:t>
      </w:r>
      <w:r>
        <w:t xml:space="preserve">a </w:t>
      </w:r>
      <w:r w:rsidRPr="002A0976">
        <w:t xml:space="preserve">linear increase </w:t>
      </w:r>
      <w:r>
        <w:t>in</w:t>
      </w:r>
      <w:r w:rsidRPr="002A0976">
        <w:t xml:space="preserve"> the background </w:t>
      </w:r>
      <w:r>
        <w:t>was correlated to an increase in the volume of UGAB (R</w:t>
      </w:r>
      <w:r w:rsidRPr="002A0976">
        <w:rPr>
          <w:snapToGrid w:val="0"/>
          <w:color w:val="000000"/>
          <w:position w:val="6"/>
          <w:sz w:val="16"/>
          <w:szCs w:val="0"/>
          <w:u w:color="000000"/>
        </w:rPr>
        <w:t>2</w:t>
      </w:r>
      <w:r>
        <w:t>=0.92, p&lt;0.0001)</w:t>
      </w:r>
      <w:r w:rsidR="003F3103">
        <w:t xml:space="preserve">. </w:t>
      </w:r>
      <w:r w:rsidR="005A3F68">
        <w:t xml:space="preserve">Using the </w:t>
      </w:r>
      <w:r w:rsidR="00751F4D">
        <w:t>figure of merit</w:t>
      </w:r>
      <w:r w:rsidR="00CF6CF0">
        <w:t xml:space="preserve"> </w:t>
      </w:r>
      <w:r w:rsidR="005A3F68">
        <w:t>parameter (E</w:t>
      </w:r>
      <w:r w:rsidR="005A3F68" w:rsidRPr="002A0976">
        <w:t>2</w:t>
      </w:r>
      <w:r w:rsidR="005A3F68">
        <w:t>/B) it was determined that a 10–12 mL volume of UGAB gave the optimum result</w:t>
      </w:r>
      <w:r w:rsidR="00546F70">
        <w:t xml:space="preserve"> </w:t>
      </w:r>
      <w:r w:rsidR="003F3103">
        <w:t xml:space="preserve">sample to scintillant ratio </w:t>
      </w:r>
      <w:r w:rsidR="00546F70">
        <w:t xml:space="preserve">(Figure </w:t>
      </w:r>
      <w:r w:rsidR="00451D73">
        <w:t>6</w:t>
      </w:r>
      <w:r w:rsidR="00546F70">
        <w:t>)</w:t>
      </w:r>
      <w:r w:rsidR="00CF6CF0">
        <w:t>. Consequently</w:t>
      </w:r>
      <w:r w:rsidR="005A3F68">
        <w:t xml:space="preserve">, </w:t>
      </w:r>
      <w:r w:rsidR="003F3103">
        <w:t xml:space="preserve">the lower value of </w:t>
      </w:r>
      <w:r w:rsidR="005A3F68">
        <w:t xml:space="preserve">10 mL </w:t>
      </w:r>
      <w:r w:rsidR="003F3103">
        <w:t xml:space="preserve">of UGAB with 2 mL of 1 M HCl </w:t>
      </w:r>
      <w:r w:rsidR="005A3F68">
        <w:t xml:space="preserve">was chosen for this method to minimise </w:t>
      </w:r>
      <w:r w:rsidR="00546F70">
        <w:t xml:space="preserve">the </w:t>
      </w:r>
      <w:r w:rsidR="005A3F68">
        <w:t>generation</w:t>
      </w:r>
      <w:r w:rsidR="00546F70">
        <w:t xml:space="preserve"> of organic waste.</w:t>
      </w:r>
    </w:p>
    <w:p w:rsidR="009D1B01" w:rsidRDefault="00F55C23" w:rsidP="005C6B3D">
      <w:pPr>
        <w:pStyle w:val="figurecaption"/>
        <w:rPr>
          <w:b/>
        </w:rPr>
      </w:pPr>
      <w:r w:rsidRPr="00F55C23">
        <w:rPr>
          <w:noProof/>
          <w:lang w:eastAsia="en-AU"/>
        </w:rPr>
        <w:drawing>
          <wp:inline distT="0" distB="0" distL="0" distR="0" wp14:anchorId="7A519B4D" wp14:editId="1860EB79">
            <wp:extent cx="4743450" cy="3532959"/>
            <wp:effectExtent l="0" t="0" r="0" b="0"/>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32" cstate="print"/>
                    <a:srcRect t="8353"/>
                    <a:stretch/>
                  </pic:blipFill>
                  <pic:spPr bwMode="auto">
                    <a:xfrm>
                      <a:off x="0" y="0"/>
                      <a:ext cx="4770945" cy="3553438"/>
                    </a:xfrm>
                    <a:prstGeom prst="rect">
                      <a:avLst/>
                    </a:prstGeom>
                    <a:noFill/>
                    <a:ln>
                      <a:noFill/>
                    </a:ln>
                    <a:extLst>
                      <a:ext uri="{53640926-AAD7-44D8-BBD7-CCE9431645EC}">
                        <a14:shadowObscured xmlns:a14="http://schemas.microsoft.com/office/drawing/2010/main"/>
                      </a:ext>
                    </a:extLst>
                  </pic:spPr>
                </pic:pic>
              </a:graphicData>
            </a:graphic>
          </wp:inline>
        </w:drawing>
      </w:r>
    </w:p>
    <w:p w:rsidR="005C6B3D" w:rsidRDefault="005C6B3D" w:rsidP="005C6B3D">
      <w:pPr>
        <w:pStyle w:val="figurecaption"/>
      </w:pPr>
      <w:r w:rsidRPr="00F3393F">
        <w:rPr>
          <w:b/>
        </w:rPr>
        <w:t xml:space="preserve">Figure </w:t>
      </w:r>
      <w:r w:rsidR="00451D73">
        <w:rPr>
          <w:b/>
        </w:rPr>
        <w:t>6</w:t>
      </w:r>
      <w:r w:rsidR="00451D73" w:rsidRPr="00546F70">
        <w:t xml:space="preserve"> </w:t>
      </w:r>
      <w:r w:rsidR="00451D73">
        <w:t xml:space="preserve"> </w:t>
      </w:r>
      <w:r w:rsidR="00094AF9">
        <w:t>F</w:t>
      </w:r>
      <w:r w:rsidR="00DA7A77">
        <w:t xml:space="preserve">igure of merit </w:t>
      </w:r>
      <w:r>
        <w:t>parameter (E</w:t>
      </w:r>
      <w:r w:rsidRPr="005C6B3D">
        <w:rPr>
          <w:snapToGrid w:val="0"/>
          <w:color w:val="000000"/>
          <w:position w:val="4"/>
          <w:sz w:val="12"/>
          <w:szCs w:val="0"/>
          <w:u w:color="000000"/>
        </w:rPr>
        <w:t>2</w:t>
      </w:r>
      <w:r>
        <w:t xml:space="preserve">/B) </w:t>
      </w:r>
      <w:r w:rsidR="00CF6CF0">
        <w:t xml:space="preserve">plotted against </w:t>
      </w:r>
      <w:r>
        <w:t>the volume of UGAB scintillant in 2 mL of 1 M HCl</w:t>
      </w:r>
      <w:r w:rsidR="00A47D49">
        <w:t xml:space="preserve">. DBB 400 ns, </w:t>
      </w:r>
      <w:r w:rsidR="00513D18">
        <w:t>a</w:t>
      </w:r>
      <w:r w:rsidR="00A47D49">
        <w:t>nti-co</w:t>
      </w:r>
      <w:r w:rsidR="00E822D7">
        <w:t>incidence 30 ns</w:t>
      </w:r>
      <w:r w:rsidR="009D1B01">
        <w:t>.</w:t>
      </w:r>
      <w:r w:rsidR="00F55C23">
        <w:t xml:space="preserve"> A peak fit has been applied for visual purposes only.</w:t>
      </w:r>
    </w:p>
    <w:p w:rsidR="00BC32DE" w:rsidRDefault="00451D73" w:rsidP="00BC32DE">
      <w:pPr>
        <w:pStyle w:val="Heading3"/>
      </w:pPr>
      <w:bookmarkStart w:id="41" w:name="_Toc467491563"/>
      <w:r>
        <w:t xml:space="preserve">4.3  </w:t>
      </w:r>
      <w:r w:rsidR="00886D43">
        <w:t>Optimising E</w:t>
      </w:r>
      <w:r w:rsidR="00886D43" w:rsidRPr="00094AF9">
        <w:rPr>
          <w:snapToGrid w:val="0"/>
          <w:color w:val="000000"/>
          <w:position w:val="6"/>
          <w:sz w:val="16"/>
          <w:szCs w:val="0"/>
          <w:u w:color="000000"/>
        </w:rPr>
        <w:t>2</w:t>
      </w:r>
      <w:r w:rsidR="00886D43">
        <w:t>/B for varying anti-coincidence (AC) timing</w:t>
      </w:r>
      <w:bookmarkEnd w:id="41"/>
    </w:p>
    <w:p w:rsidR="000A19B5" w:rsidRDefault="005A3F68" w:rsidP="00D012FC">
      <w:r>
        <w:t xml:space="preserve">Measurement of a series </w:t>
      </w:r>
      <w:r w:rsidR="00D012FC">
        <w:t xml:space="preserve">6 standards, prepared from a </w:t>
      </w:r>
      <w:r w:rsidR="00D012FC" w:rsidRPr="009841A1">
        <w:rPr>
          <w:snapToGrid w:val="0"/>
          <w:color w:val="000000"/>
          <w:position w:val="6"/>
          <w:sz w:val="16"/>
          <w:szCs w:val="0"/>
          <w:u w:color="000000"/>
        </w:rPr>
        <w:t>210</w:t>
      </w:r>
      <w:r w:rsidR="00D012FC">
        <w:t xml:space="preserve">Pb standard solution in equilibrium with daughter isotopes </w:t>
      </w:r>
      <w:r w:rsidR="00D012FC" w:rsidRPr="00C30224">
        <w:rPr>
          <w:snapToGrid w:val="0"/>
          <w:color w:val="000000"/>
          <w:position w:val="6"/>
          <w:sz w:val="16"/>
          <w:szCs w:val="0"/>
          <w:u w:color="000000"/>
        </w:rPr>
        <w:t>210</w:t>
      </w:r>
      <w:r w:rsidR="00D012FC">
        <w:t xml:space="preserve">Bi and </w:t>
      </w:r>
      <w:r w:rsidR="00D012FC" w:rsidRPr="00C30224">
        <w:rPr>
          <w:snapToGrid w:val="0"/>
          <w:color w:val="000000"/>
          <w:position w:val="6"/>
          <w:sz w:val="16"/>
          <w:szCs w:val="0"/>
          <w:u w:color="000000"/>
        </w:rPr>
        <w:t>210</w:t>
      </w:r>
      <w:r w:rsidR="00D012FC">
        <w:t>Po</w:t>
      </w:r>
      <w:r>
        <w:t xml:space="preserve">, </w:t>
      </w:r>
      <w:r w:rsidR="00D012FC">
        <w:t>was undertaken. These measurements were conducted over a</w:t>
      </w:r>
      <w:r>
        <w:t xml:space="preserve"> range of </w:t>
      </w:r>
      <w:r w:rsidR="00337237">
        <w:t xml:space="preserve">coincidence </w:t>
      </w:r>
      <w:r>
        <w:t>timing</w:t>
      </w:r>
      <w:r w:rsidR="00D012FC">
        <w:t xml:space="preserve">s </w:t>
      </w:r>
      <w:r>
        <w:t xml:space="preserve">from 10–100 ns while also varying the DBB </w:t>
      </w:r>
      <w:r w:rsidR="00E47EE8">
        <w:t>timing</w:t>
      </w:r>
      <w:r>
        <w:t xml:space="preserve"> from 75–800 ns was performed. </w:t>
      </w:r>
      <w:r w:rsidR="000A19B5">
        <w:t xml:space="preserve">Increments of 25 ns for DBB timing with an increment of 20 ns for </w:t>
      </w:r>
      <w:r w:rsidR="00337237">
        <w:t xml:space="preserve">coincidence </w:t>
      </w:r>
      <w:r w:rsidR="000A19B5">
        <w:t xml:space="preserve">timing were tested, in addition at every 100 ns interval for the DBB timing, 5 ns increments were tested for with the </w:t>
      </w:r>
      <w:r w:rsidR="00337237">
        <w:t xml:space="preserve">coincidence </w:t>
      </w:r>
      <w:r w:rsidR="000A19B5">
        <w:t>timing.</w:t>
      </w:r>
    </w:p>
    <w:p w:rsidR="00AA240C" w:rsidRDefault="00443B07" w:rsidP="00D012FC">
      <w:r>
        <w:t xml:space="preserve">Due to the large number of </w:t>
      </w:r>
      <w:r w:rsidR="00337237">
        <w:t xml:space="preserve">coincidence timing </w:t>
      </w:r>
      <w:r>
        <w:t>and DBB timing settings that were tested, there was a delay of 5</w:t>
      </w:r>
      <w:r w:rsidR="00B856CF">
        <w:t>1</w:t>
      </w:r>
      <w:r>
        <w:t xml:space="preserve"> days between the first count and the final count of the standards prepared for this calibration step</w:t>
      </w:r>
      <w:r w:rsidR="00886D43">
        <w:t>.</w:t>
      </w:r>
      <w:r>
        <w:t xml:space="preserve"> </w:t>
      </w:r>
      <w:r w:rsidR="00AA240C">
        <w:t xml:space="preserve"> A</w:t>
      </w:r>
      <w:r w:rsidR="004A4E93">
        <w:t xml:space="preserve"> decrease in the blank count rate over </w:t>
      </w:r>
      <w:r>
        <w:t>the</w:t>
      </w:r>
      <w:r w:rsidR="004A4E93">
        <w:t xml:space="preserve"> time taken to obtain data for all settings tested</w:t>
      </w:r>
      <w:r w:rsidR="00AA240C">
        <w:t xml:space="preserve"> was observed (Figure 7)</w:t>
      </w:r>
      <w:r w:rsidR="00B856CF">
        <w:t>.</w:t>
      </w:r>
    </w:p>
    <w:p w:rsidR="00AC1BB1" w:rsidRDefault="00AC1BB1" w:rsidP="00EB7D74">
      <w:pPr>
        <w:jc w:val="center"/>
      </w:pPr>
      <w:r w:rsidRPr="00AC1BB1">
        <w:rPr>
          <w:noProof/>
          <w:lang w:eastAsia="en-AU"/>
        </w:rPr>
        <w:drawing>
          <wp:inline distT="0" distB="0" distL="0" distR="0" wp14:anchorId="7A519B4F" wp14:editId="7A519B50">
            <wp:extent cx="5274310" cy="4037126"/>
            <wp:effectExtent l="19050" t="0" r="254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srcRect/>
                    <a:stretch>
                      <a:fillRect/>
                    </a:stretch>
                  </pic:blipFill>
                  <pic:spPr bwMode="auto">
                    <a:xfrm>
                      <a:off x="0" y="0"/>
                      <a:ext cx="5274310" cy="4037126"/>
                    </a:xfrm>
                    <a:prstGeom prst="rect">
                      <a:avLst/>
                    </a:prstGeom>
                    <a:noFill/>
                    <a:ln w="9525">
                      <a:noFill/>
                      <a:miter lim="800000"/>
                      <a:headEnd/>
                      <a:tailEnd/>
                    </a:ln>
                  </pic:spPr>
                </pic:pic>
              </a:graphicData>
            </a:graphic>
          </wp:inline>
        </w:drawing>
      </w:r>
    </w:p>
    <w:p w:rsidR="00AC1BB1" w:rsidRDefault="00AC1BB1" w:rsidP="00AC1BB1">
      <w:pPr>
        <w:pStyle w:val="figurecaption"/>
      </w:pPr>
      <w:r w:rsidRPr="008F31AE">
        <w:t>F</w:t>
      </w:r>
      <w:r w:rsidRPr="008F31AE">
        <w:rPr>
          <w:b/>
        </w:rPr>
        <w:t xml:space="preserve">igure </w:t>
      </w:r>
      <w:r w:rsidR="00451D73" w:rsidRPr="008F31AE">
        <w:rPr>
          <w:b/>
        </w:rPr>
        <w:t>7</w:t>
      </w:r>
      <w:r w:rsidR="00451D73" w:rsidRPr="008F31AE">
        <w:t xml:space="preserve">  </w:t>
      </w:r>
      <w:r w:rsidRPr="008F31AE">
        <w:t>Blank</w:t>
      </w:r>
      <w:r>
        <w:t xml:space="preserve"> count rate in aged </w:t>
      </w:r>
      <w:r w:rsidR="00B856CF">
        <w:t>blanks</w:t>
      </w:r>
      <w:r>
        <w:t xml:space="preserve"> relative to</w:t>
      </w:r>
      <w:r w:rsidR="00B856CF">
        <w:t xml:space="preserve"> the number of</w:t>
      </w:r>
      <w:r>
        <w:t xml:space="preserve"> days since </w:t>
      </w:r>
      <w:r w:rsidR="00B856CF">
        <w:t>preparation of the blank</w:t>
      </w:r>
      <w:r w:rsidR="00432827">
        <w:t>, with 95% confidence</w:t>
      </w:r>
      <w:r w:rsidR="00F65649">
        <w:t xml:space="preserve"> (short dash)</w:t>
      </w:r>
      <w:r w:rsidR="00432827">
        <w:t xml:space="preserve"> and prediction </w:t>
      </w:r>
      <w:r w:rsidR="00F65649">
        <w:t xml:space="preserve">(long dash) </w:t>
      </w:r>
      <w:r w:rsidR="00432827">
        <w:t>bands.</w:t>
      </w:r>
    </w:p>
    <w:p w:rsidR="00B856CF" w:rsidRDefault="00B856CF" w:rsidP="00B856CF">
      <w:r>
        <w:t xml:space="preserve">The </w:t>
      </w:r>
      <w:r w:rsidR="00AF6C51">
        <w:t xml:space="preserve">relative </w:t>
      </w:r>
      <w:r>
        <w:t xml:space="preserve">change </w:t>
      </w:r>
      <w:r w:rsidR="00AF6C51">
        <w:t xml:space="preserve">(%) </w:t>
      </w:r>
      <w:r>
        <w:t xml:space="preserve">in </w:t>
      </w:r>
      <w:r w:rsidR="00AF6C51">
        <w:t xml:space="preserve">the </w:t>
      </w:r>
      <w:r>
        <w:t xml:space="preserve">blank count rate was </w:t>
      </w:r>
      <w:r w:rsidR="00AF6C51">
        <w:t xml:space="preserve">determined as a function of </w:t>
      </w:r>
      <w:r>
        <w:t xml:space="preserve"> the days since preparation</w:t>
      </w:r>
      <w:r w:rsidR="00AF6C51">
        <w:t xml:space="preserve">. </w:t>
      </w:r>
      <w:r w:rsidR="00693D66">
        <w:t xml:space="preserve">The fitted function </w:t>
      </w:r>
      <w:r w:rsidR="00AC02A9">
        <w:t>was a single 3-parameter exponential decay function (R</w:t>
      </w:r>
      <w:r w:rsidR="00AC02A9" w:rsidRPr="00AC02A9">
        <w:rPr>
          <w:snapToGrid w:val="0"/>
          <w:color w:val="000000"/>
          <w:position w:val="6"/>
          <w:sz w:val="16"/>
          <w:szCs w:val="0"/>
          <w:u w:color="000000"/>
        </w:rPr>
        <w:t>2</w:t>
      </w:r>
      <w:r w:rsidR="00AC02A9">
        <w:t>=0.83, p&lt;0.0001) and f</w:t>
      </w:r>
      <w:r w:rsidR="00AF6C51">
        <w:t xml:space="preserve">rom </w:t>
      </w:r>
      <w:r w:rsidR="00AE60F7">
        <w:t xml:space="preserve">this </w:t>
      </w:r>
      <w:r w:rsidR="00AE60F7" w:rsidRPr="00AF6C51">
        <w:t>a</w:t>
      </w:r>
      <w:r w:rsidR="00AF6C51">
        <w:t xml:space="preserve"> correction factor was determined (equation</w:t>
      </w:r>
      <w:r>
        <w:t xml:space="preserve"> </w:t>
      </w:r>
      <w:r w:rsidR="00AF6C51">
        <w:t>3</w:t>
      </w:r>
      <w:r w:rsidR="00053E06">
        <w:t>, plotted in figure 8</w:t>
      </w:r>
      <w:r w:rsidR="00AF6C51">
        <w:t>)</w:t>
      </w:r>
      <w:r w:rsidR="00AC02A9">
        <w:t>. This was then</w:t>
      </w:r>
      <w:r w:rsidR="00AF6C51">
        <w:t xml:space="preserve"> used to </w:t>
      </w:r>
      <w:r>
        <w:t xml:space="preserve">correct the count rates in the standards used for DBB and </w:t>
      </w:r>
      <w:r w:rsidR="00337237">
        <w:t xml:space="preserve">coincidence timing </w:t>
      </w:r>
      <w:r>
        <w:t>optimisatio</w:t>
      </w:r>
      <w:r w:rsidRPr="00AF6C51">
        <w:t>n.</w:t>
      </w:r>
      <w:r w:rsidR="00AC02A9">
        <w:t xml:space="preserve"> Although the cause of the decreasing background is not known, it is likely to be related to a chemical reaction and/or the presence of low levels of </w:t>
      </w:r>
      <w:r w:rsidR="00AE60F7">
        <w:t>environmental</w:t>
      </w:r>
      <w:r w:rsidR="00AC02A9">
        <w:t xml:space="preserve"> radioactivity introduced to the sample during separation and preparation for counting. Both of these potential explanations lead to the choice of the exponential decay function as </w:t>
      </w:r>
      <w:r w:rsidR="00061F39">
        <w:t>the best fit to the data.</w:t>
      </w:r>
    </w:p>
    <w:p w:rsidR="00D92477" w:rsidRDefault="00D92477" w:rsidP="00AF6C51">
      <w:pPr>
        <w:jc w:val="right"/>
        <w:rPr>
          <w:rFonts w:ascii="Arial" w:hAnsi="Arial"/>
          <w:b/>
          <w:sz w:val="18"/>
        </w:rPr>
      </w:pPr>
    </w:p>
    <w:p w:rsidR="00D92477" w:rsidRDefault="00D92477" w:rsidP="00AF6C51">
      <w:pPr>
        <w:jc w:val="right"/>
        <w:rPr>
          <w:rFonts w:ascii="Arial" w:hAnsi="Arial"/>
          <w:b/>
          <w:sz w:val="18"/>
        </w:rPr>
      </w:pPr>
    </w:p>
    <w:p w:rsidR="00D92477" w:rsidRDefault="00D92477" w:rsidP="00AF6C51">
      <w:pPr>
        <w:jc w:val="right"/>
        <w:rPr>
          <w:rFonts w:ascii="Arial" w:hAnsi="Arial"/>
          <w:b/>
          <w:sz w:val="18"/>
        </w:rPr>
      </w:pPr>
    </w:p>
    <w:p w:rsidR="00AF6C51" w:rsidRPr="0035002C" w:rsidRDefault="00AF6C51" w:rsidP="00AF6C51">
      <w:pPr>
        <w:jc w:val="right"/>
        <w:rPr>
          <w:rFonts w:ascii="Arial" w:hAnsi="Arial"/>
          <w:b/>
          <w:sz w:val="18"/>
        </w:rPr>
      </w:pPr>
      <w:r w:rsidRPr="0035002C">
        <w:rPr>
          <w:rFonts w:ascii="Arial" w:hAnsi="Arial"/>
          <w:b/>
          <w:sz w:val="18"/>
        </w:rPr>
        <w:t xml:space="preserve">Equation </w:t>
      </w:r>
      <w:r>
        <w:rPr>
          <w:rFonts w:ascii="Arial" w:hAnsi="Arial"/>
          <w:b/>
          <w:sz w:val="18"/>
        </w:rPr>
        <w:t>3</w:t>
      </w:r>
    </w:p>
    <w:p w:rsidR="00D27492" w:rsidRDefault="005E27BE" w:rsidP="00D27492">
      <m:oMathPara>
        <m:oMathParaPr>
          <m:jc m:val="center"/>
        </m:oMathParaPr>
        <m:oMath>
          <m:sSub>
            <m:sSubPr>
              <m:ctrlPr>
                <w:rPr>
                  <w:rFonts w:ascii="Cambria Math" w:hAnsi="Cambria Math"/>
                  <w:i/>
                </w:rPr>
              </m:ctrlPr>
            </m:sSubPr>
            <m:e>
              <m:r>
                <w:rPr>
                  <w:rFonts w:ascii="Cambria Math" w:hAnsi="Cambria Math"/>
                </w:rPr>
                <m:t>E</m:t>
              </m:r>
            </m:e>
            <m:sub>
              <m:r>
                <w:rPr>
                  <w:rFonts w:ascii="Cambria Math" w:hAnsi="Cambria Math"/>
                </w:rPr>
                <m:t>CR</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CR</m:t>
                  </m:r>
                </m:e>
                <m:sub>
                  <m:r>
                    <w:rPr>
                      <w:rFonts w:ascii="Cambria Math" w:hAnsi="Cambria Math"/>
                    </w:rPr>
                    <m:t>B</m:t>
                  </m:r>
                </m:sub>
              </m:sSub>
            </m:num>
            <m:den>
              <m:r>
                <w:rPr>
                  <w:rFonts w:ascii="Cambria Math" w:hAnsi="Cambria Math"/>
                </w:rPr>
                <m:t>0.7054+0.2977×</m:t>
              </m:r>
              <m:sSup>
                <m:sSupPr>
                  <m:ctrlPr>
                    <w:rPr>
                      <w:rFonts w:ascii="Cambria Math" w:hAnsi="Cambria Math"/>
                      <w:i/>
                    </w:rPr>
                  </m:ctrlPr>
                </m:sSupPr>
                <m:e>
                  <m:r>
                    <w:rPr>
                      <w:rFonts w:ascii="Cambria Math" w:hAnsi="Cambria Math"/>
                    </w:rPr>
                    <m:t>e</m:t>
                  </m:r>
                </m:e>
                <m:sup>
                  <m:r>
                    <w:rPr>
                      <w:rFonts w:ascii="Cambria Math" w:hAnsi="Cambria Math"/>
                    </w:rPr>
                    <m:t>-0.0103×t</m:t>
                  </m:r>
                </m:sup>
              </m:sSup>
            </m:den>
          </m:f>
        </m:oMath>
      </m:oMathPara>
    </w:p>
    <w:p w:rsidR="00D27492" w:rsidRDefault="00D27492" w:rsidP="00D27492">
      <w:r>
        <w:t>Where:</w:t>
      </w:r>
    </w:p>
    <w:p w:rsidR="00D27492" w:rsidRDefault="00D27492" w:rsidP="00D27492">
      <w:r>
        <w:rPr>
          <w:i/>
        </w:rPr>
        <w:t>E</w:t>
      </w:r>
      <w:r>
        <w:rPr>
          <w:i/>
          <w:snapToGrid w:val="0"/>
          <w:color w:val="000000"/>
          <w:position w:val="-6"/>
          <w:sz w:val="16"/>
          <w:szCs w:val="0"/>
          <w:u w:color="000000"/>
        </w:rPr>
        <w:t>CR</w:t>
      </w:r>
      <w:r>
        <w:t xml:space="preserve"> = The expected count rate of the blank (counts per ks)</w:t>
      </w:r>
      <w:r w:rsidR="00053E06">
        <w:t xml:space="preserve"> at </w:t>
      </w:r>
      <w:r w:rsidR="00053E06" w:rsidRPr="00053E06">
        <w:rPr>
          <w:i/>
        </w:rPr>
        <w:t>t</w:t>
      </w:r>
      <w:r w:rsidR="00053E06">
        <w:t xml:space="preserve"> = 0</w:t>
      </w:r>
    </w:p>
    <w:p w:rsidR="00D27492" w:rsidRDefault="00D27492" w:rsidP="00D27492">
      <w:r w:rsidRPr="00D27492">
        <w:rPr>
          <w:i/>
        </w:rPr>
        <w:t>CR</w:t>
      </w:r>
      <w:r w:rsidRPr="00D27492">
        <w:rPr>
          <w:i/>
          <w:snapToGrid w:val="0"/>
          <w:color w:val="000000"/>
          <w:position w:val="-6"/>
          <w:sz w:val="16"/>
          <w:szCs w:val="0"/>
          <w:u w:color="000000"/>
        </w:rPr>
        <w:t>B</w:t>
      </w:r>
      <w:r>
        <w:t xml:space="preserve"> = </w:t>
      </w:r>
      <w:r w:rsidR="00053E06">
        <w:t>The measured count rate of the blank at time t</w:t>
      </w:r>
      <w:r>
        <w:t xml:space="preserve"> </w:t>
      </w:r>
    </w:p>
    <w:p w:rsidR="00D27492" w:rsidRDefault="00D27492" w:rsidP="00D27492">
      <w:r w:rsidRPr="00FB57C3">
        <w:rPr>
          <w:i/>
        </w:rPr>
        <w:t>t</w:t>
      </w:r>
      <w:r>
        <w:t xml:space="preserve"> = The number of days since preparation of the sample in a scintillation cocktail</w:t>
      </w:r>
    </w:p>
    <w:p w:rsidR="00B856CF" w:rsidRPr="00B856CF" w:rsidRDefault="00B856CF" w:rsidP="00B856CF"/>
    <w:p w:rsidR="00AC1BB1" w:rsidRDefault="00A46454" w:rsidP="00AC1BB1">
      <w:pPr>
        <w:pStyle w:val="figurecaption"/>
      </w:pPr>
      <w:r w:rsidRPr="00A46454">
        <w:rPr>
          <w:noProof/>
          <w:lang w:eastAsia="en-AU"/>
        </w:rPr>
        <w:drawing>
          <wp:inline distT="0" distB="0" distL="0" distR="0" wp14:anchorId="7A519B51" wp14:editId="7A519B52">
            <wp:extent cx="5274310" cy="4231147"/>
            <wp:effectExtent l="19050" t="0" r="2540" b="0"/>
            <wp:docPr id="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cstate="print"/>
                    <a:srcRect/>
                    <a:stretch>
                      <a:fillRect/>
                    </a:stretch>
                  </pic:blipFill>
                  <pic:spPr bwMode="auto">
                    <a:xfrm>
                      <a:off x="0" y="0"/>
                      <a:ext cx="5274310" cy="4231147"/>
                    </a:xfrm>
                    <a:prstGeom prst="rect">
                      <a:avLst/>
                    </a:prstGeom>
                    <a:noFill/>
                    <a:ln w="9525">
                      <a:noFill/>
                      <a:miter lim="800000"/>
                      <a:headEnd/>
                      <a:tailEnd/>
                    </a:ln>
                  </pic:spPr>
                </pic:pic>
              </a:graphicData>
            </a:graphic>
          </wp:inline>
        </w:drawing>
      </w:r>
    </w:p>
    <w:p w:rsidR="00AC1BB1" w:rsidRDefault="00AC1BB1" w:rsidP="00AC1BB1">
      <w:pPr>
        <w:pStyle w:val="figurecaption"/>
      </w:pPr>
      <w:r w:rsidRPr="008F31AE">
        <w:t>F</w:t>
      </w:r>
      <w:r w:rsidRPr="008F31AE">
        <w:rPr>
          <w:b/>
        </w:rPr>
        <w:t xml:space="preserve">igure </w:t>
      </w:r>
      <w:r w:rsidR="00451D73" w:rsidRPr="008F31AE">
        <w:rPr>
          <w:b/>
        </w:rPr>
        <w:t>8</w:t>
      </w:r>
      <w:r w:rsidR="00451D73">
        <w:t xml:space="preserve">  </w:t>
      </w:r>
      <w:r>
        <w:t xml:space="preserve">Difference (%) in </w:t>
      </w:r>
      <w:r w:rsidR="00B856CF">
        <w:t xml:space="preserve">the blank </w:t>
      </w:r>
      <w:r>
        <w:t xml:space="preserve">count rate in aged </w:t>
      </w:r>
      <w:r w:rsidR="00B856CF">
        <w:t>blanks</w:t>
      </w:r>
      <w:r>
        <w:t xml:space="preserve"> relative to</w:t>
      </w:r>
      <w:r w:rsidR="00B856CF">
        <w:t xml:space="preserve"> the number of</w:t>
      </w:r>
      <w:r>
        <w:t xml:space="preserve"> days since preparation </w:t>
      </w:r>
      <w:r w:rsidR="00B856CF">
        <w:t>of the blanks</w:t>
      </w:r>
    </w:p>
    <w:p w:rsidR="00AA240C" w:rsidRDefault="00AA240C" w:rsidP="00AA240C">
      <w:r>
        <w:t xml:space="preserve">A significant decrease in the relative  efficiency across this time period was not found for these standards, although in later measurements of other standards a decrease in the relative efficiency over time was observed (see section </w:t>
      </w:r>
      <w:r w:rsidR="00AD2E22" w:rsidRPr="00AD2E22">
        <w:t>4.5</w:t>
      </w:r>
      <w:r>
        <w:t>).</w:t>
      </w:r>
    </w:p>
    <w:p w:rsidR="00702F79" w:rsidRDefault="00304E8D" w:rsidP="00702F79">
      <w:r>
        <w:t xml:space="preserve">The efficiency and blank count rate (and thus figure of merit) did not vary </w:t>
      </w:r>
      <w:r w:rsidR="00F716D7">
        <w:t xml:space="preserve">significantly </w:t>
      </w:r>
      <w:r w:rsidR="00E47EE8">
        <w:t>w</w:t>
      </w:r>
      <w:r w:rsidR="00F716D7">
        <w:t xml:space="preserve">hen the </w:t>
      </w:r>
      <w:r w:rsidR="00A46454">
        <w:t>coincidence</w:t>
      </w:r>
      <w:r w:rsidR="00F716D7">
        <w:t xml:space="preserve"> timing was </w:t>
      </w:r>
      <w:r w:rsidR="00FC1391">
        <w:t>varied</w:t>
      </w:r>
      <w:r w:rsidR="00AE156E">
        <w:t xml:space="preserve"> (</w:t>
      </w:r>
      <w:r w:rsidR="00451D73" w:rsidRPr="008F31AE">
        <w:t>figure 9</w:t>
      </w:r>
      <w:r w:rsidR="00AE156E" w:rsidRPr="008F31AE">
        <w:t>)</w:t>
      </w:r>
      <w:r w:rsidR="00F716D7" w:rsidRPr="008F31AE">
        <w:t>.</w:t>
      </w:r>
      <w:r w:rsidR="00FC1391">
        <w:t xml:space="preserve"> </w:t>
      </w:r>
      <w:r w:rsidR="003F37C3">
        <w:t xml:space="preserve">Figure of </w:t>
      </w:r>
      <w:r w:rsidR="00751F4D">
        <w:t>m</w:t>
      </w:r>
      <w:r w:rsidR="003F37C3">
        <w:t xml:space="preserve">erit </w:t>
      </w:r>
      <w:r w:rsidR="00082580">
        <w:t xml:space="preserve">values measured across the different </w:t>
      </w:r>
      <w:r w:rsidR="00A46454">
        <w:t xml:space="preserve">coincidence timing </w:t>
      </w:r>
      <w:r w:rsidR="00082580">
        <w:t>settings were normalised and tested for normality and variance. All normalised distributions passed the Shap</w:t>
      </w:r>
      <w:r w:rsidR="00AF5C47">
        <w:t>ir</w:t>
      </w:r>
      <w:r w:rsidR="00082580">
        <w:t xml:space="preserve">o-Wilk </w:t>
      </w:r>
      <w:r w:rsidR="009A1CA3">
        <w:t>normality</w:t>
      </w:r>
      <w:r w:rsidR="00082580">
        <w:t xml:space="preserve"> test </w:t>
      </w:r>
      <w:r w:rsidR="00082580" w:rsidRPr="003F3AD3">
        <w:t>(P=0.139)</w:t>
      </w:r>
      <w:r w:rsidR="00082580">
        <w:t xml:space="preserve"> and a one-way ANOVA comparing normalised distributions showed no significant difference across all groups </w:t>
      </w:r>
      <w:r w:rsidR="00082580" w:rsidRPr="003F3AD3">
        <w:t>tested (P=0.998).</w:t>
      </w:r>
    </w:p>
    <w:p w:rsidR="00FC0C39" w:rsidRDefault="00FC0C39" w:rsidP="00702F79">
      <w:r w:rsidRPr="00FC0C39">
        <w:rPr>
          <w:noProof/>
          <w:lang w:eastAsia="en-AU"/>
        </w:rPr>
        <w:drawing>
          <wp:inline distT="0" distB="0" distL="0" distR="0" wp14:anchorId="7A519B53" wp14:editId="7FF4C523">
            <wp:extent cx="5274043" cy="3071495"/>
            <wp:effectExtent l="0" t="0" r="3175" b="0"/>
            <wp:docPr id="3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35" cstate="print"/>
                    <a:srcRect t="7990"/>
                    <a:stretch/>
                  </pic:blipFill>
                  <pic:spPr bwMode="auto">
                    <a:xfrm>
                      <a:off x="0" y="0"/>
                      <a:ext cx="5274310" cy="3071650"/>
                    </a:xfrm>
                    <a:prstGeom prst="rect">
                      <a:avLst/>
                    </a:prstGeom>
                    <a:noFill/>
                    <a:ln>
                      <a:noFill/>
                    </a:ln>
                    <a:extLst>
                      <a:ext uri="{53640926-AAD7-44D8-BBD7-CCE9431645EC}">
                        <a14:shadowObscured xmlns:a14="http://schemas.microsoft.com/office/drawing/2010/main"/>
                      </a:ext>
                    </a:extLst>
                  </pic:spPr>
                </pic:pic>
              </a:graphicData>
            </a:graphic>
          </wp:inline>
        </w:drawing>
      </w:r>
    </w:p>
    <w:p w:rsidR="00FC0C39" w:rsidRPr="00FC0C39" w:rsidRDefault="00FC0C39" w:rsidP="00FC0C39">
      <w:pPr>
        <w:jc w:val="center"/>
        <w:rPr>
          <w:rFonts w:ascii="Arial" w:hAnsi="Arial"/>
          <w:sz w:val="18"/>
        </w:rPr>
      </w:pPr>
      <w:r w:rsidRPr="008F31AE">
        <w:rPr>
          <w:rFonts w:ascii="Arial" w:hAnsi="Arial"/>
          <w:b/>
          <w:sz w:val="18"/>
        </w:rPr>
        <w:t xml:space="preserve">Figure </w:t>
      </w:r>
      <w:r w:rsidR="00451D73" w:rsidRPr="008F31AE">
        <w:rPr>
          <w:rFonts w:ascii="Arial" w:hAnsi="Arial"/>
          <w:b/>
          <w:sz w:val="18"/>
        </w:rPr>
        <w:t>9</w:t>
      </w:r>
      <w:r w:rsidR="00451D73" w:rsidRPr="008F31AE">
        <w:rPr>
          <w:rFonts w:ascii="Arial" w:hAnsi="Arial"/>
          <w:sz w:val="18"/>
        </w:rPr>
        <w:t xml:space="preserve">  </w:t>
      </w:r>
      <w:r w:rsidRPr="008F31AE">
        <w:rPr>
          <w:rFonts w:ascii="Arial" w:hAnsi="Arial"/>
          <w:sz w:val="18"/>
        </w:rPr>
        <w:t>Average</w:t>
      </w:r>
      <w:r w:rsidRPr="00FC0C39">
        <w:rPr>
          <w:rFonts w:ascii="Arial" w:hAnsi="Arial"/>
          <w:sz w:val="18"/>
        </w:rPr>
        <w:t xml:space="preserve"> figure of merit for varied coincidence timing (10–100 ns)</w:t>
      </w:r>
    </w:p>
    <w:p w:rsidR="00174BD4" w:rsidRDefault="00082580" w:rsidP="00367B66">
      <w:r>
        <w:t xml:space="preserve">The blank count rate, efficiency and </w:t>
      </w:r>
      <w:r w:rsidR="00751F4D">
        <w:t>figure of merit</w:t>
      </w:r>
      <w:r w:rsidR="003F37C3">
        <w:t xml:space="preserve"> </w:t>
      </w:r>
      <w:r>
        <w:t>varied with varying DBB timing, with both</w:t>
      </w:r>
      <w:r w:rsidR="003F37C3">
        <w:t xml:space="preserve"> the blank count rate</w:t>
      </w:r>
      <w:r w:rsidR="00DD700B">
        <w:t xml:space="preserve"> </w:t>
      </w:r>
      <w:r w:rsidR="003F37C3">
        <w:t xml:space="preserve">and </w:t>
      </w:r>
      <w:r>
        <w:t xml:space="preserve"> efficiency increasing as the DBB timing increased</w:t>
      </w:r>
      <w:r w:rsidR="00174BD4">
        <w:t xml:space="preserve"> </w:t>
      </w:r>
      <w:r w:rsidR="00174BD4" w:rsidRPr="008F31AE">
        <w:t>(figure</w:t>
      </w:r>
      <w:r w:rsidR="0052098F" w:rsidRPr="008F31AE">
        <w:t>s</w:t>
      </w:r>
      <w:r w:rsidR="00174BD4" w:rsidRPr="008F31AE">
        <w:t xml:space="preserve"> </w:t>
      </w:r>
      <w:r w:rsidR="00451D73" w:rsidRPr="008F31AE">
        <w:t xml:space="preserve">10 </w:t>
      </w:r>
      <w:r w:rsidR="0052098F" w:rsidRPr="008F31AE">
        <w:t xml:space="preserve">and </w:t>
      </w:r>
      <w:r w:rsidR="00451D73" w:rsidRPr="008F31AE">
        <w:t>11</w:t>
      </w:r>
      <w:r w:rsidR="00174BD4" w:rsidRPr="008F31AE">
        <w:t>)</w:t>
      </w:r>
      <w:r w:rsidRPr="008F31AE">
        <w:t>.</w:t>
      </w:r>
    </w:p>
    <w:p w:rsidR="001C6AA7" w:rsidRDefault="00EB7D74" w:rsidP="00EB7D74">
      <w:pPr>
        <w:jc w:val="center"/>
      </w:pPr>
      <w:r w:rsidRPr="00EB7D74">
        <w:rPr>
          <w:noProof/>
          <w:lang w:eastAsia="en-AU"/>
        </w:rPr>
        <w:drawing>
          <wp:inline distT="0" distB="0" distL="0" distR="0" wp14:anchorId="7A519B55" wp14:editId="3432B93F">
            <wp:extent cx="5273837" cy="3899535"/>
            <wp:effectExtent l="0" t="0" r="3175" b="5715"/>
            <wp:docPr id="3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36" cstate="print"/>
                    <a:srcRect t="6402"/>
                    <a:stretch/>
                  </pic:blipFill>
                  <pic:spPr bwMode="auto">
                    <a:xfrm>
                      <a:off x="0" y="0"/>
                      <a:ext cx="5274310" cy="3899885"/>
                    </a:xfrm>
                    <a:prstGeom prst="rect">
                      <a:avLst/>
                    </a:prstGeom>
                    <a:noFill/>
                    <a:ln>
                      <a:noFill/>
                    </a:ln>
                    <a:extLst>
                      <a:ext uri="{53640926-AAD7-44D8-BBD7-CCE9431645EC}">
                        <a14:shadowObscured xmlns:a14="http://schemas.microsoft.com/office/drawing/2010/main"/>
                      </a:ext>
                    </a:extLst>
                  </pic:spPr>
                </pic:pic>
              </a:graphicData>
            </a:graphic>
          </wp:inline>
        </w:drawing>
      </w:r>
      <w:r w:rsidR="001C6AA7" w:rsidRPr="00E33672">
        <w:rPr>
          <w:rFonts w:ascii="Arial" w:hAnsi="Arial" w:cs="Arial"/>
          <w:sz w:val="18"/>
          <w:szCs w:val="18"/>
        </w:rPr>
        <w:t>F</w:t>
      </w:r>
      <w:r w:rsidR="001C6AA7" w:rsidRPr="00E33672">
        <w:rPr>
          <w:rFonts w:ascii="Arial" w:hAnsi="Arial" w:cs="Arial"/>
          <w:b/>
          <w:sz w:val="18"/>
          <w:szCs w:val="18"/>
        </w:rPr>
        <w:t xml:space="preserve">igure </w:t>
      </w:r>
      <w:r w:rsidR="00451D73" w:rsidRPr="00E33672">
        <w:rPr>
          <w:rFonts w:ascii="Arial" w:hAnsi="Arial" w:cs="Arial"/>
          <w:b/>
          <w:sz w:val="18"/>
          <w:szCs w:val="18"/>
        </w:rPr>
        <w:t>10</w:t>
      </w:r>
      <w:r w:rsidR="00451D73" w:rsidRPr="00E33672">
        <w:rPr>
          <w:rFonts w:ascii="Arial" w:hAnsi="Arial" w:cs="Arial"/>
          <w:sz w:val="18"/>
          <w:szCs w:val="18"/>
        </w:rPr>
        <w:t xml:space="preserve">  </w:t>
      </w:r>
      <w:r w:rsidR="001C6AA7" w:rsidRPr="00E33672">
        <w:rPr>
          <w:rFonts w:ascii="Arial" w:hAnsi="Arial" w:cs="Arial"/>
          <w:sz w:val="18"/>
          <w:szCs w:val="18"/>
        </w:rPr>
        <w:t>Average blank count rate (counts per s</w:t>
      </w:r>
      <w:r w:rsidR="003F37C3" w:rsidRPr="00E33672">
        <w:rPr>
          <w:rFonts w:ascii="Arial" w:hAnsi="Arial" w:cs="Arial"/>
          <w:sz w:val="18"/>
          <w:szCs w:val="18"/>
        </w:rPr>
        <w:t>e</w:t>
      </w:r>
      <w:r w:rsidR="001C6AA7" w:rsidRPr="00E33672">
        <w:rPr>
          <w:rFonts w:ascii="Arial" w:hAnsi="Arial" w:cs="Arial"/>
          <w:sz w:val="18"/>
          <w:szCs w:val="18"/>
        </w:rPr>
        <w:t>cond</w:t>
      </w:r>
      <w:r w:rsidR="00594299" w:rsidRPr="00E33672">
        <w:rPr>
          <w:rFonts w:ascii="Arial" w:hAnsi="Arial" w:cs="Arial"/>
          <w:sz w:val="18"/>
          <w:szCs w:val="18"/>
        </w:rPr>
        <w:t>; time delay corrected</w:t>
      </w:r>
      <w:r w:rsidR="001C6AA7" w:rsidRPr="00E33672">
        <w:rPr>
          <w:rFonts w:ascii="Arial" w:hAnsi="Arial" w:cs="Arial"/>
          <w:sz w:val="18"/>
          <w:szCs w:val="18"/>
        </w:rPr>
        <w:t xml:space="preserve">) for </w:t>
      </w:r>
      <w:r w:rsidR="002F0122" w:rsidRPr="00E33672">
        <w:rPr>
          <w:rFonts w:ascii="Arial" w:hAnsi="Arial" w:cs="Arial"/>
          <w:sz w:val="18"/>
          <w:szCs w:val="18"/>
        </w:rPr>
        <w:t xml:space="preserve">DBB timing (ns; values averaged for all </w:t>
      </w:r>
      <w:r w:rsidR="001C6AA7" w:rsidRPr="00E33672">
        <w:rPr>
          <w:rFonts w:ascii="Arial" w:hAnsi="Arial" w:cs="Arial"/>
          <w:sz w:val="18"/>
          <w:szCs w:val="18"/>
        </w:rPr>
        <w:t xml:space="preserve">AC timing values </w:t>
      </w:r>
      <w:r w:rsidR="002F0122" w:rsidRPr="00E33672">
        <w:rPr>
          <w:rFonts w:ascii="Arial" w:hAnsi="Arial" w:cs="Arial"/>
          <w:sz w:val="18"/>
          <w:szCs w:val="18"/>
        </w:rPr>
        <w:t>tested)</w:t>
      </w:r>
      <w:r w:rsidR="001C6AA7" w:rsidRPr="00E33672">
        <w:rPr>
          <w:rFonts w:ascii="Arial" w:hAnsi="Arial" w:cs="Arial"/>
          <w:sz w:val="18"/>
          <w:szCs w:val="18"/>
        </w:rPr>
        <w:t xml:space="preserve"> showing a general increase in the blank count rate with increasing DBB timing.</w:t>
      </w:r>
      <w:r w:rsidR="00E86F83" w:rsidRPr="00E33672">
        <w:rPr>
          <w:rFonts w:ascii="Arial" w:hAnsi="Arial" w:cs="Arial"/>
          <w:sz w:val="18"/>
          <w:szCs w:val="18"/>
        </w:rPr>
        <w:t xml:space="preserve"> Error shown is 2 standard deviations.</w:t>
      </w:r>
    </w:p>
    <w:p w:rsidR="001C6AA7" w:rsidRDefault="00EB7D74" w:rsidP="00174BD4">
      <w:pPr>
        <w:jc w:val="center"/>
        <w:rPr>
          <w:b/>
          <w:color w:val="FF0000"/>
        </w:rPr>
      </w:pPr>
      <w:r w:rsidRPr="00EB7D74">
        <w:rPr>
          <w:noProof/>
          <w:lang w:eastAsia="en-AU"/>
        </w:rPr>
        <w:drawing>
          <wp:inline distT="0" distB="0" distL="0" distR="0" wp14:anchorId="7A519B57" wp14:editId="11AA93BD">
            <wp:extent cx="4597056" cy="3409950"/>
            <wp:effectExtent l="0" t="0" r="0" b="0"/>
            <wp:docPr id="3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37" cstate="print"/>
                    <a:srcRect t="7852"/>
                    <a:stretch/>
                  </pic:blipFill>
                  <pic:spPr bwMode="auto">
                    <a:xfrm>
                      <a:off x="0" y="0"/>
                      <a:ext cx="4626718" cy="3431952"/>
                    </a:xfrm>
                    <a:prstGeom prst="rect">
                      <a:avLst/>
                    </a:prstGeom>
                    <a:noFill/>
                    <a:ln>
                      <a:noFill/>
                    </a:ln>
                    <a:extLst>
                      <a:ext uri="{53640926-AAD7-44D8-BBD7-CCE9431645EC}">
                        <a14:shadowObscured xmlns:a14="http://schemas.microsoft.com/office/drawing/2010/main"/>
                      </a:ext>
                    </a:extLst>
                  </pic:spPr>
                </pic:pic>
              </a:graphicData>
            </a:graphic>
          </wp:inline>
        </w:drawing>
      </w:r>
    </w:p>
    <w:p w:rsidR="000A19B5" w:rsidRDefault="00E86F83" w:rsidP="00324DAA">
      <w:pPr>
        <w:pStyle w:val="figurecaption"/>
      </w:pPr>
      <w:r w:rsidRPr="008F31AE">
        <w:t>F</w:t>
      </w:r>
      <w:r w:rsidRPr="008F31AE">
        <w:rPr>
          <w:b/>
        </w:rPr>
        <w:t xml:space="preserve">igure </w:t>
      </w:r>
      <w:r w:rsidR="00451D73" w:rsidRPr="008F31AE">
        <w:rPr>
          <w:b/>
        </w:rPr>
        <w:t>11</w:t>
      </w:r>
      <w:r w:rsidR="00451D73">
        <w:t xml:space="preserve">  </w:t>
      </w:r>
      <w:r>
        <w:t>Average efficiency (11–3</w:t>
      </w:r>
      <w:r w:rsidR="00B856CF">
        <w:t>30</w:t>
      </w:r>
      <w:r>
        <w:t xml:space="preserve"> keV) for AC timing values of 10–100 for a range of DBB timing (ns) showing a general increase in the efficiency with increasing DBB timing. Error </w:t>
      </w:r>
      <w:r w:rsidR="005E2A0C">
        <w:t xml:space="preserve">is not </w:t>
      </w:r>
      <w:r>
        <w:t xml:space="preserve">shown </w:t>
      </w:r>
      <w:r w:rsidR="005E2A0C">
        <w:t>as it is too small to display</w:t>
      </w:r>
      <w:r>
        <w:t>.</w:t>
      </w:r>
    </w:p>
    <w:p w:rsidR="004A4E93" w:rsidRDefault="004A4E93" w:rsidP="00367B66">
      <w:r>
        <w:t xml:space="preserve">As there was no significant difference in </w:t>
      </w:r>
      <w:r w:rsidR="009746AD">
        <w:t xml:space="preserve">the </w:t>
      </w:r>
      <w:r w:rsidR="003D14DC">
        <w:t>f</w:t>
      </w:r>
      <w:r w:rsidR="009746AD">
        <w:t xml:space="preserve">igure of </w:t>
      </w:r>
      <w:r w:rsidR="003D14DC">
        <w:t>m</w:t>
      </w:r>
      <w:r w:rsidR="009746AD">
        <w:t xml:space="preserve">erit </w:t>
      </w:r>
      <w:r>
        <w:t xml:space="preserve">for different </w:t>
      </w:r>
      <w:r w:rsidR="004925EF">
        <w:t xml:space="preserve">coincidence timing </w:t>
      </w:r>
      <w:r>
        <w:t xml:space="preserve">settings </w:t>
      </w:r>
      <w:r w:rsidR="00A65965">
        <w:t>an average of measured values across the range of DBB timing tested was used to assess the optimum DBB timing (</w:t>
      </w:r>
      <w:r w:rsidR="00A65965" w:rsidRPr="008F31AE">
        <w:t xml:space="preserve">figure </w:t>
      </w:r>
      <w:r w:rsidR="00451D73" w:rsidRPr="008F31AE">
        <w:t>12</w:t>
      </w:r>
      <w:r w:rsidR="00A65965" w:rsidRPr="008F31AE">
        <w:t>).</w:t>
      </w:r>
      <w:r w:rsidR="00A65965">
        <w:t xml:space="preserve"> </w:t>
      </w:r>
      <w:r w:rsidR="00324DAA">
        <w:t xml:space="preserve">The </w:t>
      </w:r>
      <w:r w:rsidR="00751F4D">
        <w:t>figure of merit</w:t>
      </w:r>
      <w:r w:rsidR="00324DAA">
        <w:t xml:space="preserve"> increased initially with increasing DBB timing, however, as the blank count rate increased proportionately more relative to the efficiency, a maximum was reached at a DBB timing of approximately 600 ns (figure </w:t>
      </w:r>
      <w:r w:rsidR="00983083" w:rsidRPr="00983083">
        <w:t>12</w:t>
      </w:r>
      <w:r w:rsidR="00324DAA" w:rsidRPr="00983083">
        <w:t>)</w:t>
      </w:r>
      <w:r w:rsidR="00324DAA">
        <w:t>.</w:t>
      </w:r>
      <w:r w:rsidR="00A65965">
        <w:t xml:space="preserve"> </w:t>
      </w:r>
    </w:p>
    <w:p w:rsidR="00D21854" w:rsidRDefault="00EB7D74" w:rsidP="00EB7D74">
      <w:pPr>
        <w:jc w:val="center"/>
      </w:pPr>
      <w:r w:rsidRPr="00EB7D74">
        <w:rPr>
          <w:noProof/>
          <w:lang w:eastAsia="en-AU"/>
        </w:rPr>
        <w:drawing>
          <wp:inline distT="0" distB="0" distL="0" distR="0" wp14:anchorId="7A519B59" wp14:editId="58650318">
            <wp:extent cx="4514850" cy="3400100"/>
            <wp:effectExtent l="0" t="0" r="0" b="0"/>
            <wp:docPr id="3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38" cstate="print"/>
                    <a:srcRect t="7334"/>
                    <a:stretch/>
                  </pic:blipFill>
                  <pic:spPr bwMode="auto">
                    <a:xfrm>
                      <a:off x="0" y="0"/>
                      <a:ext cx="4548775" cy="3425648"/>
                    </a:xfrm>
                    <a:prstGeom prst="rect">
                      <a:avLst/>
                    </a:prstGeom>
                    <a:noFill/>
                    <a:ln>
                      <a:noFill/>
                    </a:ln>
                    <a:extLst>
                      <a:ext uri="{53640926-AAD7-44D8-BBD7-CCE9431645EC}">
                        <a14:shadowObscured xmlns:a14="http://schemas.microsoft.com/office/drawing/2010/main"/>
                      </a:ext>
                    </a:extLst>
                  </pic:spPr>
                </pic:pic>
              </a:graphicData>
            </a:graphic>
          </wp:inline>
        </w:drawing>
      </w:r>
    </w:p>
    <w:p w:rsidR="00267BEF" w:rsidRDefault="00267BEF" w:rsidP="00267BEF">
      <w:pPr>
        <w:pStyle w:val="figurecaption"/>
      </w:pPr>
      <w:r w:rsidRPr="00983083">
        <w:t>F</w:t>
      </w:r>
      <w:r w:rsidRPr="00983083">
        <w:rPr>
          <w:b/>
        </w:rPr>
        <w:t xml:space="preserve">igure </w:t>
      </w:r>
      <w:r w:rsidR="00451D73" w:rsidRPr="00983083">
        <w:rPr>
          <w:b/>
        </w:rPr>
        <w:t>12</w:t>
      </w:r>
      <w:r w:rsidR="00451D73">
        <w:t xml:space="preserve">  </w:t>
      </w:r>
      <w:r>
        <w:t xml:space="preserve">Average </w:t>
      </w:r>
      <w:r w:rsidR="00D21854">
        <w:t>FoM (averaged for all AC timing values tested) vs DBB timing (ns) showing a general increase in FoM with increasing DBB timing, with a peak around a DBB setting of 600 ns. Error is one standard deviation from the mean of values from all AC timing settings tested.</w:t>
      </w:r>
      <w:r>
        <w:t xml:space="preserve"> A fitted curve </w:t>
      </w:r>
      <w:r w:rsidR="00EB7D74">
        <w:t>has been added to aid with visualisation only.</w:t>
      </w:r>
    </w:p>
    <w:p w:rsidR="00267BEF" w:rsidRDefault="00A65965" w:rsidP="00367B66">
      <w:r>
        <w:t xml:space="preserve">Based on the measured values an </w:t>
      </w:r>
      <w:r w:rsidR="004925EF">
        <w:t xml:space="preserve">coincidence </w:t>
      </w:r>
      <w:r>
        <w:t>timing of 50 ns and DBB timing of 600 ns were chosen as the optimum settings for this method.</w:t>
      </w:r>
    </w:p>
    <w:p w:rsidR="00367B66" w:rsidRDefault="00D603FC" w:rsidP="00367B66">
      <w:r>
        <w:t>A</w:t>
      </w:r>
      <w:r w:rsidR="00367B66">
        <w:t xml:space="preserve"> range of </w:t>
      </w:r>
      <w:r>
        <w:t xml:space="preserve">different </w:t>
      </w:r>
      <w:r w:rsidR="00367B66">
        <w:t xml:space="preserve">counting windows were assessed </w:t>
      </w:r>
      <w:r>
        <w:t>for their</w:t>
      </w:r>
      <w:r w:rsidR="00367B66">
        <w:t xml:space="preserve"> FoM </w:t>
      </w:r>
      <w:r w:rsidR="00702F79">
        <w:t xml:space="preserve">to determine if there was any effect on the optimum count window with varying DBB timing. No differences in the general trends (ie </w:t>
      </w:r>
      <w:r w:rsidR="00A65965">
        <w:t xml:space="preserve">– the increase in the </w:t>
      </w:r>
      <w:r w:rsidR="00702F79">
        <w:t xml:space="preserve">blank count rate and </w:t>
      </w:r>
      <w:r w:rsidR="00A65965">
        <w:t xml:space="preserve">the </w:t>
      </w:r>
      <w:r w:rsidR="00702F79">
        <w:t xml:space="preserve">efficiency with increasing DBB timing) were found with variations in the counting window. Thus optimisation of the counting window was undertaken only with the optimised settings </w:t>
      </w:r>
      <w:r w:rsidR="00A65965">
        <w:t xml:space="preserve">selected </w:t>
      </w:r>
      <w:r w:rsidR="00702F79">
        <w:t xml:space="preserve">for </w:t>
      </w:r>
      <w:r w:rsidR="004925EF">
        <w:t xml:space="preserve">coincidence timing </w:t>
      </w:r>
      <w:r w:rsidR="00702F79">
        <w:t xml:space="preserve">and DBB. </w:t>
      </w:r>
    </w:p>
    <w:p w:rsidR="00033C19" w:rsidRDefault="00451D73" w:rsidP="00476871">
      <w:pPr>
        <w:pStyle w:val="Heading3"/>
      </w:pPr>
      <w:bookmarkStart w:id="42" w:name="_Toc467491564"/>
      <w:r>
        <w:t xml:space="preserve">4.4  </w:t>
      </w:r>
      <w:r w:rsidR="00033C19">
        <w:t>Optimisation of the counting windows</w:t>
      </w:r>
      <w:bookmarkEnd w:id="42"/>
      <w:r w:rsidR="00033C19">
        <w:t xml:space="preserve"> </w:t>
      </w:r>
    </w:p>
    <w:p w:rsidR="00D603FC" w:rsidRDefault="00D21854" w:rsidP="005A3F68">
      <w:r>
        <w:t>The signal measured in the LSC is a function of the energy of the beta or alpha particle</w:t>
      </w:r>
      <w:r w:rsidR="00D603FC">
        <w:t>s</w:t>
      </w:r>
      <w:r>
        <w:t xml:space="preserve"> measured. Although the maximum energies of </w:t>
      </w:r>
      <w:r w:rsidRPr="001203C6">
        <w:rPr>
          <w:snapToGrid w:val="0"/>
          <w:color w:val="000000"/>
          <w:position w:val="6"/>
          <w:sz w:val="16"/>
          <w:szCs w:val="0"/>
          <w:u w:color="000000"/>
        </w:rPr>
        <w:t>210</w:t>
      </w:r>
      <w:r>
        <w:t xml:space="preserve">Pb and </w:t>
      </w:r>
      <w:r w:rsidR="001203C6" w:rsidRPr="001203C6">
        <w:rPr>
          <w:snapToGrid w:val="0"/>
          <w:color w:val="000000"/>
          <w:position w:val="6"/>
          <w:sz w:val="16"/>
          <w:szCs w:val="0"/>
          <w:u w:color="000000"/>
        </w:rPr>
        <w:t>210</w:t>
      </w:r>
      <w:r w:rsidR="001203C6">
        <w:t xml:space="preserve">Bi </w:t>
      </w:r>
      <w:r>
        <w:t xml:space="preserve">beta emissions are 63.5 and 1162 keV, the </w:t>
      </w:r>
      <w:r w:rsidR="001203C6">
        <w:t xml:space="preserve">best window to select for best performance will not necessarily cover these entire </w:t>
      </w:r>
      <w:r w:rsidR="00062F72">
        <w:t xml:space="preserve">energy </w:t>
      </w:r>
      <w:r w:rsidR="001203C6">
        <w:t xml:space="preserve">ranges. </w:t>
      </w:r>
      <w:r w:rsidR="00337237">
        <w:t xml:space="preserve">The alpha particle energy emitted from </w:t>
      </w:r>
      <w:r w:rsidR="00337237" w:rsidRPr="00337237">
        <w:rPr>
          <w:snapToGrid w:val="0"/>
          <w:color w:val="000000"/>
          <w:position w:val="6"/>
          <w:sz w:val="16"/>
          <w:szCs w:val="0"/>
          <w:u w:color="000000"/>
        </w:rPr>
        <w:t>210</w:t>
      </w:r>
      <w:r w:rsidR="00337237">
        <w:t xml:space="preserve">Po is 5.41 MeV, however, as the entire energy is not transferred at once, the maximum peak height for </w:t>
      </w:r>
      <w:r w:rsidR="00337237" w:rsidRPr="00337237">
        <w:rPr>
          <w:snapToGrid w:val="0"/>
          <w:color w:val="000000"/>
          <w:position w:val="6"/>
          <w:sz w:val="16"/>
          <w:szCs w:val="0"/>
          <w:u w:color="000000"/>
        </w:rPr>
        <w:t>210</w:t>
      </w:r>
      <w:r w:rsidR="00337237">
        <w:t xml:space="preserve">Po in our spectra is at approximately 200 keV. </w:t>
      </w:r>
      <w:r w:rsidR="001203C6">
        <w:t xml:space="preserve">The optimum count window(s) will be where the efficiency relative to the blank count rate is at an optimum, this is measured by the FoM. </w:t>
      </w:r>
    </w:p>
    <w:p w:rsidR="00095E28" w:rsidRDefault="001203C6" w:rsidP="005A3F68">
      <w:r>
        <w:t>T</w:t>
      </w:r>
      <w:r w:rsidR="001C04F2">
        <w:t>hree</w:t>
      </w:r>
      <w:r w:rsidR="000970C9">
        <w:t xml:space="preserve"> count windows were </w:t>
      </w:r>
      <w:r w:rsidR="00D603FC">
        <w:t>selected</w:t>
      </w:r>
      <w:r w:rsidR="00095E28">
        <w:t xml:space="preserve"> and investigated in this study</w:t>
      </w:r>
      <w:r w:rsidR="00D603FC">
        <w:t xml:space="preserve"> </w:t>
      </w:r>
      <w:r>
        <w:t xml:space="preserve">using an iterative process, </w:t>
      </w:r>
      <w:r w:rsidR="00095E28">
        <w:t xml:space="preserve">to determine </w:t>
      </w:r>
      <w:r>
        <w:t>the best window to use</w:t>
      </w:r>
      <w:r w:rsidR="00095E28">
        <w:t xml:space="preserve">, accounting for various relative ingrowth of </w:t>
      </w:r>
      <w:r w:rsidRPr="001203C6">
        <w:rPr>
          <w:snapToGrid w:val="0"/>
          <w:color w:val="000000"/>
          <w:position w:val="6"/>
          <w:sz w:val="16"/>
          <w:szCs w:val="0"/>
          <w:u w:color="000000"/>
        </w:rPr>
        <w:t>210</w:t>
      </w:r>
      <w:r>
        <w:t xml:space="preserve">Bi and </w:t>
      </w:r>
      <w:r w:rsidRPr="001203C6">
        <w:rPr>
          <w:snapToGrid w:val="0"/>
          <w:color w:val="000000"/>
          <w:position w:val="6"/>
          <w:sz w:val="16"/>
          <w:szCs w:val="0"/>
          <w:u w:color="000000"/>
        </w:rPr>
        <w:t>210</w:t>
      </w:r>
      <w:r>
        <w:t>Po after initial separation from Pb</w:t>
      </w:r>
      <w:r w:rsidR="005A7F40">
        <w:t xml:space="preserve">. </w:t>
      </w:r>
    </w:p>
    <w:p w:rsidR="00B61EAC" w:rsidRDefault="00F00D39" w:rsidP="005A3F68">
      <w:r w:rsidRPr="00983083">
        <w:t xml:space="preserve">Figure </w:t>
      </w:r>
      <w:r w:rsidR="00451D73" w:rsidRPr="00983083">
        <w:t>13</w:t>
      </w:r>
      <w:r w:rsidR="00451D73">
        <w:t xml:space="preserve"> </w:t>
      </w:r>
      <w:r>
        <w:t xml:space="preserve">shows </w:t>
      </w:r>
      <w:r w:rsidR="00E16F98">
        <w:t xml:space="preserve">several </w:t>
      </w:r>
      <w:r>
        <w:t xml:space="preserve">spectra from the LSC measurement of </w:t>
      </w:r>
      <w:r w:rsidRPr="00F00D39">
        <w:rPr>
          <w:snapToGrid w:val="0"/>
          <w:color w:val="000000"/>
          <w:position w:val="6"/>
          <w:sz w:val="16"/>
          <w:szCs w:val="0"/>
          <w:u w:color="000000"/>
        </w:rPr>
        <w:t>210</w:t>
      </w:r>
      <w:r>
        <w:t>Pb standard solutions under the optimised conditions determined from this study</w:t>
      </w:r>
      <w:r w:rsidR="004925EF">
        <w:t xml:space="preserve">, ie – 2 mL of 1 M HCl mixed with 10 mL UGAB in 20 mL scintillation vials with a DBB setting of 600 ns and a </w:t>
      </w:r>
      <w:r w:rsidR="009A1CA3">
        <w:t>coincidence</w:t>
      </w:r>
      <w:r w:rsidR="004925EF">
        <w:t xml:space="preserve"> timing setting of 50 ns</w:t>
      </w:r>
      <w:r>
        <w:t xml:space="preserve">. </w:t>
      </w:r>
      <w:r w:rsidR="00910416">
        <w:t xml:space="preserve">The spectra were selected to highlight the various stages of ingrowth of </w:t>
      </w:r>
      <w:r w:rsidR="00910416" w:rsidRPr="001203C6">
        <w:rPr>
          <w:snapToGrid w:val="0"/>
          <w:color w:val="000000"/>
          <w:position w:val="6"/>
          <w:sz w:val="16"/>
          <w:szCs w:val="0"/>
          <w:u w:color="000000"/>
        </w:rPr>
        <w:t>210</w:t>
      </w:r>
      <w:r w:rsidR="00910416">
        <w:t xml:space="preserve">Bi and </w:t>
      </w:r>
      <w:r w:rsidR="00910416" w:rsidRPr="001203C6">
        <w:rPr>
          <w:snapToGrid w:val="0"/>
          <w:color w:val="000000"/>
          <w:position w:val="6"/>
          <w:sz w:val="16"/>
          <w:szCs w:val="0"/>
          <w:u w:color="000000"/>
        </w:rPr>
        <w:t>210</w:t>
      </w:r>
      <w:r w:rsidR="00910416">
        <w:t xml:space="preserve">Po.  </w:t>
      </w:r>
      <w:r>
        <w:t>The large peak to the left is from</w:t>
      </w:r>
      <w:r w:rsidR="00E16F98">
        <w:t xml:space="preserve"> the beta emission of</w:t>
      </w:r>
      <w:r>
        <w:t xml:space="preserve"> </w:t>
      </w:r>
      <w:r w:rsidRPr="00F00D39">
        <w:rPr>
          <w:snapToGrid w:val="0"/>
          <w:color w:val="000000"/>
          <w:position w:val="6"/>
          <w:sz w:val="16"/>
          <w:szCs w:val="0"/>
          <w:u w:color="000000"/>
        </w:rPr>
        <w:t>210</w:t>
      </w:r>
      <w:r>
        <w:t xml:space="preserve">Pb and has a peak </w:t>
      </w:r>
      <w:r w:rsidR="00416B53">
        <w:t>centred</w:t>
      </w:r>
      <w:r w:rsidR="00095E28">
        <w:t xml:space="preserve"> </w:t>
      </w:r>
      <w:r>
        <w:t>at ~16 keV</w:t>
      </w:r>
      <w:r w:rsidR="00E16F98">
        <w:t xml:space="preserve">, the central peak is from the alpha emission of </w:t>
      </w:r>
      <w:r w:rsidR="00E16F98" w:rsidRPr="00F00D39">
        <w:rPr>
          <w:snapToGrid w:val="0"/>
          <w:color w:val="000000"/>
          <w:position w:val="6"/>
          <w:sz w:val="16"/>
          <w:szCs w:val="0"/>
          <w:u w:color="000000"/>
        </w:rPr>
        <w:t>210</w:t>
      </w:r>
      <w:r w:rsidR="00E16F98">
        <w:t xml:space="preserve">Po, with a peak </w:t>
      </w:r>
      <w:r w:rsidR="00416B53">
        <w:t>centred</w:t>
      </w:r>
      <w:r w:rsidR="00095E28">
        <w:t xml:space="preserve"> </w:t>
      </w:r>
      <w:r w:rsidR="00E16F98">
        <w:t xml:space="preserve">at ~200 keV at equilibrium with the </w:t>
      </w:r>
      <w:r w:rsidR="00910416" w:rsidRPr="00F00D39">
        <w:rPr>
          <w:snapToGrid w:val="0"/>
          <w:color w:val="000000"/>
          <w:position w:val="6"/>
          <w:sz w:val="16"/>
          <w:szCs w:val="0"/>
          <w:u w:color="000000"/>
        </w:rPr>
        <w:t>210</w:t>
      </w:r>
      <w:r w:rsidR="00910416">
        <w:t xml:space="preserve">Pb </w:t>
      </w:r>
      <w:r w:rsidR="00E16F98">
        <w:t xml:space="preserve">parent. The </w:t>
      </w:r>
      <w:r w:rsidR="00E16F98" w:rsidRPr="00E16F98">
        <w:rPr>
          <w:snapToGrid w:val="0"/>
          <w:color w:val="000000"/>
          <w:position w:val="6"/>
          <w:sz w:val="16"/>
          <w:szCs w:val="0"/>
          <w:u w:color="000000"/>
        </w:rPr>
        <w:t>210</w:t>
      </w:r>
      <w:r w:rsidR="00E16F98">
        <w:t xml:space="preserve">Bi beta emissions span a large range up to 1162 keV and no clear peak is discernible. Counts from the </w:t>
      </w:r>
      <w:r w:rsidR="00E16F98" w:rsidRPr="00E16F98">
        <w:rPr>
          <w:snapToGrid w:val="0"/>
          <w:color w:val="000000"/>
          <w:position w:val="6"/>
          <w:sz w:val="16"/>
          <w:szCs w:val="0"/>
          <w:u w:color="000000"/>
        </w:rPr>
        <w:t>210</w:t>
      </w:r>
      <w:r w:rsidR="00E16F98">
        <w:t xml:space="preserve">Bi in the </w:t>
      </w:r>
      <w:r w:rsidR="00910416">
        <w:t>standards</w:t>
      </w:r>
      <w:r w:rsidR="00E16F98">
        <w:t xml:space="preserve"> </w:t>
      </w:r>
      <w:r w:rsidR="00EF6256">
        <w:t xml:space="preserve">are </w:t>
      </w:r>
      <w:r w:rsidR="00E16F98">
        <w:t>seen as a</w:t>
      </w:r>
      <w:r w:rsidR="00910416">
        <w:t xml:space="preserve"> relative</w:t>
      </w:r>
      <w:r w:rsidR="00E16F98">
        <w:t xml:space="preserve"> increase in the </w:t>
      </w:r>
      <w:r w:rsidR="00910416">
        <w:t>counts measured in channels across the</w:t>
      </w:r>
      <w:r w:rsidR="00EF6256">
        <w:t xml:space="preserve"> whole</w:t>
      </w:r>
      <w:r w:rsidR="00910416">
        <w:t xml:space="preserve"> spectrum up to the</w:t>
      </w:r>
      <w:r w:rsidR="004925EF">
        <w:t xml:space="preserve"> 200</w:t>
      </w:r>
      <w:r w:rsidR="008D1992">
        <w:t>0</w:t>
      </w:r>
      <w:r w:rsidR="004925EF">
        <w:t xml:space="preserve"> keV</w:t>
      </w:r>
      <w:r w:rsidR="00910416">
        <w:t xml:space="preserve"> it is most visible in the range between the </w:t>
      </w:r>
      <w:r w:rsidR="00910416" w:rsidRPr="00F00D39">
        <w:rPr>
          <w:snapToGrid w:val="0"/>
          <w:color w:val="000000"/>
          <w:position w:val="6"/>
          <w:sz w:val="16"/>
          <w:szCs w:val="0"/>
          <w:u w:color="000000"/>
        </w:rPr>
        <w:t>210</w:t>
      </w:r>
      <w:r w:rsidR="00910416">
        <w:t xml:space="preserve">Pb and </w:t>
      </w:r>
      <w:r w:rsidR="00910416" w:rsidRPr="00F00D39">
        <w:rPr>
          <w:snapToGrid w:val="0"/>
          <w:color w:val="000000"/>
          <w:position w:val="6"/>
          <w:sz w:val="16"/>
          <w:szCs w:val="0"/>
          <w:u w:color="000000"/>
        </w:rPr>
        <w:t>210</w:t>
      </w:r>
      <w:r w:rsidR="00910416">
        <w:t>Po peaks</w:t>
      </w:r>
      <w:r w:rsidR="004925EF">
        <w:t xml:space="preserve"> and there is relatively no difference between the background spectrum above ~400 keV (not shown in the figure)</w:t>
      </w:r>
      <w:r w:rsidR="00910416">
        <w:t>.</w:t>
      </w:r>
    </w:p>
    <w:p w:rsidR="002F2AE6" w:rsidRDefault="00F00D39" w:rsidP="005A3F68">
      <w:r w:rsidRPr="00F00D39">
        <w:rPr>
          <w:noProof/>
          <w:lang w:eastAsia="en-AU"/>
        </w:rPr>
        <w:drawing>
          <wp:inline distT="0" distB="0" distL="0" distR="0" wp14:anchorId="7A519B5B" wp14:editId="7A519B5C">
            <wp:extent cx="5274310" cy="4081533"/>
            <wp:effectExtent l="19050" t="0" r="254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cstate="print"/>
                    <a:srcRect/>
                    <a:stretch>
                      <a:fillRect/>
                    </a:stretch>
                  </pic:blipFill>
                  <pic:spPr bwMode="auto">
                    <a:xfrm>
                      <a:off x="0" y="0"/>
                      <a:ext cx="5274310" cy="4081533"/>
                    </a:xfrm>
                    <a:prstGeom prst="rect">
                      <a:avLst/>
                    </a:prstGeom>
                    <a:noFill/>
                    <a:ln w="9525">
                      <a:noFill/>
                      <a:miter lim="800000"/>
                      <a:headEnd/>
                      <a:tailEnd/>
                    </a:ln>
                  </pic:spPr>
                </pic:pic>
              </a:graphicData>
            </a:graphic>
          </wp:inline>
        </w:drawing>
      </w:r>
    </w:p>
    <w:p w:rsidR="00F00D39" w:rsidRPr="00F00D39" w:rsidRDefault="00F00D39" w:rsidP="00F00D39">
      <w:pPr>
        <w:pStyle w:val="figurecaption"/>
      </w:pPr>
      <w:r w:rsidRPr="00983083">
        <w:rPr>
          <w:b/>
        </w:rPr>
        <w:t xml:space="preserve">Figure </w:t>
      </w:r>
      <w:r w:rsidR="00451D73" w:rsidRPr="00983083">
        <w:rPr>
          <w:b/>
        </w:rPr>
        <w:t>13</w:t>
      </w:r>
      <w:r w:rsidR="00451D73" w:rsidRPr="00983083">
        <w:t xml:space="preserve">  </w:t>
      </w:r>
      <w:r w:rsidRPr="00983083">
        <w:t>LSC</w:t>
      </w:r>
      <w:r w:rsidRPr="00F00D39">
        <w:t xml:space="preserve"> spec</w:t>
      </w:r>
      <w:r>
        <w:t xml:space="preserve">tra from </w:t>
      </w:r>
      <w:r w:rsidRPr="00F00D39">
        <w:rPr>
          <w:snapToGrid w:val="0"/>
          <w:color w:val="000000"/>
          <w:position w:val="4"/>
          <w:sz w:val="12"/>
          <w:szCs w:val="0"/>
          <w:u w:color="000000"/>
        </w:rPr>
        <w:t>210</w:t>
      </w:r>
      <w:r>
        <w:t>Pb standard solutions</w:t>
      </w:r>
    </w:p>
    <w:p w:rsidR="00B61EAC" w:rsidRDefault="00436199" w:rsidP="005A3F68">
      <w:r>
        <w:t xml:space="preserve">Standards </w:t>
      </w:r>
      <w:r w:rsidR="005A7F40">
        <w:t xml:space="preserve">prepared </w:t>
      </w:r>
      <w:r>
        <w:t xml:space="preserve">both </w:t>
      </w:r>
      <w:r w:rsidR="005A7F40">
        <w:t xml:space="preserve">5 days after chemical separation of </w:t>
      </w:r>
      <w:r w:rsidR="004A2406">
        <w:t>Pb</w:t>
      </w:r>
      <w:r w:rsidR="00EF6256">
        <w:t xml:space="preserve"> (i.e. with some </w:t>
      </w:r>
      <w:r w:rsidR="00DB29F1" w:rsidRPr="00DB29F1">
        <w:rPr>
          <w:snapToGrid w:val="0"/>
          <w:color w:val="000000"/>
          <w:position w:val="6"/>
          <w:sz w:val="16"/>
          <w:szCs w:val="0"/>
          <w:u w:color="000000"/>
        </w:rPr>
        <w:t>210</w:t>
      </w:r>
      <w:r w:rsidR="00EF6256">
        <w:t>Bi grown in)</w:t>
      </w:r>
      <w:r>
        <w:t xml:space="preserve"> and at secular equilibrium with the daughters</w:t>
      </w:r>
      <w:r w:rsidR="00EF6256">
        <w:t xml:space="preserve"> (</w:t>
      </w:r>
      <w:r w:rsidR="00DB29F1" w:rsidRPr="00DB29F1">
        <w:rPr>
          <w:snapToGrid w:val="0"/>
          <w:color w:val="000000"/>
          <w:position w:val="6"/>
          <w:sz w:val="16"/>
          <w:szCs w:val="0"/>
          <w:u w:color="000000"/>
        </w:rPr>
        <w:t>210</w:t>
      </w:r>
      <w:r w:rsidR="00EF6256">
        <w:t xml:space="preserve">Bi and </w:t>
      </w:r>
      <w:r w:rsidR="00DB29F1" w:rsidRPr="00DB29F1">
        <w:rPr>
          <w:snapToGrid w:val="0"/>
          <w:color w:val="000000"/>
          <w:position w:val="6"/>
          <w:sz w:val="16"/>
          <w:szCs w:val="0"/>
          <w:u w:color="000000"/>
        </w:rPr>
        <w:t>210</w:t>
      </w:r>
      <w:r w:rsidR="00EF6256">
        <w:t>Po)</w:t>
      </w:r>
      <w:r w:rsidR="005A7F40">
        <w:t>,</w:t>
      </w:r>
      <w:r w:rsidR="00C554C1">
        <w:t xml:space="preserve"> </w:t>
      </w:r>
      <w:r w:rsidR="005A7F40">
        <w:t xml:space="preserve">were used to select windows for counting of </w:t>
      </w:r>
      <w:r w:rsidR="005A7F40" w:rsidRPr="00C30224">
        <w:rPr>
          <w:snapToGrid w:val="0"/>
          <w:color w:val="000000"/>
          <w:position w:val="6"/>
          <w:sz w:val="16"/>
          <w:szCs w:val="0"/>
          <w:u w:color="000000"/>
        </w:rPr>
        <w:t>210</w:t>
      </w:r>
      <w:r w:rsidR="005A7F40">
        <w:t>Pb</w:t>
      </w:r>
      <w:r w:rsidR="008D1992">
        <w:t xml:space="preserve"> only, </w:t>
      </w:r>
      <w:r w:rsidR="005A7F40" w:rsidRPr="00C30224">
        <w:rPr>
          <w:snapToGrid w:val="0"/>
          <w:color w:val="000000"/>
          <w:position w:val="6"/>
          <w:sz w:val="16"/>
          <w:szCs w:val="0"/>
          <w:u w:color="000000"/>
        </w:rPr>
        <w:t>210</w:t>
      </w:r>
      <w:r w:rsidR="005A7F40">
        <w:t>Bi</w:t>
      </w:r>
      <w:r w:rsidR="008D1992">
        <w:t xml:space="preserve">, </w:t>
      </w:r>
      <w:r w:rsidR="008D1992" w:rsidRPr="008D1992">
        <w:rPr>
          <w:snapToGrid w:val="0"/>
          <w:color w:val="000000"/>
          <w:position w:val="6"/>
          <w:sz w:val="16"/>
          <w:szCs w:val="0"/>
          <w:u w:color="000000"/>
        </w:rPr>
        <w:t>210</w:t>
      </w:r>
      <w:r w:rsidR="008D1992">
        <w:t>Po</w:t>
      </w:r>
      <w:r w:rsidR="005A7F40">
        <w:t xml:space="preserve"> and </w:t>
      </w:r>
      <w:r w:rsidR="005A7F40" w:rsidRPr="00C30224">
        <w:rPr>
          <w:snapToGrid w:val="0"/>
          <w:color w:val="000000"/>
          <w:position w:val="6"/>
          <w:sz w:val="16"/>
          <w:szCs w:val="0"/>
          <w:u w:color="000000"/>
        </w:rPr>
        <w:t>210</w:t>
      </w:r>
      <w:r w:rsidR="005A7F40">
        <w:t>Pb</w:t>
      </w:r>
      <w:r w:rsidR="00B61EAC">
        <w:t xml:space="preserve"> combined</w:t>
      </w:r>
      <w:r w:rsidR="008D1992">
        <w:t xml:space="preserve"> or </w:t>
      </w:r>
      <w:r w:rsidR="008D1992" w:rsidRPr="008D1992">
        <w:rPr>
          <w:snapToGrid w:val="0"/>
          <w:color w:val="000000"/>
          <w:position w:val="6"/>
          <w:sz w:val="16"/>
          <w:szCs w:val="0"/>
          <w:u w:color="000000"/>
        </w:rPr>
        <w:t>210</w:t>
      </w:r>
      <w:r w:rsidR="008D1992">
        <w:t>Po only</w:t>
      </w:r>
      <w:r w:rsidR="005A7F40">
        <w:t xml:space="preserve">. </w:t>
      </w:r>
      <w:r w:rsidR="00174BD4">
        <w:t xml:space="preserve">The average counts per channel from </w:t>
      </w:r>
      <w:r>
        <w:t xml:space="preserve">3 standards used for efficiency calibration </w:t>
      </w:r>
      <w:r w:rsidR="008D1992">
        <w:t xml:space="preserve">(taken 5 days after separation of Pb) </w:t>
      </w:r>
      <w:r>
        <w:t xml:space="preserve">were used for determining the window </w:t>
      </w:r>
      <w:r w:rsidR="008D1992">
        <w:t xml:space="preserve">for measuring </w:t>
      </w:r>
      <w:r w:rsidR="008D1992" w:rsidRPr="00C30224">
        <w:rPr>
          <w:snapToGrid w:val="0"/>
          <w:color w:val="000000"/>
          <w:position w:val="6"/>
          <w:sz w:val="16"/>
          <w:szCs w:val="0"/>
          <w:u w:color="000000"/>
        </w:rPr>
        <w:t>210</w:t>
      </w:r>
      <w:r w:rsidR="008D1992">
        <w:t>Pb only. The average counts per channel</w:t>
      </w:r>
      <w:r>
        <w:t xml:space="preserve"> from </w:t>
      </w:r>
      <w:r w:rsidR="00174BD4">
        <w:t>6</w:t>
      </w:r>
      <w:r w:rsidR="00C554C1">
        <w:t xml:space="preserve"> standard</w:t>
      </w:r>
      <w:r w:rsidR="00174BD4">
        <w:t>s</w:t>
      </w:r>
      <w:r w:rsidR="00C554C1">
        <w:t xml:space="preserve"> used for DBB</w:t>
      </w:r>
      <w:r w:rsidR="008D1992">
        <w:t xml:space="preserve"> and coincidence </w:t>
      </w:r>
      <w:r w:rsidR="00C554C1">
        <w:t>timing optimisation</w:t>
      </w:r>
      <w:r w:rsidR="00174BD4">
        <w:t xml:space="preserve"> (ie – with </w:t>
      </w:r>
      <w:r w:rsidR="00174BD4" w:rsidRPr="00C30224">
        <w:rPr>
          <w:snapToGrid w:val="0"/>
          <w:color w:val="000000"/>
          <w:position w:val="6"/>
          <w:sz w:val="16"/>
          <w:szCs w:val="0"/>
          <w:u w:color="000000"/>
        </w:rPr>
        <w:t>210</w:t>
      </w:r>
      <w:r w:rsidR="00174BD4">
        <w:t xml:space="preserve">Bi, </w:t>
      </w:r>
      <w:r w:rsidR="00174BD4" w:rsidRPr="00C30224">
        <w:rPr>
          <w:snapToGrid w:val="0"/>
          <w:color w:val="000000"/>
          <w:position w:val="6"/>
          <w:sz w:val="16"/>
          <w:szCs w:val="0"/>
          <w:u w:color="000000"/>
        </w:rPr>
        <w:t>210</w:t>
      </w:r>
      <w:r w:rsidR="00174BD4">
        <w:t xml:space="preserve">Pb and </w:t>
      </w:r>
      <w:r w:rsidR="00174BD4" w:rsidRPr="00C30224">
        <w:rPr>
          <w:snapToGrid w:val="0"/>
          <w:color w:val="000000"/>
          <w:position w:val="6"/>
          <w:sz w:val="16"/>
          <w:szCs w:val="0"/>
          <w:u w:color="000000"/>
        </w:rPr>
        <w:t>210</w:t>
      </w:r>
      <w:r w:rsidR="00174BD4">
        <w:t xml:space="preserve">Po in equilibrium) were used to select </w:t>
      </w:r>
      <w:r w:rsidR="008D1992">
        <w:t xml:space="preserve">the other two </w:t>
      </w:r>
      <w:r w:rsidR="00174BD4">
        <w:t>optimum window</w:t>
      </w:r>
      <w:r>
        <w:t>s</w:t>
      </w:r>
      <w:r w:rsidR="00174BD4">
        <w:t xml:space="preserve"> after sufficient ingrowth of </w:t>
      </w:r>
      <w:r w:rsidRPr="00C30224">
        <w:rPr>
          <w:snapToGrid w:val="0"/>
          <w:color w:val="000000"/>
          <w:position w:val="6"/>
          <w:sz w:val="16"/>
          <w:szCs w:val="0"/>
          <w:u w:color="000000"/>
        </w:rPr>
        <w:t>210</w:t>
      </w:r>
      <w:r>
        <w:t xml:space="preserve">Bi and </w:t>
      </w:r>
      <w:r w:rsidR="00174BD4" w:rsidRPr="00C30224">
        <w:rPr>
          <w:snapToGrid w:val="0"/>
          <w:color w:val="000000"/>
          <w:position w:val="6"/>
          <w:sz w:val="16"/>
          <w:szCs w:val="0"/>
          <w:u w:color="000000"/>
        </w:rPr>
        <w:t>210</w:t>
      </w:r>
      <w:r w:rsidR="00174BD4">
        <w:t>Po</w:t>
      </w:r>
      <w:r w:rsidR="00C554C1">
        <w:t xml:space="preserve">. </w:t>
      </w:r>
    </w:p>
    <w:p w:rsidR="001C04F2" w:rsidRDefault="005A7F40" w:rsidP="005A3F68">
      <w:r>
        <w:t>Calculation of the optimum windows</w:t>
      </w:r>
      <w:r w:rsidR="00F944DE">
        <w:t xml:space="preserve"> was done</w:t>
      </w:r>
      <w:r>
        <w:t xml:space="preserve"> by </w:t>
      </w:r>
      <w:r w:rsidR="00634075">
        <w:t>calculating</w:t>
      </w:r>
      <w:r w:rsidR="00436199">
        <w:t xml:space="preserve"> the FoM </w:t>
      </w:r>
      <w:r w:rsidR="00634075">
        <w:t>for the entire spectrum (Channels 1–4000), then reducing the window by 1 channel at a time from the highest channel down to channel 1. This determined the upper bounds of the optimum count windows. With this upper boundary set, t</w:t>
      </w:r>
      <w:r>
        <w:t>he</w:t>
      </w:r>
      <w:r w:rsidR="00B61EAC">
        <w:t xml:space="preserve"> width of the</w:t>
      </w:r>
      <w:r>
        <w:t xml:space="preserve"> counting windows</w:t>
      </w:r>
      <w:r w:rsidR="00F944DE">
        <w:t xml:space="preserve"> </w:t>
      </w:r>
      <w:r w:rsidR="00634075">
        <w:t xml:space="preserve">was then reduced by 1 channel at a time starting from the lowest channel (ie – channel 1) </w:t>
      </w:r>
      <w:r w:rsidR="00347D64">
        <w:t>up to the upper boundary</w:t>
      </w:r>
      <w:r w:rsidR="00BC6326">
        <w:t xml:space="preserve">. </w:t>
      </w:r>
      <w:r w:rsidR="00347D64">
        <w:t xml:space="preserve">From these FoM calculations, the </w:t>
      </w:r>
      <w:r w:rsidR="000970C9">
        <w:t xml:space="preserve">3 </w:t>
      </w:r>
      <w:r w:rsidR="00347D64">
        <w:t xml:space="preserve">optimum </w:t>
      </w:r>
      <w:r w:rsidR="000970C9">
        <w:t>windows were</w:t>
      </w:r>
      <w:r w:rsidR="00347D64">
        <w:t xml:space="preserve"> determined to be </w:t>
      </w:r>
      <w:r w:rsidR="000970C9">
        <w:t>1</w:t>
      </w:r>
      <w:r w:rsidR="001C04F2">
        <w:t>1–</w:t>
      </w:r>
      <w:r w:rsidR="000970C9">
        <w:t>2</w:t>
      </w:r>
      <w:r w:rsidR="00AA6E9E">
        <w:t>2</w:t>
      </w:r>
      <w:r w:rsidR="000970C9">
        <w:t xml:space="preserve"> keV</w:t>
      </w:r>
      <w:r w:rsidR="003A57A4">
        <w:t xml:space="preserve"> (Channels 23–44)</w:t>
      </w:r>
      <w:r w:rsidR="000970C9">
        <w:t xml:space="preserve">, </w:t>
      </w:r>
      <w:r w:rsidR="001C04F2">
        <w:t>1</w:t>
      </w:r>
      <w:r w:rsidR="00A37613">
        <w:t>1</w:t>
      </w:r>
      <w:r w:rsidR="00CA5F40">
        <w:t>–3</w:t>
      </w:r>
      <w:r w:rsidR="00AA6E9E">
        <w:t>30</w:t>
      </w:r>
      <w:r w:rsidR="00CA5F40">
        <w:t xml:space="preserve"> keV </w:t>
      </w:r>
      <w:r w:rsidR="003A57A4">
        <w:t xml:space="preserve">(Channels 23–660) </w:t>
      </w:r>
      <w:r w:rsidR="00CA5F40">
        <w:t>and 1</w:t>
      </w:r>
      <w:r w:rsidR="00AA6E9E">
        <w:t>73</w:t>
      </w:r>
      <w:r w:rsidR="00CA5F40">
        <w:t>–</w:t>
      </w:r>
      <w:r w:rsidR="003F73FD">
        <w:t>330</w:t>
      </w:r>
      <w:r w:rsidR="001C04F2">
        <w:t xml:space="preserve"> keV</w:t>
      </w:r>
      <w:r w:rsidR="003A57A4">
        <w:t xml:space="preserve"> (Channels 34</w:t>
      </w:r>
      <w:r w:rsidR="003F73FD">
        <w:t>5</w:t>
      </w:r>
      <w:r w:rsidR="003A57A4">
        <w:t>–</w:t>
      </w:r>
      <w:r w:rsidR="003F73FD">
        <w:t>660</w:t>
      </w:r>
      <w:r w:rsidR="003A57A4">
        <w:t>)</w:t>
      </w:r>
      <w:r w:rsidR="001C04F2">
        <w:t xml:space="preserve">. </w:t>
      </w:r>
      <w:r w:rsidR="00347D64">
        <w:t>These windows are optimum at different stages of ingrowth after separation of Pb (</w:t>
      </w:r>
      <w:r w:rsidR="00347D64" w:rsidRPr="00983083">
        <w:t xml:space="preserve">Figure </w:t>
      </w:r>
      <w:r w:rsidR="00451D73" w:rsidRPr="00983083">
        <w:t>14</w:t>
      </w:r>
      <w:r w:rsidR="00347D64" w:rsidRPr="00983083">
        <w:t>).</w:t>
      </w:r>
      <w:r w:rsidR="00347D64">
        <w:t xml:space="preserve"> </w:t>
      </w:r>
      <w:r w:rsidR="001C04F2">
        <w:t>The 11–2</w:t>
      </w:r>
      <w:r w:rsidR="00AA6E9E">
        <w:t>2</w:t>
      </w:r>
      <w:r w:rsidR="001C04F2">
        <w:t xml:space="preserve"> keV count window is optimal </w:t>
      </w:r>
      <w:r w:rsidR="003A790B">
        <w:t xml:space="preserve">up </w:t>
      </w:r>
      <w:r w:rsidR="003A790B" w:rsidRPr="003A0998">
        <w:t xml:space="preserve">to </w:t>
      </w:r>
      <w:r w:rsidR="00515C5E">
        <w:t>~</w:t>
      </w:r>
      <w:r w:rsidR="003A0998" w:rsidRPr="003A0998">
        <w:t>16</w:t>
      </w:r>
      <w:r w:rsidR="003A790B" w:rsidRPr="003A0998">
        <w:t xml:space="preserve"> days after separation, the 1</w:t>
      </w:r>
      <w:r w:rsidR="00A37613" w:rsidRPr="003A0998">
        <w:t>1</w:t>
      </w:r>
      <w:r w:rsidR="003A790B" w:rsidRPr="003A0998">
        <w:t>–3</w:t>
      </w:r>
      <w:r w:rsidR="00AA6E9E" w:rsidRPr="003A0998">
        <w:t>30</w:t>
      </w:r>
      <w:r w:rsidR="003A790B" w:rsidRPr="003A0998">
        <w:t xml:space="preserve"> keV is optimal up to ~</w:t>
      </w:r>
      <w:r w:rsidR="003A0998" w:rsidRPr="003A0998">
        <w:t>246</w:t>
      </w:r>
      <w:r w:rsidR="00347D64" w:rsidRPr="003A0998">
        <w:t xml:space="preserve"> days</w:t>
      </w:r>
      <w:r w:rsidR="003A790B">
        <w:t xml:space="preserve">. These windows reflect the initial counting of </w:t>
      </w:r>
      <w:r w:rsidR="003A790B" w:rsidRPr="003A790B">
        <w:rPr>
          <w:snapToGrid w:val="0"/>
          <w:color w:val="000000"/>
          <w:position w:val="6"/>
          <w:sz w:val="16"/>
          <w:szCs w:val="0"/>
          <w:u w:color="000000"/>
        </w:rPr>
        <w:t>210</w:t>
      </w:r>
      <w:r w:rsidR="003A790B">
        <w:t xml:space="preserve">Pb only, then counting of </w:t>
      </w:r>
      <w:r w:rsidR="003A790B" w:rsidRPr="003A790B">
        <w:rPr>
          <w:snapToGrid w:val="0"/>
          <w:color w:val="000000"/>
          <w:position w:val="6"/>
          <w:sz w:val="16"/>
          <w:szCs w:val="0"/>
          <w:u w:color="000000"/>
        </w:rPr>
        <w:t>210</w:t>
      </w:r>
      <w:r w:rsidR="003A790B">
        <w:t xml:space="preserve">Pb, </w:t>
      </w:r>
      <w:r w:rsidR="003A790B" w:rsidRPr="003A790B">
        <w:rPr>
          <w:snapToGrid w:val="0"/>
          <w:color w:val="000000"/>
          <w:position w:val="6"/>
          <w:sz w:val="16"/>
          <w:szCs w:val="0"/>
          <w:u w:color="000000"/>
        </w:rPr>
        <w:t>210</w:t>
      </w:r>
      <w:r w:rsidR="003A790B">
        <w:t xml:space="preserve">Bi and </w:t>
      </w:r>
      <w:r w:rsidR="003A790B" w:rsidRPr="003A790B">
        <w:rPr>
          <w:snapToGrid w:val="0"/>
          <w:color w:val="000000"/>
          <w:position w:val="6"/>
          <w:sz w:val="16"/>
          <w:szCs w:val="0"/>
          <w:u w:color="000000"/>
        </w:rPr>
        <w:t>210</w:t>
      </w:r>
      <w:r w:rsidR="003A790B">
        <w:t xml:space="preserve">Po together and finally counting of primarily </w:t>
      </w:r>
      <w:r w:rsidR="003A790B" w:rsidRPr="003A790B">
        <w:rPr>
          <w:snapToGrid w:val="0"/>
          <w:color w:val="000000"/>
          <w:position w:val="6"/>
          <w:sz w:val="16"/>
          <w:szCs w:val="0"/>
          <w:u w:color="000000"/>
        </w:rPr>
        <w:t>210</w:t>
      </w:r>
      <w:r w:rsidR="003A790B">
        <w:t xml:space="preserve">Po (with some counts from </w:t>
      </w:r>
      <w:r w:rsidR="003A790B" w:rsidRPr="003A790B">
        <w:rPr>
          <w:snapToGrid w:val="0"/>
          <w:color w:val="000000"/>
          <w:position w:val="6"/>
          <w:sz w:val="16"/>
          <w:szCs w:val="0"/>
          <w:u w:color="000000"/>
        </w:rPr>
        <w:t>210</w:t>
      </w:r>
      <w:r w:rsidR="003A790B">
        <w:t xml:space="preserve">Bi). This final window has </w:t>
      </w:r>
      <w:r w:rsidR="00347D64">
        <w:t xml:space="preserve">the </w:t>
      </w:r>
      <w:r w:rsidR="003A790B">
        <w:t xml:space="preserve">lower </w:t>
      </w:r>
      <w:r w:rsidR="00347D64">
        <w:t>boundary</w:t>
      </w:r>
      <w:r w:rsidR="003A790B">
        <w:t xml:space="preserve"> at a </w:t>
      </w:r>
      <w:r w:rsidR="00A37613">
        <w:t xml:space="preserve">much </w:t>
      </w:r>
      <w:r w:rsidR="003A790B">
        <w:t xml:space="preserve">higher energy </w:t>
      </w:r>
      <w:r w:rsidR="00347D64">
        <w:t>(173 keV) than the other 2 windows. This is because this</w:t>
      </w:r>
      <w:r w:rsidR="003A790B">
        <w:t xml:space="preserve"> window is across a region where the blank count rate is significantly lower than across the optimum window for </w:t>
      </w:r>
      <w:r w:rsidR="00232713">
        <w:t xml:space="preserve">counting emissions from </w:t>
      </w:r>
      <w:r w:rsidR="00232713" w:rsidRPr="003A790B">
        <w:rPr>
          <w:snapToGrid w:val="0"/>
          <w:color w:val="000000"/>
          <w:position w:val="6"/>
          <w:sz w:val="16"/>
          <w:szCs w:val="0"/>
          <w:u w:color="000000"/>
        </w:rPr>
        <w:t>210</w:t>
      </w:r>
      <w:r w:rsidR="00232713">
        <w:t xml:space="preserve">Pb and </w:t>
      </w:r>
      <w:r w:rsidR="00232713" w:rsidRPr="003A790B">
        <w:rPr>
          <w:snapToGrid w:val="0"/>
          <w:color w:val="000000"/>
          <w:position w:val="6"/>
          <w:sz w:val="16"/>
          <w:szCs w:val="0"/>
          <w:u w:color="000000"/>
        </w:rPr>
        <w:t>210</w:t>
      </w:r>
      <w:r w:rsidR="00232713">
        <w:t>Bi</w:t>
      </w:r>
      <w:r w:rsidR="003A790B">
        <w:t>.</w:t>
      </w:r>
      <w:r w:rsidR="00515C5E">
        <w:t xml:space="preserve"> The fitted curves in Figure 14 are a visualisation aid only and are there to assist the reader in identifying the approximate </w:t>
      </w:r>
      <w:r w:rsidR="00AE60F7">
        <w:t>crossover</w:t>
      </w:r>
      <w:r w:rsidR="00515C5E">
        <w:t xml:space="preserve"> times where the FOM for one window is superior to another.</w:t>
      </w:r>
    </w:p>
    <w:p w:rsidR="00FE5308" w:rsidRPr="00174BD4" w:rsidRDefault="008D1992" w:rsidP="00FE5308">
      <w:pPr>
        <w:jc w:val="center"/>
        <w:rPr>
          <w:b/>
          <w:color w:val="FF0000"/>
        </w:rPr>
      </w:pPr>
      <w:r w:rsidRPr="008D1992">
        <w:rPr>
          <w:noProof/>
          <w:lang w:eastAsia="en-AU"/>
        </w:rPr>
        <w:drawing>
          <wp:inline distT="0" distB="0" distL="0" distR="0" wp14:anchorId="7A519B5D" wp14:editId="7A519B5E">
            <wp:extent cx="5476240" cy="4450080"/>
            <wp:effectExtent l="19050" t="0" r="0" b="0"/>
            <wp:docPr id="3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0" cstate="print"/>
                    <a:srcRect/>
                    <a:stretch>
                      <a:fillRect/>
                    </a:stretch>
                  </pic:blipFill>
                  <pic:spPr bwMode="auto">
                    <a:xfrm>
                      <a:off x="0" y="0"/>
                      <a:ext cx="5476240" cy="4450080"/>
                    </a:xfrm>
                    <a:prstGeom prst="rect">
                      <a:avLst/>
                    </a:prstGeom>
                    <a:noFill/>
                    <a:ln w="9525">
                      <a:noFill/>
                      <a:miter lim="800000"/>
                      <a:headEnd/>
                      <a:tailEnd/>
                    </a:ln>
                  </pic:spPr>
                </pic:pic>
              </a:graphicData>
            </a:graphic>
          </wp:inline>
        </w:drawing>
      </w:r>
      <w:r w:rsidRPr="008D1992">
        <w:t xml:space="preserve"> </w:t>
      </w:r>
    </w:p>
    <w:p w:rsidR="003A0998" w:rsidRPr="00F00D39" w:rsidRDefault="003A0998" w:rsidP="003A0998">
      <w:pPr>
        <w:pStyle w:val="figurecaption"/>
      </w:pPr>
      <w:r w:rsidRPr="00983083">
        <w:rPr>
          <w:b/>
        </w:rPr>
        <w:t xml:space="preserve">Figure </w:t>
      </w:r>
      <w:r w:rsidR="00451D73" w:rsidRPr="00983083">
        <w:rPr>
          <w:b/>
        </w:rPr>
        <w:t>14</w:t>
      </w:r>
      <w:r w:rsidR="00451D73" w:rsidRPr="00F00D39">
        <w:t xml:space="preserve"> </w:t>
      </w:r>
      <w:r w:rsidR="00451D73">
        <w:t xml:space="preserve"> </w:t>
      </w:r>
      <w:r>
        <w:t xml:space="preserve">FoM for optimised count windows relative to the stage of ingrowth of </w:t>
      </w:r>
      <w:r w:rsidRPr="003A0998">
        <w:rPr>
          <w:snapToGrid w:val="0"/>
          <w:color w:val="000000"/>
          <w:position w:val="4"/>
          <w:sz w:val="12"/>
          <w:szCs w:val="0"/>
          <w:u w:color="000000"/>
        </w:rPr>
        <w:t>210</w:t>
      </w:r>
      <w:r>
        <w:t xml:space="preserve">Pb daughters </w:t>
      </w:r>
      <w:r w:rsidRPr="003A0998">
        <w:rPr>
          <w:snapToGrid w:val="0"/>
          <w:color w:val="000000"/>
          <w:position w:val="4"/>
          <w:sz w:val="12"/>
          <w:szCs w:val="0"/>
          <w:u w:color="000000"/>
        </w:rPr>
        <w:t>210</w:t>
      </w:r>
      <w:r>
        <w:t xml:space="preserve">Bi and </w:t>
      </w:r>
      <w:r w:rsidRPr="003A0998">
        <w:rPr>
          <w:snapToGrid w:val="0"/>
          <w:color w:val="000000"/>
          <w:position w:val="4"/>
          <w:sz w:val="12"/>
          <w:szCs w:val="0"/>
          <w:u w:color="000000"/>
        </w:rPr>
        <w:t>210</w:t>
      </w:r>
      <w:r>
        <w:t>Po</w:t>
      </w:r>
    </w:p>
    <w:p w:rsidR="00896DE7" w:rsidRDefault="00451D73" w:rsidP="008A3846">
      <w:pPr>
        <w:pStyle w:val="Heading3"/>
      </w:pPr>
      <w:bookmarkStart w:id="43" w:name="_Toc467491565"/>
      <w:r>
        <w:t xml:space="preserve">4.5  </w:t>
      </w:r>
      <w:r w:rsidR="00896DE7">
        <w:t xml:space="preserve">Efficiency </w:t>
      </w:r>
      <w:r w:rsidR="00A859B0">
        <w:t>determinations</w:t>
      </w:r>
      <w:bookmarkEnd w:id="43"/>
    </w:p>
    <w:p w:rsidR="00D35B29" w:rsidRDefault="00216F55" w:rsidP="00240087">
      <w:r>
        <w:t>The relative counting efficiency of all 3 isotopes</w:t>
      </w:r>
      <w:r w:rsidR="00591931">
        <w:t xml:space="preserve"> </w:t>
      </w:r>
      <w:r>
        <w:t>was determined</w:t>
      </w:r>
      <w:r w:rsidR="00B60234">
        <w:t xml:space="preserve"> under the optimised count conditions</w:t>
      </w:r>
      <w:r w:rsidR="0076513B">
        <w:t xml:space="preserve"> with the optimised count windows</w:t>
      </w:r>
      <w:r w:rsidR="0080180A">
        <w:t>,</w:t>
      </w:r>
      <w:r w:rsidR="00591931">
        <w:t xml:space="preserve"> </w:t>
      </w:r>
      <w:r w:rsidR="0080180A">
        <w:t xml:space="preserve">11–22 keV and </w:t>
      </w:r>
      <w:r w:rsidR="00591931">
        <w:t>1</w:t>
      </w:r>
      <w:r w:rsidR="0080180A">
        <w:t>1–</w:t>
      </w:r>
      <w:r w:rsidR="00591931">
        <w:t>330 keV window</w:t>
      </w:r>
      <w:r w:rsidR="0080180A">
        <w:t xml:space="preserve">, </w:t>
      </w:r>
      <w:r w:rsidR="00591931">
        <w:t>for different stages of ingrowth</w:t>
      </w:r>
      <w:r>
        <w:t xml:space="preserve">. </w:t>
      </w:r>
      <w:r w:rsidR="009F4FEB">
        <w:t xml:space="preserve">This was done by </w:t>
      </w:r>
      <w:r w:rsidR="00B60234">
        <w:t>measuring</w:t>
      </w:r>
      <w:r w:rsidR="009F4FEB">
        <w:t xml:space="preserve"> sub-samples </w:t>
      </w:r>
      <w:r w:rsidR="00B60234">
        <w:t xml:space="preserve">taken </w:t>
      </w:r>
      <w:r w:rsidR="009F4FEB">
        <w:t xml:space="preserve">from a calibrated </w:t>
      </w:r>
      <w:r w:rsidR="009F4FEB" w:rsidRPr="00B47606">
        <w:rPr>
          <w:snapToGrid w:val="0"/>
          <w:color w:val="000000"/>
          <w:position w:val="6"/>
          <w:sz w:val="16"/>
          <w:szCs w:val="0"/>
          <w:u w:color="000000"/>
        </w:rPr>
        <w:t>210</w:t>
      </w:r>
      <w:r w:rsidR="009F4FEB">
        <w:t>Pb solution at regular intervals (after initial chemical separation</w:t>
      </w:r>
      <w:r w:rsidR="00591931">
        <w:t xml:space="preserve"> of </w:t>
      </w:r>
      <w:r w:rsidR="00DB29F1" w:rsidRPr="00DB29F1">
        <w:rPr>
          <w:snapToGrid w:val="0"/>
          <w:color w:val="000000"/>
          <w:position w:val="6"/>
          <w:sz w:val="16"/>
          <w:szCs w:val="0"/>
          <w:u w:color="000000"/>
        </w:rPr>
        <w:t>210</w:t>
      </w:r>
      <w:r w:rsidR="00591931">
        <w:t>Pb</w:t>
      </w:r>
      <w:r w:rsidR="009F4FEB">
        <w:t xml:space="preserve">). </w:t>
      </w:r>
      <w:r w:rsidR="00591931">
        <w:t>Sub</w:t>
      </w:r>
      <w:r w:rsidR="0080180A">
        <w:t>-</w:t>
      </w:r>
      <w:r w:rsidR="00591931">
        <w:t xml:space="preserve">samples were taken from </w:t>
      </w:r>
      <w:r w:rsidR="0080180A">
        <w:t>5</w:t>
      </w:r>
      <w:r w:rsidR="00591931">
        <w:t xml:space="preserve"> days to </w:t>
      </w:r>
      <w:r w:rsidR="0080180A">
        <w:t>309</w:t>
      </w:r>
      <w:r w:rsidR="00591931">
        <w:t xml:space="preserve"> days after separation and</w:t>
      </w:r>
      <w:r w:rsidR="00B60234">
        <w:t xml:space="preserve"> w</w:t>
      </w:r>
      <w:r w:rsidR="00591931">
        <w:t>ere</w:t>
      </w:r>
      <w:r w:rsidR="00B60234">
        <w:t xml:space="preserve"> prepared fresh prior to counting, allowing at least 3 </w:t>
      </w:r>
      <w:r w:rsidR="00416B53">
        <w:t>hour’s time</w:t>
      </w:r>
      <w:r w:rsidR="00B60234">
        <w:t xml:space="preserve"> to settle after mixing with the scintillant</w:t>
      </w:r>
      <w:r w:rsidR="00F40EC2">
        <w:t>, 3 standards and a single blank were prepared for each measurement and individual values given are an average of these 3 standards</w:t>
      </w:r>
      <w:r w:rsidR="00B60234">
        <w:t xml:space="preserve">. </w:t>
      </w:r>
    </w:p>
    <w:p w:rsidR="00D313A7" w:rsidRDefault="00D35B29" w:rsidP="00D313A7">
      <w:r>
        <w:t>In addition to the freshly prepared standards</w:t>
      </w:r>
      <w:r w:rsidR="00A158FE">
        <w:t xml:space="preserve"> above</w:t>
      </w:r>
      <w:r>
        <w:t>, 2 sets of 3 standards (including a blank) were prepared</w:t>
      </w:r>
      <w:r w:rsidR="00591931">
        <w:t xml:space="preserve"> (i.e. mixed with the cocktail)</w:t>
      </w:r>
      <w:r>
        <w:t xml:space="preserve"> soon after preparation of the purified </w:t>
      </w:r>
      <w:r w:rsidRPr="00A859B0">
        <w:rPr>
          <w:snapToGrid w:val="0"/>
          <w:color w:val="000000"/>
          <w:position w:val="6"/>
          <w:sz w:val="16"/>
          <w:szCs w:val="0"/>
          <w:u w:color="000000"/>
        </w:rPr>
        <w:t>210</w:t>
      </w:r>
      <w:r>
        <w:t xml:space="preserve">Pb solution and re-counted at regular intervals to assess the stability of the scintillation cocktail. </w:t>
      </w:r>
      <w:r w:rsidR="00A158FE">
        <w:t xml:space="preserve">The </w:t>
      </w:r>
      <w:r w:rsidR="00D313A7">
        <w:t xml:space="preserve">relative efficiency was measured as a function of the activity of </w:t>
      </w:r>
      <w:r w:rsidR="00D313A7" w:rsidRPr="00A859B0">
        <w:rPr>
          <w:snapToGrid w:val="0"/>
          <w:color w:val="000000"/>
          <w:position w:val="6"/>
          <w:sz w:val="16"/>
          <w:szCs w:val="0"/>
          <w:u w:color="000000"/>
        </w:rPr>
        <w:t>210</w:t>
      </w:r>
      <w:r w:rsidR="00D313A7">
        <w:t>Pb in the sample</w:t>
      </w:r>
      <w:r w:rsidR="0080180A">
        <w:t xml:space="preserve"> (see equation 1)</w:t>
      </w:r>
      <w:r w:rsidR="00D313A7">
        <w:t xml:space="preserve">. Relative efficiencies of greater than 100% were achieved by summing counts from the isotopes </w:t>
      </w:r>
      <w:r w:rsidR="00D313A7" w:rsidRPr="00896DE7">
        <w:rPr>
          <w:snapToGrid w:val="0"/>
          <w:color w:val="000000"/>
          <w:position w:val="6"/>
          <w:sz w:val="16"/>
          <w:szCs w:val="0"/>
          <w:u w:color="000000"/>
        </w:rPr>
        <w:t>210</w:t>
      </w:r>
      <w:r w:rsidR="00D313A7">
        <w:t xml:space="preserve">Bi and </w:t>
      </w:r>
      <w:r w:rsidR="00D313A7" w:rsidRPr="00896DE7">
        <w:rPr>
          <w:snapToGrid w:val="0"/>
          <w:color w:val="000000"/>
          <w:position w:val="6"/>
          <w:sz w:val="16"/>
          <w:szCs w:val="0"/>
          <w:u w:color="000000"/>
        </w:rPr>
        <w:t>210</w:t>
      </w:r>
      <w:r w:rsidR="00D313A7">
        <w:t xml:space="preserve">Po with the counts from </w:t>
      </w:r>
      <w:r w:rsidR="00D313A7" w:rsidRPr="002471B6">
        <w:rPr>
          <w:snapToGrid w:val="0"/>
          <w:color w:val="000000"/>
          <w:position w:val="6"/>
          <w:sz w:val="16"/>
          <w:szCs w:val="0"/>
          <w:u w:color="000000"/>
        </w:rPr>
        <w:t>210</w:t>
      </w:r>
      <w:r w:rsidR="00D313A7">
        <w:t xml:space="preserve">Pb. </w:t>
      </w:r>
    </w:p>
    <w:p w:rsidR="00F81A2D" w:rsidRDefault="00D35B29" w:rsidP="00240087">
      <w:r>
        <w:t xml:space="preserve">The combined efficiency measured for both the fresh and the aged standards for the 11–330 keV count window is shown in </w:t>
      </w:r>
      <w:r w:rsidRPr="00983083">
        <w:t xml:space="preserve">figure </w:t>
      </w:r>
      <w:r w:rsidR="00451D73" w:rsidRPr="00983083">
        <w:t>15</w:t>
      </w:r>
      <w:r w:rsidRPr="00983083">
        <w:t>.</w:t>
      </w:r>
      <w:r w:rsidR="008B4B9C" w:rsidRPr="00983083">
        <w:t xml:space="preserve"> In</w:t>
      </w:r>
      <w:r w:rsidR="008B4B9C">
        <w:t xml:space="preserve"> this figure the data for the aged samples is a combination of data from both sets of aged standards, where they were counted on the same day an average value is used, in other cases values from a single set are used</w:t>
      </w:r>
      <w:r w:rsidR="00F81A2D">
        <w:t xml:space="preserve">. </w:t>
      </w:r>
    </w:p>
    <w:p w:rsidR="00D35B29" w:rsidRDefault="006414B2" w:rsidP="00240087">
      <w:r w:rsidRPr="006414B2">
        <w:rPr>
          <w:noProof/>
          <w:lang w:eastAsia="en-AU"/>
        </w:rPr>
        <w:drawing>
          <wp:inline distT="0" distB="0" distL="0" distR="0" wp14:anchorId="7A519B5F" wp14:editId="7A519B60">
            <wp:extent cx="5274310" cy="4117910"/>
            <wp:effectExtent l="19050" t="0" r="2540" b="0"/>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1" cstate="print"/>
                    <a:srcRect/>
                    <a:stretch>
                      <a:fillRect/>
                    </a:stretch>
                  </pic:blipFill>
                  <pic:spPr bwMode="auto">
                    <a:xfrm>
                      <a:off x="0" y="0"/>
                      <a:ext cx="5274310" cy="4117910"/>
                    </a:xfrm>
                    <a:prstGeom prst="rect">
                      <a:avLst/>
                    </a:prstGeom>
                    <a:noFill/>
                    <a:ln w="9525">
                      <a:noFill/>
                      <a:miter lim="800000"/>
                      <a:headEnd/>
                      <a:tailEnd/>
                    </a:ln>
                  </pic:spPr>
                </pic:pic>
              </a:graphicData>
            </a:graphic>
          </wp:inline>
        </w:drawing>
      </w:r>
    </w:p>
    <w:p w:rsidR="00D35B29" w:rsidRPr="00BD1E8F" w:rsidRDefault="00D35B29" w:rsidP="00D35B29">
      <w:pPr>
        <w:jc w:val="center"/>
        <w:rPr>
          <w:rFonts w:ascii="Arial" w:hAnsi="Arial"/>
          <w:sz w:val="18"/>
        </w:rPr>
      </w:pPr>
      <w:r w:rsidRPr="00983083">
        <w:rPr>
          <w:rFonts w:ascii="Arial" w:hAnsi="Arial"/>
          <w:b/>
          <w:sz w:val="18"/>
        </w:rPr>
        <w:t xml:space="preserve">Figure </w:t>
      </w:r>
      <w:r w:rsidR="00451D73" w:rsidRPr="00983083">
        <w:rPr>
          <w:rFonts w:ascii="Arial" w:hAnsi="Arial"/>
          <w:b/>
          <w:sz w:val="18"/>
        </w:rPr>
        <w:t>15</w:t>
      </w:r>
      <w:r w:rsidR="00451D73" w:rsidRPr="00983083">
        <w:rPr>
          <w:rFonts w:ascii="Arial" w:hAnsi="Arial"/>
          <w:sz w:val="18"/>
        </w:rPr>
        <w:t xml:space="preserve">  </w:t>
      </w:r>
      <w:r w:rsidRPr="00983083">
        <w:rPr>
          <w:rFonts w:ascii="Arial" w:hAnsi="Arial"/>
          <w:sz w:val="18"/>
        </w:rPr>
        <w:t>Measured</w:t>
      </w:r>
      <w:r>
        <w:rPr>
          <w:rFonts w:ascii="Arial" w:hAnsi="Arial"/>
          <w:sz w:val="18"/>
        </w:rPr>
        <w:t xml:space="preserve"> efficiencies</w:t>
      </w:r>
      <w:r w:rsidR="000E757C">
        <w:rPr>
          <w:rFonts w:ascii="Arial" w:hAnsi="Arial"/>
          <w:sz w:val="18"/>
        </w:rPr>
        <w:t xml:space="preserve"> in fresh and aged standards</w:t>
      </w:r>
    </w:p>
    <w:p w:rsidR="00170F5A" w:rsidRDefault="00170F5A" w:rsidP="00170F5A">
      <w:r>
        <w:t xml:space="preserve">For the fresh standards a relative efficiency of 2.35 is reached after 309 days, corresponding to a </w:t>
      </w:r>
      <w:r w:rsidRPr="006414B2">
        <w:rPr>
          <w:snapToGrid w:val="0"/>
          <w:color w:val="000000"/>
          <w:position w:val="6"/>
          <w:sz w:val="16"/>
          <w:szCs w:val="0"/>
          <w:u w:color="000000"/>
        </w:rPr>
        <w:t>210</w:t>
      </w:r>
      <w:r>
        <w:t xml:space="preserve">Po activity of 77% of the initial </w:t>
      </w:r>
      <w:r w:rsidRPr="006414B2">
        <w:rPr>
          <w:snapToGrid w:val="0"/>
          <w:color w:val="000000"/>
          <w:position w:val="6"/>
          <w:sz w:val="16"/>
          <w:szCs w:val="0"/>
          <w:u w:color="000000"/>
        </w:rPr>
        <w:t>210</w:t>
      </w:r>
      <w:r>
        <w:t xml:space="preserve">Pb activity (which has decayed to 97.4% of the initial activity at this stage). Assuming a 100% counting efficiency for </w:t>
      </w:r>
      <w:r w:rsidRPr="006414B2">
        <w:rPr>
          <w:snapToGrid w:val="0"/>
          <w:color w:val="000000"/>
          <w:position w:val="6"/>
          <w:sz w:val="16"/>
          <w:szCs w:val="0"/>
          <w:u w:color="000000"/>
        </w:rPr>
        <w:t>210</w:t>
      </w:r>
      <w:r>
        <w:t xml:space="preserve">Po, this corresponds to a peak relative efficiency of 2.60 at equilibrium. This compares to the relative efficiency determined in the DBB/AC timing optimisation of 2.59 under the same counting conditions. </w:t>
      </w:r>
    </w:p>
    <w:p w:rsidR="00ED7922" w:rsidRDefault="00216F55" w:rsidP="00613646">
      <w:r>
        <w:t xml:space="preserve">The overlapping </w:t>
      </w:r>
      <w:r w:rsidR="0033452A">
        <w:t xml:space="preserve">energies of the three radionuclides, </w:t>
      </w:r>
      <w:r w:rsidR="00DB29F1" w:rsidRPr="00DB29F1">
        <w:rPr>
          <w:snapToGrid w:val="0"/>
          <w:color w:val="000000"/>
          <w:position w:val="6"/>
          <w:sz w:val="16"/>
          <w:szCs w:val="0"/>
          <w:u w:color="000000"/>
        </w:rPr>
        <w:t>210</w:t>
      </w:r>
      <w:r w:rsidR="0033452A">
        <w:t xml:space="preserve">Pb, </w:t>
      </w:r>
      <w:r w:rsidR="00DB29F1" w:rsidRPr="00DB29F1">
        <w:rPr>
          <w:snapToGrid w:val="0"/>
          <w:color w:val="000000"/>
          <w:position w:val="6"/>
          <w:sz w:val="16"/>
          <w:szCs w:val="0"/>
          <w:u w:color="000000"/>
        </w:rPr>
        <w:t>210</w:t>
      </w:r>
      <w:r w:rsidR="0033452A">
        <w:t xml:space="preserve">Bi and </w:t>
      </w:r>
      <w:r w:rsidR="00DB29F1" w:rsidRPr="00DB29F1">
        <w:rPr>
          <w:snapToGrid w:val="0"/>
          <w:color w:val="000000"/>
          <w:position w:val="6"/>
          <w:sz w:val="16"/>
          <w:szCs w:val="0"/>
          <w:u w:color="000000"/>
        </w:rPr>
        <w:t>210</w:t>
      </w:r>
      <w:r w:rsidR="0033452A">
        <w:t>Po</w:t>
      </w:r>
      <w:r>
        <w:t xml:space="preserve"> could be </w:t>
      </w:r>
      <w:r w:rsidR="00324DAA">
        <w:t xml:space="preserve">effectively </w:t>
      </w:r>
      <w:r w:rsidR="00D313A7">
        <w:t>resolved</w:t>
      </w:r>
      <w:r w:rsidR="00324DAA">
        <w:t xml:space="preserve"> </w:t>
      </w:r>
      <w:r>
        <w:t xml:space="preserve">due to initial separation of </w:t>
      </w:r>
      <w:r w:rsidR="00B47606" w:rsidRPr="00B47606">
        <w:rPr>
          <w:snapToGrid w:val="0"/>
          <w:color w:val="000000"/>
          <w:position w:val="6"/>
          <w:sz w:val="16"/>
          <w:szCs w:val="0"/>
          <w:u w:color="000000"/>
        </w:rPr>
        <w:t>210</w:t>
      </w:r>
      <w:r w:rsidR="00B47606">
        <w:t xml:space="preserve">Pb from the daughter isotopes </w:t>
      </w:r>
      <w:r>
        <w:t xml:space="preserve">and because a counting efficiency of 100% can be assumed for the alpha emissions of </w:t>
      </w:r>
      <w:r w:rsidRPr="006E35A1">
        <w:rPr>
          <w:snapToGrid w:val="0"/>
          <w:color w:val="000000"/>
          <w:position w:val="6"/>
          <w:sz w:val="16"/>
          <w:szCs w:val="0"/>
          <w:u w:color="000000"/>
        </w:rPr>
        <w:t>210</w:t>
      </w:r>
      <w:r>
        <w:t>Po (</w:t>
      </w:r>
      <w:r w:rsidR="00E3115D">
        <w:t>Packard Instrument Company</w:t>
      </w:r>
      <w:r w:rsidR="0033452A">
        <w:t xml:space="preserve">, </w:t>
      </w:r>
      <w:r w:rsidR="00E3115D">
        <w:t>2015</w:t>
      </w:r>
      <w:r>
        <w:t xml:space="preserve">). </w:t>
      </w:r>
    </w:p>
    <w:p w:rsidR="00ED7922" w:rsidRDefault="00216F55" w:rsidP="00613646">
      <w:r>
        <w:t xml:space="preserve">The efficiency determined for </w:t>
      </w:r>
      <w:r w:rsidRPr="00A859B0">
        <w:rPr>
          <w:snapToGrid w:val="0"/>
          <w:color w:val="000000"/>
          <w:position w:val="6"/>
          <w:sz w:val="16"/>
          <w:szCs w:val="0"/>
          <w:u w:color="000000"/>
        </w:rPr>
        <w:t>210</w:t>
      </w:r>
      <w:r>
        <w:t xml:space="preserve">Pb </w:t>
      </w:r>
      <w:r w:rsidR="00ED7922">
        <w:t xml:space="preserve">for freshly prepared standards </w:t>
      </w:r>
      <w:r>
        <w:t>in the 11–2</w:t>
      </w:r>
      <w:r w:rsidR="00AA6E9E">
        <w:t>2</w:t>
      </w:r>
      <w:r>
        <w:t xml:space="preserve"> keV </w:t>
      </w:r>
      <w:r w:rsidR="00656B19">
        <w:t xml:space="preserve">(Channels 23–44) </w:t>
      </w:r>
      <w:r>
        <w:t>counting window was 7</w:t>
      </w:r>
      <w:r w:rsidR="00324DAA">
        <w:t>0</w:t>
      </w:r>
      <w:r w:rsidR="00656B19">
        <w:t>±1%</w:t>
      </w:r>
      <w:r w:rsidR="00416B53">
        <w:t>, based</w:t>
      </w:r>
      <w:r w:rsidR="00D53B14">
        <w:t xml:space="preserve"> on 6 measurements between 5 and 10 days after initial Pb separation</w:t>
      </w:r>
      <w:r w:rsidR="00656B19">
        <w:t>.</w:t>
      </w:r>
      <w:r w:rsidR="00ED7922">
        <w:t xml:space="preserve"> </w:t>
      </w:r>
      <w:r w:rsidR="000420F6">
        <w:t>A</w:t>
      </w:r>
      <w:r w:rsidR="00ED7922">
        <w:t xml:space="preserve"> </w:t>
      </w:r>
      <w:r w:rsidR="000420F6">
        <w:t>maximum determined efficiency of 73±1%</w:t>
      </w:r>
      <w:r w:rsidR="00ED7922">
        <w:t xml:space="preserve"> </w:t>
      </w:r>
      <w:r w:rsidR="000420F6">
        <w:t xml:space="preserve">was reached </w:t>
      </w:r>
      <w:r w:rsidR="00E76D2D">
        <w:t>between 17 and 25</w:t>
      </w:r>
      <w:r w:rsidR="000C2731">
        <w:t xml:space="preserve"> days</w:t>
      </w:r>
      <w:r w:rsidR="00ED7922">
        <w:t xml:space="preserve"> after preparation</w:t>
      </w:r>
      <w:r w:rsidR="00E76D2D">
        <w:t xml:space="preserve"> (the midpoint is 21 days)</w:t>
      </w:r>
      <w:r w:rsidR="000420F6">
        <w:t>; t</w:t>
      </w:r>
      <w:r w:rsidR="00ED7922">
        <w:t xml:space="preserve">he difference is only 3% and the increase in efficiency for this window is likely to be due to increasing counts from the overlapping </w:t>
      </w:r>
      <w:r w:rsidR="00ED7922" w:rsidRPr="00B60234">
        <w:rPr>
          <w:snapToGrid w:val="0"/>
          <w:color w:val="000000"/>
          <w:position w:val="6"/>
          <w:sz w:val="16"/>
          <w:szCs w:val="0"/>
          <w:u w:color="000000"/>
        </w:rPr>
        <w:t>210</w:t>
      </w:r>
      <w:r w:rsidR="00ED7922">
        <w:t>Bi region, with a maximum reached nearing secular equilibrium.</w:t>
      </w:r>
    </w:p>
    <w:p w:rsidR="001F2DF9" w:rsidRPr="001F2DF9" w:rsidRDefault="00656B19" w:rsidP="00613646">
      <w:pPr>
        <w:rPr>
          <w:rFonts w:ascii="Arial" w:hAnsi="Arial"/>
          <w:sz w:val="18"/>
        </w:rPr>
      </w:pPr>
      <w:r>
        <w:t xml:space="preserve"> </w:t>
      </w:r>
      <w:r w:rsidR="00D53B14">
        <w:t xml:space="preserve">The efficiency </w:t>
      </w:r>
      <w:r w:rsidR="000420F6">
        <w:t xml:space="preserve">determined for </w:t>
      </w:r>
      <w:r w:rsidR="000420F6" w:rsidRPr="00D53B14">
        <w:rPr>
          <w:snapToGrid w:val="0"/>
          <w:color w:val="000000"/>
          <w:position w:val="6"/>
          <w:sz w:val="16"/>
          <w:szCs w:val="0"/>
          <w:u w:color="000000"/>
        </w:rPr>
        <w:t>210</w:t>
      </w:r>
      <w:r w:rsidR="000420F6">
        <w:t xml:space="preserve">Bi was </w:t>
      </w:r>
      <w:r>
        <w:t xml:space="preserve">85±1% in the 23–330 keV window (Channels 45–660) </w:t>
      </w:r>
      <w:r w:rsidR="000420F6">
        <w:t xml:space="preserve">and was </w:t>
      </w:r>
      <w:r w:rsidR="00D53B14">
        <w:t xml:space="preserve">based on </w:t>
      </w:r>
      <w:r>
        <w:t>7</w:t>
      </w:r>
      <w:r w:rsidR="00D53B14">
        <w:t xml:space="preserve"> measurements taken between </w:t>
      </w:r>
      <w:r>
        <w:t xml:space="preserve">36 and 105 days after initial separation of Pb where </w:t>
      </w:r>
      <w:r w:rsidRPr="00D53B14">
        <w:rPr>
          <w:snapToGrid w:val="0"/>
          <w:color w:val="000000"/>
          <w:position w:val="6"/>
          <w:sz w:val="16"/>
          <w:szCs w:val="0"/>
          <w:u w:color="000000"/>
        </w:rPr>
        <w:t>210</w:t>
      </w:r>
      <w:r>
        <w:t xml:space="preserve">Bi is at maximum ingrowth, with the total activity equivalent to 99% of the initial </w:t>
      </w:r>
      <w:r w:rsidRPr="00656B19">
        <w:rPr>
          <w:snapToGrid w:val="0"/>
          <w:color w:val="000000"/>
          <w:position w:val="6"/>
          <w:sz w:val="16"/>
          <w:szCs w:val="0"/>
          <w:u w:color="000000"/>
        </w:rPr>
        <w:t>210</w:t>
      </w:r>
      <w:r>
        <w:t>Pb activity.</w:t>
      </w:r>
      <w:r w:rsidR="00D53B14">
        <w:t xml:space="preserve"> </w:t>
      </w:r>
      <w:r>
        <w:t>Th</w:t>
      </w:r>
      <w:r w:rsidR="00CE7E2F">
        <w:t>is</w:t>
      </w:r>
      <w:r>
        <w:t xml:space="preserve"> efficiency for </w:t>
      </w:r>
      <w:r w:rsidRPr="00D53B14">
        <w:rPr>
          <w:snapToGrid w:val="0"/>
          <w:color w:val="000000"/>
          <w:position w:val="6"/>
          <w:sz w:val="16"/>
          <w:szCs w:val="0"/>
          <w:u w:color="000000"/>
        </w:rPr>
        <w:t>210</w:t>
      </w:r>
      <w:r>
        <w:t xml:space="preserve">Bi was determined by subtracting </w:t>
      </w:r>
      <w:r w:rsidR="007F5C43">
        <w:t xml:space="preserve">both </w:t>
      </w:r>
      <w:r w:rsidR="00053093">
        <w:t xml:space="preserve">the </w:t>
      </w:r>
      <w:r>
        <w:t>efficiency determined for the 11–22 keV</w:t>
      </w:r>
      <w:r w:rsidR="00053093">
        <w:t xml:space="preserve"> window</w:t>
      </w:r>
      <w:r w:rsidR="007F5C43">
        <w:t xml:space="preserve"> and the efficiency of </w:t>
      </w:r>
      <w:r w:rsidR="00053093" w:rsidRPr="00053093">
        <w:rPr>
          <w:snapToGrid w:val="0"/>
          <w:color w:val="000000"/>
          <w:position w:val="6"/>
          <w:sz w:val="16"/>
          <w:szCs w:val="0"/>
          <w:u w:color="000000"/>
        </w:rPr>
        <w:t>210</w:t>
      </w:r>
      <w:r w:rsidR="00053093">
        <w:t>Po (</w:t>
      </w:r>
      <w:r w:rsidR="007F5C43">
        <w:t xml:space="preserve">based on the relative amount of </w:t>
      </w:r>
      <w:r w:rsidR="00053093">
        <w:t xml:space="preserve">ingrown </w:t>
      </w:r>
      <w:r w:rsidR="007F5C43" w:rsidRPr="00053093">
        <w:rPr>
          <w:snapToGrid w:val="0"/>
          <w:color w:val="000000"/>
          <w:position w:val="6"/>
          <w:sz w:val="16"/>
          <w:szCs w:val="0"/>
          <w:u w:color="000000"/>
        </w:rPr>
        <w:t>210</w:t>
      </w:r>
      <w:r w:rsidR="007F5C43">
        <w:t>Po</w:t>
      </w:r>
      <w:r w:rsidR="00053093">
        <w:t>)</w:t>
      </w:r>
      <w:r>
        <w:t xml:space="preserve"> from </w:t>
      </w:r>
      <w:r w:rsidR="00053093">
        <w:t xml:space="preserve">the efficiency </w:t>
      </w:r>
      <w:r>
        <w:t xml:space="preserve">determined for the 11–330 keV window. </w:t>
      </w:r>
    </w:p>
    <w:p w:rsidR="0095780A" w:rsidRDefault="0095780A" w:rsidP="0095780A">
      <w:r w:rsidRPr="00FA6215">
        <w:t xml:space="preserve">Figure </w:t>
      </w:r>
      <w:r w:rsidR="00451D73" w:rsidRPr="00FA6215">
        <w:t xml:space="preserve">16 </w:t>
      </w:r>
      <w:r w:rsidRPr="00FA6215">
        <w:t>shows</w:t>
      </w:r>
      <w:r w:rsidRPr="00AE16D9">
        <w:t xml:space="preserve"> the measured efficiency for the count window 11–330 keV as a function of time since separation of </w:t>
      </w:r>
      <w:r w:rsidRPr="00AE16D9">
        <w:rPr>
          <w:snapToGrid w:val="0"/>
          <w:position w:val="6"/>
          <w:sz w:val="16"/>
          <w:szCs w:val="0"/>
          <w:u w:color="000000"/>
        </w:rPr>
        <w:t>210</w:t>
      </w:r>
      <w:r w:rsidRPr="00AE16D9">
        <w:t xml:space="preserve">Pb plotted with the predicted efficiency based on the maximum achieved efficiency for </w:t>
      </w:r>
      <w:r w:rsidRPr="00AE16D9">
        <w:rPr>
          <w:snapToGrid w:val="0"/>
          <w:position w:val="6"/>
          <w:sz w:val="16"/>
          <w:szCs w:val="0"/>
          <w:u w:color="000000"/>
        </w:rPr>
        <w:t>210</w:t>
      </w:r>
      <w:r w:rsidRPr="00AE16D9">
        <w:t xml:space="preserve">Bi (85%) and </w:t>
      </w:r>
      <w:r w:rsidRPr="00AE16D9">
        <w:rPr>
          <w:snapToGrid w:val="0"/>
          <w:position w:val="6"/>
          <w:sz w:val="16"/>
          <w:szCs w:val="0"/>
          <w:u w:color="000000"/>
        </w:rPr>
        <w:t>210</w:t>
      </w:r>
      <w:r w:rsidRPr="00AE16D9">
        <w:t>Pb (70% to day</w:t>
      </w:r>
      <w:r>
        <w:t xml:space="preserve"> 21 and</w:t>
      </w:r>
      <w:r w:rsidRPr="00AE16D9">
        <w:t xml:space="preserve"> 73% thereafter) and assuming 100% efficiency for </w:t>
      </w:r>
      <w:r w:rsidRPr="00AE16D9">
        <w:rPr>
          <w:snapToGrid w:val="0"/>
          <w:position w:val="6"/>
          <w:sz w:val="16"/>
          <w:szCs w:val="0"/>
          <w:u w:color="000000"/>
        </w:rPr>
        <w:t>210</w:t>
      </w:r>
      <w:r w:rsidRPr="00AE16D9">
        <w:t>Po.</w:t>
      </w:r>
      <w:r>
        <w:t xml:space="preserve"> </w:t>
      </w:r>
      <w:r w:rsidRPr="00983083">
        <w:t xml:space="preserve">Equation </w:t>
      </w:r>
      <w:r w:rsidR="00A2345A">
        <w:t>4</w:t>
      </w:r>
      <w:r w:rsidR="00A2345A" w:rsidRPr="00983083">
        <w:t xml:space="preserve"> </w:t>
      </w:r>
      <w:r w:rsidRPr="00983083">
        <w:t>is used</w:t>
      </w:r>
      <w:r>
        <w:t xml:space="preserve"> to calculate the predicted (combined) efficiency, taking into account the ingrowth of  </w:t>
      </w:r>
      <w:r w:rsidRPr="00AE16D9">
        <w:rPr>
          <w:snapToGrid w:val="0"/>
          <w:position w:val="6"/>
          <w:sz w:val="16"/>
          <w:szCs w:val="0"/>
          <w:u w:color="000000"/>
        </w:rPr>
        <w:t>210</w:t>
      </w:r>
      <w:r w:rsidRPr="00AE16D9">
        <w:t>Bi</w:t>
      </w:r>
      <w:r>
        <w:t xml:space="preserve"> and </w:t>
      </w:r>
      <w:r w:rsidRPr="00AE16D9">
        <w:rPr>
          <w:snapToGrid w:val="0"/>
          <w:position w:val="6"/>
          <w:sz w:val="16"/>
          <w:szCs w:val="0"/>
          <w:u w:color="000000"/>
        </w:rPr>
        <w:t>210</w:t>
      </w:r>
      <w:r w:rsidRPr="00AE16D9">
        <w:t>Po</w:t>
      </w:r>
      <w:r>
        <w:t xml:space="preserve"> after initial separation of </w:t>
      </w:r>
      <w:r w:rsidRPr="00AE16D9">
        <w:rPr>
          <w:snapToGrid w:val="0"/>
          <w:position w:val="6"/>
          <w:sz w:val="16"/>
          <w:szCs w:val="0"/>
          <w:u w:color="000000"/>
        </w:rPr>
        <w:t>210</w:t>
      </w:r>
      <w:r w:rsidRPr="00AE16D9">
        <w:t>Pb</w:t>
      </w:r>
      <w:r w:rsidR="00886F46">
        <w:t xml:space="preserve"> (</w:t>
      </w:r>
      <w:r w:rsidR="00E3115D">
        <w:t>equation amended from</w:t>
      </w:r>
      <w:r w:rsidR="00886F46">
        <w:t xml:space="preserve"> Johansson</w:t>
      </w:r>
      <w:r w:rsidR="002E6995">
        <w:t>,</w:t>
      </w:r>
      <w:r w:rsidR="00886F46">
        <w:t xml:space="preserve"> 2008)</w:t>
      </w:r>
      <w:r>
        <w:t>.</w:t>
      </w:r>
    </w:p>
    <w:p w:rsidR="00E55F85" w:rsidRDefault="00E55F85" w:rsidP="00E55F85">
      <w:pPr>
        <w:jc w:val="center"/>
        <w:rPr>
          <w:rFonts w:ascii="Arial" w:hAnsi="Arial"/>
          <w:sz w:val="18"/>
        </w:rPr>
      </w:pPr>
      <w:r w:rsidRPr="00E55F85">
        <w:rPr>
          <w:noProof/>
          <w:lang w:eastAsia="en-AU"/>
        </w:rPr>
        <w:drawing>
          <wp:inline distT="0" distB="0" distL="0" distR="0" wp14:anchorId="7A519B61" wp14:editId="4A6EDFF7">
            <wp:extent cx="5273580" cy="3755390"/>
            <wp:effectExtent l="0" t="0" r="3810" b="0"/>
            <wp:docPr id="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42" cstate="print"/>
                    <a:srcRect t="8791"/>
                    <a:stretch/>
                  </pic:blipFill>
                  <pic:spPr bwMode="auto">
                    <a:xfrm>
                      <a:off x="0" y="0"/>
                      <a:ext cx="5274310" cy="3755910"/>
                    </a:xfrm>
                    <a:prstGeom prst="rect">
                      <a:avLst/>
                    </a:prstGeom>
                    <a:noFill/>
                    <a:ln>
                      <a:noFill/>
                    </a:ln>
                    <a:extLst>
                      <a:ext uri="{53640926-AAD7-44D8-BBD7-CCE9431645EC}">
                        <a14:shadowObscured xmlns:a14="http://schemas.microsoft.com/office/drawing/2010/main"/>
                      </a:ext>
                    </a:extLst>
                  </pic:spPr>
                </pic:pic>
              </a:graphicData>
            </a:graphic>
          </wp:inline>
        </w:drawing>
      </w:r>
      <w:r w:rsidR="00D64F8C" w:rsidRPr="00983083">
        <w:rPr>
          <w:rFonts w:ascii="Arial" w:hAnsi="Arial"/>
          <w:b/>
          <w:sz w:val="18"/>
        </w:rPr>
        <w:t>Fi</w:t>
      </w:r>
      <w:r w:rsidRPr="00983083">
        <w:rPr>
          <w:rFonts w:ascii="Arial" w:hAnsi="Arial"/>
          <w:b/>
          <w:sz w:val="18"/>
        </w:rPr>
        <w:t xml:space="preserve">gure </w:t>
      </w:r>
      <w:r w:rsidR="00451D73" w:rsidRPr="00983083">
        <w:rPr>
          <w:rFonts w:ascii="Arial" w:hAnsi="Arial"/>
          <w:b/>
          <w:sz w:val="18"/>
        </w:rPr>
        <w:t>16</w:t>
      </w:r>
      <w:r w:rsidR="00451D73" w:rsidRPr="00983083">
        <w:rPr>
          <w:rFonts w:ascii="Arial" w:hAnsi="Arial"/>
          <w:sz w:val="18"/>
        </w:rPr>
        <w:t xml:space="preserve">  </w:t>
      </w:r>
      <w:r w:rsidRPr="00983083">
        <w:rPr>
          <w:rFonts w:ascii="Arial" w:hAnsi="Arial"/>
          <w:sz w:val="18"/>
        </w:rPr>
        <w:t>Measured</w:t>
      </w:r>
      <w:r>
        <w:rPr>
          <w:rFonts w:ascii="Arial" w:hAnsi="Arial"/>
          <w:sz w:val="18"/>
        </w:rPr>
        <w:t xml:space="preserve"> and predicted combined efficiencies in fresh standards</w:t>
      </w:r>
    </w:p>
    <w:p w:rsidR="003D14DC" w:rsidRPr="001F2DF9" w:rsidRDefault="003D14DC" w:rsidP="00E55F85">
      <w:pPr>
        <w:jc w:val="center"/>
        <w:rPr>
          <w:rFonts w:ascii="Arial" w:hAnsi="Arial"/>
          <w:sz w:val="18"/>
        </w:rPr>
      </w:pPr>
    </w:p>
    <w:p w:rsidR="0095780A" w:rsidRPr="0035002C" w:rsidRDefault="00DB29F1" w:rsidP="0095780A">
      <w:pPr>
        <w:jc w:val="right"/>
        <w:rPr>
          <w:rFonts w:ascii="Arial" w:hAnsi="Arial"/>
          <w:b/>
          <w:sz w:val="18"/>
        </w:rPr>
      </w:pPr>
      <w:r w:rsidRPr="00DB29F1">
        <w:rPr>
          <w:rFonts w:ascii="Arial" w:hAnsi="Arial"/>
          <w:b/>
          <w:sz w:val="18"/>
        </w:rPr>
        <w:t xml:space="preserve">Equation </w:t>
      </w:r>
      <w:r w:rsidR="00A2345A" w:rsidRPr="00A2345A">
        <w:rPr>
          <w:rFonts w:ascii="Arial" w:hAnsi="Arial"/>
          <w:b/>
          <w:sz w:val="18"/>
        </w:rPr>
        <w:t>4</w:t>
      </w:r>
    </w:p>
    <w:p w:rsidR="0095780A" w:rsidRPr="00AE16D9" w:rsidRDefault="005E27BE" w:rsidP="0095780A">
      <m:oMathPara>
        <m:oMath>
          <m:sSub>
            <m:sSubPr>
              <m:ctrlPr>
                <w:rPr>
                  <w:rFonts w:ascii="Cambria Math" w:hAnsi="Cambria Math"/>
                  <w:i/>
                </w:rPr>
              </m:ctrlPr>
            </m:sSubPr>
            <m:e>
              <m:r>
                <w:rPr>
                  <w:rFonts w:ascii="Cambria Math" w:hAnsi="Cambria Math"/>
                </w:rPr>
                <m:t>ε</m:t>
              </m:r>
            </m:e>
            <m:sub>
              <m:r>
                <w:rPr>
                  <w:rFonts w:ascii="Cambria Math" w:hAnsi="Cambria Math"/>
                </w:rPr>
                <m:t>Combined</m:t>
              </m:r>
            </m:sub>
          </m:sSub>
          <m:r>
            <w:rPr>
              <w:rFonts w:ascii="Cambria Math" w:hAnsi="Cambria Math"/>
            </w:rPr>
            <m:t>=</m:t>
          </m:r>
          <m:d>
            <m:dPr>
              <m:ctrlPr>
                <w:rPr>
                  <w:rFonts w:ascii="Cambria Math" w:hAnsi="Cambria Math"/>
                  <w:i/>
                </w:rPr>
              </m:ctrlPr>
            </m:dPr>
            <m:e>
              <m:sSup>
                <m:sSupPr>
                  <m:ctrlPr>
                    <w:rPr>
                      <w:rFonts w:ascii="Cambria Math" w:hAnsi="Cambria Math"/>
                      <w:i/>
                    </w:rPr>
                  </m:ctrlPr>
                </m:sSupPr>
                <m:e>
                  <m:r>
                    <w:rPr>
                      <w:rFonts w:ascii="Cambria Math" w:hAnsi="Cambria Math"/>
                    </w:rPr>
                    <m:t>e</m:t>
                  </m:r>
                </m:e>
                <m:sup>
                  <m:r>
                    <w:rPr>
                      <w:rFonts w:ascii="Cambria Math" w:hAnsi="Cambria Math"/>
                    </w:rPr>
                    <m:t>-</m:t>
                  </m:r>
                  <m:sSub>
                    <m:sSubPr>
                      <m:ctrlPr>
                        <w:rPr>
                          <w:rFonts w:ascii="Cambria Math" w:hAnsi="Cambria Math"/>
                          <w:i/>
                        </w:rPr>
                      </m:ctrlPr>
                    </m:sSubPr>
                    <m:e>
                      <m:r>
                        <w:rPr>
                          <w:rFonts w:ascii="Cambria Math" w:hAnsi="Cambria Math"/>
                        </w:rPr>
                        <m:t>λ</m:t>
                      </m:r>
                    </m:e>
                    <m:sub>
                      <m:r>
                        <w:rPr>
                          <w:rFonts w:ascii="Cambria Math" w:hAnsi="Cambria Math"/>
                        </w:rPr>
                        <m:t>Pb</m:t>
                      </m:r>
                    </m:sub>
                  </m:sSub>
                  <m:r>
                    <w:rPr>
                      <w:rFonts w:ascii="Cambria Math" w:hAnsi="Cambria Math"/>
                    </w:rPr>
                    <m:t>t</m:t>
                  </m:r>
                </m:sup>
              </m:sSup>
            </m:e>
          </m:d>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Pb</m:t>
              </m:r>
            </m:sub>
          </m:sSub>
          <m:r>
            <w:rPr>
              <w:rFonts w:ascii="Cambria Math" w:hAnsi="Cambria Math"/>
            </w:rPr>
            <m:t>+</m:t>
          </m:r>
          <m:d>
            <m:dPr>
              <m:ctrlPr>
                <w:rPr>
                  <w:rFonts w:ascii="Cambria Math" w:hAnsi="Cambria Math"/>
                  <w:i/>
                </w:rPr>
              </m:ctrlPr>
            </m:dPr>
            <m:e>
              <m:r>
                <w:rPr>
                  <w:rFonts w:ascii="Cambria Math" w:hAnsi="Cambria Math"/>
                </w:rPr>
                <m:t>1-</m:t>
              </m:r>
              <m:sSup>
                <m:sSupPr>
                  <m:ctrlPr>
                    <w:rPr>
                      <w:rFonts w:ascii="Cambria Math" w:hAnsi="Cambria Math"/>
                      <w:i/>
                    </w:rPr>
                  </m:ctrlPr>
                </m:sSupPr>
                <m:e>
                  <m:r>
                    <w:rPr>
                      <w:rFonts w:ascii="Cambria Math" w:hAnsi="Cambria Math"/>
                    </w:rPr>
                    <m:t>e</m:t>
                  </m:r>
                </m:e>
                <m:sup>
                  <m:r>
                    <w:rPr>
                      <w:rFonts w:ascii="Cambria Math" w:hAnsi="Cambria Math"/>
                    </w:rPr>
                    <m:t>-</m:t>
                  </m:r>
                  <m:sSub>
                    <m:sSubPr>
                      <m:ctrlPr>
                        <w:rPr>
                          <w:rFonts w:ascii="Cambria Math" w:hAnsi="Cambria Math"/>
                          <w:i/>
                        </w:rPr>
                      </m:ctrlPr>
                    </m:sSubPr>
                    <m:e>
                      <m:r>
                        <w:rPr>
                          <w:rFonts w:ascii="Cambria Math" w:hAnsi="Cambria Math"/>
                        </w:rPr>
                        <m:t>λ</m:t>
                      </m:r>
                    </m:e>
                    <m:sub>
                      <m:r>
                        <w:rPr>
                          <w:rFonts w:ascii="Cambria Math" w:hAnsi="Cambria Math"/>
                        </w:rPr>
                        <m:t>Bi</m:t>
                      </m:r>
                    </m:sub>
                  </m:sSub>
                  <m:r>
                    <w:rPr>
                      <w:rFonts w:ascii="Cambria Math" w:hAnsi="Cambria Math"/>
                    </w:rPr>
                    <m:t>t</m:t>
                  </m:r>
                </m:sup>
              </m:sSup>
            </m:e>
          </m:d>
          <m:r>
            <w:rPr>
              <w:rFonts w:ascii="Cambria Math" w:hAnsi="Cambria Math"/>
            </w:rPr>
            <m:t>×</m:t>
          </m:r>
          <m:d>
            <m:dPr>
              <m:ctrlPr>
                <w:rPr>
                  <w:rFonts w:ascii="Cambria Math" w:hAnsi="Cambria Math"/>
                  <w:i/>
                </w:rPr>
              </m:ctrlPr>
            </m:dPr>
            <m:e>
              <m:sSup>
                <m:sSupPr>
                  <m:ctrlPr>
                    <w:rPr>
                      <w:rFonts w:ascii="Cambria Math" w:hAnsi="Cambria Math"/>
                      <w:i/>
                    </w:rPr>
                  </m:ctrlPr>
                </m:sSupPr>
                <m:e>
                  <m:r>
                    <w:rPr>
                      <w:rFonts w:ascii="Cambria Math" w:hAnsi="Cambria Math"/>
                    </w:rPr>
                    <m:t>e</m:t>
                  </m:r>
                </m:e>
                <m:sup>
                  <m:r>
                    <w:rPr>
                      <w:rFonts w:ascii="Cambria Math" w:hAnsi="Cambria Math"/>
                    </w:rPr>
                    <m:t>-</m:t>
                  </m:r>
                  <m:sSub>
                    <m:sSubPr>
                      <m:ctrlPr>
                        <w:rPr>
                          <w:rFonts w:ascii="Cambria Math" w:hAnsi="Cambria Math"/>
                          <w:i/>
                        </w:rPr>
                      </m:ctrlPr>
                    </m:sSubPr>
                    <m:e>
                      <m:r>
                        <w:rPr>
                          <w:rFonts w:ascii="Cambria Math" w:hAnsi="Cambria Math"/>
                        </w:rPr>
                        <m:t>λ</m:t>
                      </m:r>
                    </m:e>
                    <m:sub>
                      <m:r>
                        <w:rPr>
                          <w:rFonts w:ascii="Cambria Math" w:hAnsi="Cambria Math"/>
                        </w:rPr>
                        <m:t>Pb</m:t>
                      </m:r>
                    </m:sub>
                  </m:sSub>
                  <m:r>
                    <w:rPr>
                      <w:rFonts w:ascii="Cambria Math" w:hAnsi="Cambria Math"/>
                    </w:rPr>
                    <m:t>t</m:t>
                  </m:r>
                </m:sup>
              </m:sSup>
            </m:e>
          </m:d>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Bi</m:t>
              </m:r>
            </m:sub>
          </m:sSub>
          <m:r>
            <w:rPr>
              <w:rFonts w:ascii="Cambria Math" w:hAnsi="Cambria Math"/>
            </w:rPr>
            <m:t>+</m:t>
          </m:r>
          <m:sSub>
            <m:sSubPr>
              <m:ctrlPr>
                <w:rPr>
                  <w:rFonts w:ascii="Cambria Math" w:hAnsi="Cambria Math"/>
                  <w:i/>
                </w:rPr>
              </m:ctrlPr>
            </m:sSubPr>
            <m:e>
              <m:r>
                <w:rPr>
                  <w:rFonts w:ascii="Cambria Math" w:hAnsi="Cambria Math"/>
                </w:rPr>
                <m:t>λ</m:t>
              </m:r>
            </m:e>
            <m:sub>
              <m:r>
                <w:rPr>
                  <w:rFonts w:ascii="Cambria Math" w:hAnsi="Cambria Math"/>
                </w:rPr>
                <m:t>Bi</m:t>
              </m:r>
            </m:sub>
          </m:sSub>
          <m:r>
            <w:rPr>
              <w:rFonts w:ascii="Cambria Math" w:hAnsi="Cambria Math"/>
            </w:rPr>
            <m:t>×</m:t>
          </m:r>
          <m:sSub>
            <m:sSubPr>
              <m:ctrlPr>
                <w:rPr>
                  <w:rFonts w:ascii="Cambria Math" w:hAnsi="Cambria Math"/>
                  <w:i/>
                </w:rPr>
              </m:ctrlPr>
            </m:sSubPr>
            <m:e>
              <m:r>
                <w:rPr>
                  <w:rFonts w:ascii="Cambria Math" w:hAnsi="Cambria Math"/>
                </w:rPr>
                <m:t>λ</m:t>
              </m:r>
            </m:e>
            <m:sub>
              <m:r>
                <w:rPr>
                  <w:rFonts w:ascii="Cambria Math" w:hAnsi="Cambria Math"/>
                </w:rPr>
                <m:t>Po</m:t>
              </m:r>
            </m:sub>
          </m:sSub>
          <m:r>
            <w:rPr>
              <w:rFonts w:ascii="Cambria Math" w:hAnsi="Cambria Math"/>
            </w:rPr>
            <m:t>×</m:t>
          </m:r>
          <m:d>
            <m:dPr>
              <m:begChr m:val="["/>
              <m:endChr m:val="]"/>
              <m:ctrlPr>
                <w:rPr>
                  <w:rFonts w:ascii="Cambria Math" w:hAnsi="Cambria Math"/>
                  <w:i/>
                </w:rPr>
              </m:ctrlPr>
            </m:dPr>
            <m:e>
              <m:d>
                <m:dPr>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e</m:t>
                          </m:r>
                        </m:e>
                        <m:sup>
                          <m:r>
                            <w:rPr>
                              <w:rFonts w:ascii="Cambria Math" w:hAnsi="Cambria Math"/>
                            </w:rPr>
                            <m:t>-</m:t>
                          </m:r>
                          <m:sSub>
                            <m:sSubPr>
                              <m:ctrlPr>
                                <w:rPr>
                                  <w:rFonts w:ascii="Cambria Math" w:hAnsi="Cambria Math"/>
                                  <w:i/>
                                </w:rPr>
                              </m:ctrlPr>
                            </m:sSubPr>
                            <m:e>
                              <m:r>
                                <w:rPr>
                                  <w:rFonts w:ascii="Cambria Math" w:hAnsi="Cambria Math"/>
                                </w:rPr>
                                <m:t>λ</m:t>
                              </m:r>
                            </m:e>
                            <m:sub>
                              <m:r>
                                <w:rPr>
                                  <w:rFonts w:ascii="Cambria Math" w:hAnsi="Cambria Math"/>
                                </w:rPr>
                                <m:t>Pb</m:t>
                              </m:r>
                            </m:sub>
                          </m:sSub>
                          <m:r>
                            <w:rPr>
                              <w:rFonts w:ascii="Cambria Math" w:hAnsi="Cambria Math"/>
                            </w:rPr>
                            <m:t>t</m:t>
                          </m:r>
                        </m:sup>
                      </m:sSup>
                    </m:num>
                    <m:den>
                      <m:d>
                        <m:dPr>
                          <m:ctrlPr>
                            <w:rPr>
                              <w:rFonts w:ascii="Cambria Math" w:hAnsi="Cambria Math"/>
                              <w:i/>
                            </w:rPr>
                          </m:ctrlPr>
                        </m:dPr>
                        <m:e>
                          <m:sSub>
                            <m:sSubPr>
                              <m:ctrlPr>
                                <w:rPr>
                                  <w:rFonts w:ascii="Cambria Math" w:hAnsi="Cambria Math"/>
                                  <w:i/>
                                </w:rPr>
                              </m:ctrlPr>
                            </m:sSubPr>
                            <m:e>
                              <m:r>
                                <w:rPr>
                                  <w:rFonts w:ascii="Cambria Math" w:hAnsi="Cambria Math"/>
                                </w:rPr>
                                <m:t>λ</m:t>
                              </m:r>
                            </m:e>
                            <m:sub>
                              <m:r>
                                <w:rPr>
                                  <w:rFonts w:ascii="Cambria Math" w:hAnsi="Cambria Math"/>
                                </w:rPr>
                                <m:t>Bi</m:t>
                              </m:r>
                            </m:sub>
                          </m:sSub>
                          <m:r>
                            <w:rPr>
                              <w:rFonts w:ascii="Cambria Math" w:hAnsi="Cambria Math"/>
                            </w:rPr>
                            <m:t>-</m:t>
                          </m:r>
                          <m:sSub>
                            <m:sSubPr>
                              <m:ctrlPr>
                                <w:rPr>
                                  <w:rFonts w:ascii="Cambria Math" w:hAnsi="Cambria Math"/>
                                  <w:i/>
                                </w:rPr>
                              </m:ctrlPr>
                            </m:sSubPr>
                            <m:e>
                              <m:r>
                                <w:rPr>
                                  <w:rFonts w:ascii="Cambria Math" w:hAnsi="Cambria Math"/>
                                </w:rPr>
                                <m:t>λ</m:t>
                              </m:r>
                            </m:e>
                            <m:sub>
                              <m:r>
                                <w:rPr>
                                  <w:rFonts w:ascii="Cambria Math" w:hAnsi="Cambria Math"/>
                                </w:rPr>
                                <m:t>Pb</m:t>
                              </m:r>
                            </m:sub>
                          </m:sSub>
                        </m:e>
                      </m:d>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λ</m:t>
                              </m:r>
                            </m:e>
                            <m:sub>
                              <m:r>
                                <w:rPr>
                                  <w:rFonts w:ascii="Cambria Math" w:hAnsi="Cambria Math"/>
                                </w:rPr>
                                <m:t>Po</m:t>
                              </m:r>
                            </m:sub>
                          </m:sSub>
                          <m:r>
                            <w:rPr>
                              <w:rFonts w:ascii="Cambria Math" w:hAnsi="Cambria Math"/>
                            </w:rPr>
                            <m:t>-</m:t>
                          </m:r>
                          <m:sSub>
                            <m:sSubPr>
                              <m:ctrlPr>
                                <w:rPr>
                                  <w:rFonts w:ascii="Cambria Math" w:hAnsi="Cambria Math"/>
                                  <w:i/>
                                </w:rPr>
                              </m:ctrlPr>
                            </m:sSubPr>
                            <m:e>
                              <m:r>
                                <w:rPr>
                                  <w:rFonts w:ascii="Cambria Math" w:hAnsi="Cambria Math"/>
                                </w:rPr>
                                <m:t>λ</m:t>
                              </m:r>
                            </m:e>
                            <m:sub>
                              <m:r>
                                <w:rPr>
                                  <w:rFonts w:ascii="Cambria Math" w:hAnsi="Cambria Math"/>
                                </w:rPr>
                                <m:t>Pb</m:t>
                              </m:r>
                            </m:sub>
                          </m:sSub>
                        </m:e>
                      </m:d>
                    </m:den>
                  </m:f>
                </m:e>
              </m:d>
              <m:r>
                <w:rPr>
                  <w:rFonts w:ascii="Cambria Math" w:hAnsi="Cambria Math"/>
                </w:rPr>
                <m:t>+</m:t>
              </m:r>
              <m:d>
                <m:dPr>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e</m:t>
                          </m:r>
                        </m:e>
                        <m:sup>
                          <m:r>
                            <w:rPr>
                              <w:rFonts w:ascii="Cambria Math" w:hAnsi="Cambria Math"/>
                            </w:rPr>
                            <m:t>-</m:t>
                          </m:r>
                          <m:sSub>
                            <m:sSubPr>
                              <m:ctrlPr>
                                <w:rPr>
                                  <w:rFonts w:ascii="Cambria Math" w:hAnsi="Cambria Math"/>
                                  <w:i/>
                                </w:rPr>
                              </m:ctrlPr>
                            </m:sSubPr>
                            <m:e>
                              <m:r>
                                <w:rPr>
                                  <w:rFonts w:ascii="Cambria Math" w:hAnsi="Cambria Math"/>
                                </w:rPr>
                                <m:t>λ</m:t>
                              </m:r>
                            </m:e>
                            <m:sub>
                              <m:r>
                                <w:rPr>
                                  <w:rFonts w:ascii="Cambria Math" w:hAnsi="Cambria Math"/>
                                </w:rPr>
                                <m:t>Bi</m:t>
                              </m:r>
                            </m:sub>
                          </m:sSub>
                          <m:r>
                            <w:rPr>
                              <w:rFonts w:ascii="Cambria Math" w:hAnsi="Cambria Math"/>
                            </w:rPr>
                            <m:t>t</m:t>
                          </m:r>
                        </m:sup>
                      </m:sSup>
                    </m:num>
                    <m:den>
                      <m:d>
                        <m:dPr>
                          <m:ctrlPr>
                            <w:rPr>
                              <w:rFonts w:ascii="Cambria Math" w:hAnsi="Cambria Math"/>
                              <w:i/>
                            </w:rPr>
                          </m:ctrlPr>
                        </m:dPr>
                        <m:e>
                          <m:sSub>
                            <m:sSubPr>
                              <m:ctrlPr>
                                <w:rPr>
                                  <w:rFonts w:ascii="Cambria Math" w:hAnsi="Cambria Math"/>
                                  <w:i/>
                                </w:rPr>
                              </m:ctrlPr>
                            </m:sSubPr>
                            <m:e>
                              <m:r>
                                <w:rPr>
                                  <w:rFonts w:ascii="Cambria Math" w:hAnsi="Cambria Math"/>
                                </w:rPr>
                                <m:t>λ</m:t>
                              </m:r>
                            </m:e>
                            <m:sub>
                              <m:r>
                                <w:rPr>
                                  <w:rFonts w:ascii="Cambria Math" w:hAnsi="Cambria Math"/>
                                </w:rPr>
                                <m:t>Pb</m:t>
                              </m:r>
                            </m:sub>
                          </m:sSub>
                          <m:r>
                            <w:rPr>
                              <w:rFonts w:ascii="Cambria Math" w:hAnsi="Cambria Math"/>
                            </w:rPr>
                            <m:t>-</m:t>
                          </m:r>
                          <m:sSub>
                            <m:sSubPr>
                              <m:ctrlPr>
                                <w:rPr>
                                  <w:rFonts w:ascii="Cambria Math" w:hAnsi="Cambria Math"/>
                                  <w:i/>
                                </w:rPr>
                              </m:ctrlPr>
                            </m:sSubPr>
                            <m:e>
                              <m:r>
                                <w:rPr>
                                  <w:rFonts w:ascii="Cambria Math" w:hAnsi="Cambria Math"/>
                                </w:rPr>
                                <m:t>λ</m:t>
                              </m:r>
                            </m:e>
                            <m:sub>
                              <m:r>
                                <w:rPr>
                                  <w:rFonts w:ascii="Cambria Math" w:hAnsi="Cambria Math"/>
                                </w:rPr>
                                <m:t>Bi</m:t>
                              </m:r>
                            </m:sub>
                          </m:sSub>
                        </m:e>
                      </m:d>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λ</m:t>
                              </m:r>
                            </m:e>
                            <m:sub>
                              <m:r>
                                <w:rPr>
                                  <w:rFonts w:ascii="Cambria Math" w:hAnsi="Cambria Math"/>
                                </w:rPr>
                                <m:t>Po</m:t>
                              </m:r>
                            </m:sub>
                          </m:sSub>
                          <m:r>
                            <w:rPr>
                              <w:rFonts w:ascii="Cambria Math" w:hAnsi="Cambria Math"/>
                            </w:rPr>
                            <m:t>-</m:t>
                          </m:r>
                          <m:sSub>
                            <m:sSubPr>
                              <m:ctrlPr>
                                <w:rPr>
                                  <w:rFonts w:ascii="Cambria Math" w:hAnsi="Cambria Math"/>
                                  <w:i/>
                                </w:rPr>
                              </m:ctrlPr>
                            </m:sSubPr>
                            <m:e>
                              <m:r>
                                <w:rPr>
                                  <w:rFonts w:ascii="Cambria Math" w:hAnsi="Cambria Math"/>
                                </w:rPr>
                                <m:t>λ</m:t>
                              </m:r>
                            </m:e>
                            <m:sub>
                              <m:r>
                                <w:rPr>
                                  <w:rFonts w:ascii="Cambria Math" w:hAnsi="Cambria Math"/>
                                </w:rPr>
                                <m:t>Bi</m:t>
                              </m:r>
                            </m:sub>
                          </m:sSub>
                        </m:e>
                      </m:d>
                    </m:den>
                  </m:f>
                </m:e>
              </m:d>
              <m:r>
                <w:rPr>
                  <w:rFonts w:ascii="Cambria Math" w:hAnsi="Cambria Math"/>
                </w:rPr>
                <m:t>+</m:t>
              </m:r>
              <m:d>
                <m:dPr>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e</m:t>
                          </m:r>
                        </m:e>
                        <m:sup>
                          <m:r>
                            <w:rPr>
                              <w:rFonts w:ascii="Cambria Math" w:hAnsi="Cambria Math"/>
                            </w:rPr>
                            <m:t>-</m:t>
                          </m:r>
                          <m:sSub>
                            <m:sSubPr>
                              <m:ctrlPr>
                                <w:rPr>
                                  <w:rFonts w:ascii="Cambria Math" w:hAnsi="Cambria Math"/>
                                  <w:i/>
                                </w:rPr>
                              </m:ctrlPr>
                            </m:sSubPr>
                            <m:e>
                              <m:r>
                                <w:rPr>
                                  <w:rFonts w:ascii="Cambria Math" w:hAnsi="Cambria Math"/>
                                </w:rPr>
                                <m:t>λ</m:t>
                              </m:r>
                            </m:e>
                            <m:sub>
                              <m:r>
                                <w:rPr>
                                  <w:rFonts w:ascii="Cambria Math" w:hAnsi="Cambria Math"/>
                                </w:rPr>
                                <m:t>Po</m:t>
                              </m:r>
                            </m:sub>
                          </m:sSub>
                          <m:r>
                            <w:rPr>
                              <w:rFonts w:ascii="Cambria Math" w:hAnsi="Cambria Math"/>
                            </w:rPr>
                            <m:t>t</m:t>
                          </m:r>
                        </m:sup>
                      </m:sSup>
                    </m:num>
                    <m:den>
                      <m:d>
                        <m:dPr>
                          <m:ctrlPr>
                            <w:rPr>
                              <w:rFonts w:ascii="Cambria Math" w:hAnsi="Cambria Math"/>
                              <w:i/>
                            </w:rPr>
                          </m:ctrlPr>
                        </m:dPr>
                        <m:e>
                          <m:sSub>
                            <m:sSubPr>
                              <m:ctrlPr>
                                <w:rPr>
                                  <w:rFonts w:ascii="Cambria Math" w:hAnsi="Cambria Math"/>
                                  <w:i/>
                                </w:rPr>
                              </m:ctrlPr>
                            </m:sSubPr>
                            <m:e>
                              <m:r>
                                <w:rPr>
                                  <w:rFonts w:ascii="Cambria Math" w:hAnsi="Cambria Math"/>
                                </w:rPr>
                                <m:t>λ</m:t>
                              </m:r>
                            </m:e>
                            <m:sub>
                              <m:r>
                                <w:rPr>
                                  <w:rFonts w:ascii="Cambria Math" w:hAnsi="Cambria Math"/>
                                </w:rPr>
                                <m:t>Bi</m:t>
                              </m:r>
                            </m:sub>
                          </m:sSub>
                          <m:r>
                            <w:rPr>
                              <w:rFonts w:ascii="Cambria Math" w:hAnsi="Cambria Math"/>
                            </w:rPr>
                            <m:t>-</m:t>
                          </m:r>
                          <m:sSub>
                            <m:sSubPr>
                              <m:ctrlPr>
                                <w:rPr>
                                  <w:rFonts w:ascii="Cambria Math" w:hAnsi="Cambria Math"/>
                                  <w:i/>
                                </w:rPr>
                              </m:ctrlPr>
                            </m:sSubPr>
                            <m:e>
                              <m:r>
                                <w:rPr>
                                  <w:rFonts w:ascii="Cambria Math" w:hAnsi="Cambria Math"/>
                                </w:rPr>
                                <m:t>λ</m:t>
                              </m:r>
                            </m:e>
                            <m:sub>
                              <m:r>
                                <w:rPr>
                                  <w:rFonts w:ascii="Cambria Math" w:hAnsi="Cambria Math"/>
                                </w:rPr>
                                <m:t>Po</m:t>
                              </m:r>
                            </m:sub>
                          </m:sSub>
                        </m:e>
                      </m:d>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λ</m:t>
                              </m:r>
                            </m:e>
                            <m:sub>
                              <m:r>
                                <w:rPr>
                                  <w:rFonts w:ascii="Cambria Math" w:hAnsi="Cambria Math"/>
                                </w:rPr>
                                <m:t>Pb</m:t>
                              </m:r>
                            </m:sub>
                          </m:sSub>
                          <m:r>
                            <w:rPr>
                              <w:rFonts w:ascii="Cambria Math" w:hAnsi="Cambria Math"/>
                            </w:rPr>
                            <m:t>-</m:t>
                          </m:r>
                          <m:sSub>
                            <m:sSubPr>
                              <m:ctrlPr>
                                <w:rPr>
                                  <w:rFonts w:ascii="Cambria Math" w:hAnsi="Cambria Math"/>
                                  <w:i/>
                                </w:rPr>
                              </m:ctrlPr>
                            </m:sSubPr>
                            <m:e>
                              <m:r>
                                <w:rPr>
                                  <w:rFonts w:ascii="Cambria Math" w:hAnsi="Cambria Math"/>
                                </w:rPr>
                                <m:t>λ</m:t>
                              </m:r>
                            </m:e>
                            <m:sub>
                              <m:r>
                                <w:rPr>
                                  <w:rFonts w:ascii="Cambria Math" w:hAnsi="Cambria Math"/>
                                </w:rPr>
                                <m:t>Po</m:t>
                              </m:r>
                            </m:sub>
                          </m:sSub>
                        </m:e>
                      </m:d>
                    </m:den>
                  </m:f>
                </m:e>
              </m:d>
            </m:e>
          </m:d>
        </m:oMath>
      </m:oMathPara>
    </w:p>
    <w:p w:rsidR="0095780A" w:rsidRDefault="0095780A" w:rsidP="0095780A">
      <w:r>
        <w:t>Where:</w:t>
      </w:r>
    </w:p>
    <w:p w:rsidR="0095780A" w:rsidRDefault="0095780A" w:rsidP="0095780A">
      <w:pPr>
        <w:rPr>
          <w:i/>
        </w:rPr>
      </w:pPr>
      <w:r w:rsidRPr="005F4AE5">
        <w:rPr>
          <w:i/>
          <w:sz w:val="32"/>
        </w:rPr>
        <w:t>ε</w:t>
      </w:r>
      <w:r w:rsidRPr="00946AF9">
        <w:rPr>
          <w:i/>
          <w:snapToGrid w:val="0"/>
          <w:color w:val="000000"/>
          <w:position w:val="-6"/>
          <w:sz w:val="20"/>
          <w:szCs w:val="0"/>
          <w:u w:color="000000"/>
        </w:rPr>
        <w:t>Combined</w:t>
      </w:r>
      <w:r w:rsidRPr="00946AF9">
        <w:rPr>
          <w:i/>
          <w:sz w:val="32"/>
        </w:rPr>
        <w:t xml:space="preserve"> </w:t>
      </w:r>
      <w:r>
        <w:t xml:space="preserve">= The summed relative efficiencies of </w:t>
      </w:r>
      <w:r w:rsidRPr="00CA543C">
        <w:rPr>
          <w:snapToGrid w:val="0"/>
          <w:color w:val="000000"/>
          <w:position w:val="6"/>
          <w:sz w:val="16"/>
          <w:szCs w:val="0"/>
          <w:u w:color="000000"/>
        </w:rPr>
        <w:t>210</w:t>
      </w:r>
      <w:r>
        <w:t xml:space="preserve">Bi, </w:t>
      </w:r>
      <w:r w:rsidRPr="00CA543C">
        <w:rPr>
          <w:snapToGrid w:val="0"/>
          <w:color w:val="000000"/>
          <w:position w:val="6"/>
          <w:sz w:val="16"/>
          <w:szCs w:val="0"/>
          <w:u w:color="000000"/>
        </w:rPr>
        <w:t>210</w:t>
      </w:r>
      <w:r>
        <w:t xml:space="preserve">Pb and </w:t>
      </w:r>
      <w:r w:rsidRPr="00CA543C">
        <w:rPr>
          <w:snapToGrid w:val="0"/>
          <w:color w:val="000000"/>
          <w:position w:val="6"/>
          <w:sz w:val="16"/>
          <w:szCs w:val="0"/>
          <w:u w:color="000000"/>
        </w:rPr>
        <w:t>210</w:t>
      </w:r>
      <w:r>
        <w:t xml:space="preserve">Po at time </w:t>
      </w:r>
      <w:r w:rsidRPr="00CA543C">
        <w:rPr>
          <w:i/>
        </w:rPr>
        <w:t>t</w:t>
      </w:r>
    </w:p>
    <w:p w:rsidR="0095780A" w:rsidRPr="00CA543C" w:rsidRDefault="0095780A" w:rsidP="0095780A">
      <w:r>
        <w:rPr>
          <w:i/>
        </w:rPr>
        <w:t xml:space="preserve">t </w:t>
      </w:r>
      <w:r w:rsidRPr="005F4AE5">
        <w:t>= The</w:t>
      </w:r>
      <w:r>
        <w:t xml:space="preserve"> time since </w:t>
      </w:r>
      <w:r w:rsidR="00DB29F1" w:rsidRPr="00DB29F1">
        <w:rPr>
          <w:snapToGrid w:val="0"/>
          <w:color w:val="000000"/>
          <w:position w:val="6"/>
          <w:sz w:val="16"/>
          <w:szCs w:val="0"/>
          <w:u w:color="000000"/>
        </w:rPr>
        <w:t>210</w:t>
      </w:r>
      <w:r w:rsidR="00886F46">
        <w:t xml:space="preserve">Pb </w:t>
      </w:r>
      <w:r>
        <w:t>separation (days)</w:t>
      </w:r>
    </w:p>
    <w:p w:rsidR="0095780A" w:rsidRDefault="0095780A" w:rsidP="0095780A">
      <w:r w:rsidRPr="005F4AE5">
        <w:rPr>
          <w:i/>
          <w:sz w:val="32"/>
        </w:rPr>
        <w:t>ε</w:t>
      </w:r>
      <w:r w:rsidRPr="00946AF9">
        <w:rPr>
          <w:rFonts w:ascii="Calibri" w:hAnsi="Calibri"/>
          <w:i/>
          <w:snapToGrid w:val="0"/>
          <w:color w:val="000000"/>
          <w:position w:val="-5"/>
          <w:sz w:val="14"/>
          <w:szCs w:val="0"/>
          <w:u w:color="000000"/>
        </w:rPr>
        <w:t>Pb</w:t>
      </w:r>
      <w:r>
        <w:rPr>
          <w:snapToGrid w:val="0"/>
          <w:color w:val="000000"/>
          <w:szCs w:val="0"/>
          <w:u w:color="000000"/>
        </w:rPr>
        <w:t xml:space="preserve"> = The relative efficiency of  </w:t>
      </w:r>
      <w:r w:rsidRPr="00CA543C">
        <w:rPr>
          <w:snapToGrid w:val="0"/>
          <w:color w:val="000000"/>
          <w:position w:val="6"/>
          <w:sz w:val="16"/>
          <w:szCs w:val="0"/>
          <w:u w:color="000000"/>
        </w:rPr>
        <w:t>210</w:t>
      </w:r>
      <w:r>
        <w:t xml:space="preserve">Pb. This is set at </w:t>
      </w:r>
      <w:r w:rsidR="00CD4949">
        <w:t>0.70</w:t>
      </w:r>
      <w:r>
        <w:t xml:space="preserve"> for days 0–21 and </w:t>
      </w:r>
      <w:r w:rsidR="00CD4949">
        <w:t>0.73</w:t>
      </w:r>
      <w:r>
        <w:t xml:space="preserve"> thereafter</w:t>
      </w:r>
    </w:p>
    <w:p w:rsidR="0095780A" w:rsidRDefault="0095780A" w:rsidP="0095780A">
      <w:r w:rsidRPr="005F4AE5">
        <w:rPr>
          <w:i/>
          <w:sz w:val="32"/>
        </w:rPr>
        <w:t>ε</w:t>
      </w:r>
      <w:r w:rsidRPr="005F4AE5">
        <w:rPr>
          <w:i/>
          <w:snapToGrid w:val="0"/>
          <w:color w:val="000000"/>
          <w:position w:val="-8"/>
          <w:sz w:val="21"/>
          <w:szCs w:val="0"/>
          <w:u w:color="000000"/>
        </w:rPr>
        <w:t>Bi</w:t>
      </w:r>
      <w:r w:rsidRPr="005F4AE5">
        <w:rPr>
          <w:i/>
          <w:sz w:val="32"/>
        </w:rPr>
        <w:t xml:space="preserve"> </w:t>
      </w:r>
      <w:r>
        <w:rPr>
          <w:snapToGrid w:val="0"/>
          <w:color w:val="000000"/>
          <w:szCs w:val="0"/>
          <w:u w:color="000000"/>
        </w:rPr>
        <w:t xml:space="preserve">= The relative efficiency of </w:t>
      </w:r>
      <w:r w:rsidRPr="00CA543C">
        <w:rPr>
          <w:snapToGrid w:val="0"/>
          <w:color w:val="000000"/>
          <w:position w:val="6"/>
          <w:sz w:val="16"/>
          <w:szCs w:val="0"/>
          <w:u w:color="000000"/>
        </w:rPr>
        <w:t>210</w:t>
      </w:r>
      <w:r>
        <w:t xml:space="preserve">Bi. This is set at </w:t>
      </w:r>
      <w:r w:rsidR="00CD4949">
        <w:t>0.</w:t>
      </w:r>
      <w:r>
        <w:t>85</w:t>
      </w:r>
      <w:r w:rsidR="00125B68">
        <w:t xml:space="preserve"> (0.8 for samples aged over 25 days</w:t>
      </w:r>
      <w:r w:rsidR="00E76D2D">
        <w:t>, see below for details)</w:t>
      </w:r>
    </w:p>
    <w:p w:rsidR="0095780A" w:rsidRDefault="0095780A" w:rsidP="0095780A">
      <w:r w:rsidRPr="005F4AE5">
        <w:rPr>
          <w:i/>
          <w:sz w:val="32"/>
        </w:rPr>
        <w:t>ε</w:t>
      </w:r>
      <w:r w:rsidRPr="005F4AE5">
        <w:rPr>
          <w:i/>
          <w:snapToGrid w:val="0"/>
          <w:color w:val="000000"/>
          <w:position w:val="-8"/>
          <w:sz w:val="21"/>
          <w:szCs w:val="0"/>
          <w:u w:color="000000"/>
        </w:rPr>
        <w:t>Bi</w:t>
      </w:r>
      <w:r w:rsidRPr="005F4AE5">
        <w:rPr>
          <w:i/>
          <w:sz w:val="32"/>
        </w:rPr>
        <w:t xml:space="preserve"> </w:t>
      </w:r>
      <w:r w:rsidRPr="005F4AE5">
        <w:rPr>
          <w:snapToGrid w:val="0"/>
          <w:color w:val="000000"/>
          <w:szCs w:val="0"/>
          <w:u w:color="000000"/>
        </w:rPr>
        <w:t>=</w:t>
      </w:r>
      <w:r>
        <w:rPr>
          <w:snapToGrid w:val="0"/>
          <w:color w:val="000000"/>
          <w:szCs w:val="0"/>
          <w:u w:color="000000"/>
        </w:rPr>
        <w:t xml:space="preserve"> The relative efficiency of  </w:t>
      </w:r>
      <w:r w:rsidRPr="00CA543C">
        <w:rPr>
          <w:snapToGrid w:val="0"/>
          <w:color w:val="000000"/>
          <w:position w:val="6"/>
          <w:sz w:val="16"/>
          <w:szCs w:val="0"/>
          <w:u w:color="000000"/>
        </w:rPr>
        <w:t>210</w:t>
      </w:r>
      <w:r>
        <w:t>Po. This is set at 1</w:t>
      </w:r>
    </w:p>
    <w:p w:rsidR="0095780A" w:rsidRDefault="0095780A" w:rsidP="0095780A">
      <w:r w:rsidRPr="005F4AE5">
        <w:rPr>
          <w:i/>
          <w:sz w:val="32"/>
        </w:rPr>
        <w:t>λ</w:t>
      </w:r>
      <w:r w:rsidRPr="005F4AE5">
        <w:rPr>
          <w:i/>
          <w:snapToGrid w:val="0"/>
          <w:color w:val="000000"/>
          <w:position w:val="-8"/>
          <w:sz w:val="21"/>
          <w:szCs w:val="0"/>
          <w:u w:color="000000"/>
        </w:rPr>
        <w:t>Bi</w:t>
      </w:r>
      <w:r w:rsidRPr="005F4AE5">
        <w:t xml:space="preserve"> </w:t>
      </w:r>
      <w:r w:rsidRPr="005F4AE5">
        <w:rPr>
          <w:snapToGrid w:val="0"/>
          <w:color w:val="000000"/>
          <w:szCs w:val="0"/>
          <w:u w:color="000000"/>
        </w:rPr>
        <w:t>=</w:t>
      </w:r>
      <w:r>
        <w:rPr>
          <w:snapToGrid w:val="0"/>
          <w:color w:val="000000"/>
          <w:szCs w:val="0"/>
          <w:u w:color="000000"/>
        </w:rPr>
        <w:t xml:space="preserve"> The decay constant of </w:t>
      </w:r>
      <w:r w:rsidRPr="00CA543C">
        <w:rPr>
          <w:snapToGrid w:val="0"/>
          <w:color w:val="000000"/>
          <w:position w:val="6"/>
          <w:sz w:val="16"/>
          <w:szCs w:val="0"/>
          <w:u w:color="000000"/>
        </w:rPr>
        <w:t>210</w:t>
      </w:r>
      <w:r>
        <w:t>Bi</w:t>
      </w:r>
    </w:p>
    <w:p w:rsidR="0095780A" w:rsidRDefault="0095780A" w:rsidP="0095780A">
      <w:r w:rsidRPr="005F4AE5">
        <w:rPr>
          <w:i/>
          <w:sz w:val="32"/>
        </w:rPr>
        <w:t>λ</w:t>
      </w:r>
      <w:r>
        <w:rPr>
          <w:i/>
          <w:snapToGrid w:val="0"/>
          <w:color w:val="000000"/>
          <w:position w:val="-8"/>
          <w:sz w:val="21"/>
          <w:szCs w:val="0"/>
          <w:u w:color="000000"/>
        </w:rPr>
        <w:t>Pb</w:t>
      </w:r>
      <w:r w:rsidRPr="005F4AE5">
        <w:t xml:space="preserve"> </w:t>
      </w:r>
      <w:r w:rsidRPr="005F4AE5">
        <w:rPr>
          <w:snapToGrid w:val="0"/>
          <w:color w:val="000000"/>
          <w:szCs w:val="0"/>
          <w:u w:color="000000"/>
        </w:rPr>
        <w:t>=</w:t>
      </w:r>
      <w:r>
        <w:rPr>
          <w:snapToGrid w:val="0"/>
          <w:color w:val="000000"/>
          <w:szCs w:val="0"/>
          <w:u w:color="000000"/>
        </w:rPr>
        <w:t xml:space="preserve"> The decay constant of </w:t>
      </w:r>
      <w:r w:rsidRPr="00CA543C">
        <w:rPr>
          <w:snapToGrid w:val="0"/>
          <w:color w:val="000000"/>
          <w:position w:val="6"/>
          <w:sz w:val="16"/>
          <w:szCs w:val="0"/>
          <w:u w:color="000000"/>
        </w:rPr>
        <w:t>210</w:t>
      </w:r>
      <w:r>
        <w:t>Pb</w:t>
      </w:r>
    </w:p>
    <w:p w:rsidR="0095780A" w:rsidRDefault="0095780A" w:rsidP="0095780A">
      <w:r w:rsidRPr="005F4AE5">
        <w:rPr>
          <w:i/>
          <w:sz w:val="32"/>
        </w:rPr>
        <w:t>λ</w:t>
      </w:r>
      <w:r>
        <w:rPr>
          <w:i/>
          <w:snapToGrid w:val="0"/>
          <w:color w:val="000000"/>
          <w:position w:val="-8"/>
          <w:sz w:val="21"/>
          <w:szCs w:val="0"/>
          <w:u w:color="000000"/>
        </w:rPr>
        <w:t>Po</w:t>
      </w:r>
      <w:r>
        <w:rPr>
          <w:snapToGrid w:val="0"/>
          <w:color w:val="000000"/>
          <w:szCs w:val="0"/>
          <w:u w:color="000000"/>
        </w:rPr>
        <w:t xml:space="preserve"> = The decay constant of </w:t>
      </w:r>
      <w:r w:rsidRPr="00CA543C">
        <w:rPr>
          <w:snapToGrid w:val="0"/>
          <w:color w:val="000000"/>
          <w:position w:val="6"/>
          <w:sz w:val="16"/>
          <w:szCs w:val="0"/>
          <w:u w:color="000000"/>
        </w:rPr>
        <w:t>210</w:t>
      </w:r>
      <w:r>
        <w:t>Po</w:t>
      </w:r>
    </w:p>
    <w:p w:rsidR="0095780A" w:rsidRDefault="0095780A" w:rsidP="004333AF"/>
    <w:p w:rsidR="00053093" w:rsidRDefault="00613646" w:rsidP="004333AF">
      <w:r>
        <w:t>The aged standards showed a deterioration of relative efficiency over time, though measurements up to 250 days after cocktail preparation display repeatable and stable measurements</w:t>
      </w:r>
      <w:r w:rsidR="00E76D2D">
        <w:t xml:space="preserve"> if a correction is applied to the </w:t>
      </w:r>
      <w:r w:rsidR="00053093">
        <w:t xml:space="preserve">relative </w:t>
      </w:r>
      <w:r w:rsidR="00E76D2D">
        <w:t xml:space="preserve">efficiency </w:t>
      </w:r>
      <w:r w:rsidR="00125B68">
        <w:t>for</w:t>
      </w:r>
      <w:r w:rsidR="00E76D2D">
        <w:t xml:space="preserve"> </w:t>
      </w:r>
      <w:r w:rsidR="00E76D2D" w:rsidRPr="007F5C43">
        <w:rPr>
          <w:snapToGrid w:val="0"/>
          <w:color w:val="000000"/>
          <w:position w:val="6"/>
          <w:sz w:val="16"/>
          <w:szCs w:val="0"/>
          <w:u w:color="000000"/>
        </w:rPr>
        <w:t>210</w:t>
      </w:r>
      <w:r w:rsidR="00E76D2D">
        <w:t>Bi</w:t>
      </w:r>
      <w:r w:rsidR="005921BA">
        <w:t>.</w:t>
      </w:r>
      <w:r>
        <w:t xml:space="preserve"> </w:t>
      </w:r>
    </w:p>
    <w:p w:rsidR="00D717FA" w:rsidRDefault="004333AF" w:rsidP="004333AF">
      <w:r>
        <w:t xml:space="preserve">The </w:t>
      </w:r>
      <w:r w:rsidR="00886F46">
        <w:t xml:space="preserve">deterioration </w:t>
      </w:r>
      <w:r>
        <w:t xml:space="preserve">in efficiency between fresh and aged standards does not appear to be related to the 11–22 keV </w:t>
      </w:r>
      <w:r w:rsidRPr="00F539E2">
        <w:rPr>
          <w:snapToGrid w:val="0"/>
          <w:color w:val="000000"/>
          <w:position w:val="6"/>
          <w:sz w:val="16"/>
          <w:szCs w:val="0"/>
          <w:u w:color="000000"/>
        </w:rPr>
        <w:t>210</w:t>
      </w:r>
      <w:r w:rsidR="00E63961">
        <w:t xml:space="preserve">Pb window as there is </w:t>
      </w:r>
      <w:r>
        <w:t xml:space="preserve">no discernible </w:t>
      </w:r>
      <w:r w:rsidR="00886F46">
        <w:t xml:space="preserve">difference </w:t>
      </w:r>
      <w:r>
        <w:t xml:space="preserve">in efficiency in this peak </w:t>
      </w:r>
      <w:r w:rsidR="00886F46">
        <w:t>between fresh and aged standards</w:t>
      </w:r>
      <w:r>
        <w:t xml:space="preserve">. </w:t>
      </w:r>
      <w:r w:rsidR="00886F46">
        <w:t xml:space="preserve">Consequently, </w:t>
      </w:r>
      <w:r>
        <w:t>the decrease can be attributed</w:t>
      </w:r>
      <w:r w:rsidR="00886F46">
        <w:t xml:space="preserve"> to</w:t>
      </w:r>
      <w:r>
        <w:t xml:space="preserve"> a combination of </w:t>
      </w:r>
      <w:r w:rsidRPr="00896DE7">
        <w:rPr>
          <w:snapToGrid w:val="0"/>
          <w:color w:val="000000"/>
          <w:position w:val="6"/>
          <w:sz w:val="16"/>
          <w:szCs w:val="0"/>
          <w:u w:color="000000"/>
        </w:rPr>
        <w:t>210</w:t>
      </w:r>
      <w:r>
        <w:t xml:space="preserve">Bi and </w:t>
      </w:r>
      <w:r w:rsidRPr="006E35A1">
        <w:rPr>
          <w:snapToGrid w:val="0"/>
          <w:color w:val="000000"/>
          <w:position w:val="6"/>
          <w:sz w:val="16"/>
          <w:szCs w:val="0"/>
          <w:u w:color="000000"/>
        </w:rPr>
        <w:t>210</w:t>
      </w:r>
      <w:r>
        <w:t xml:space="preserve">Po </w:t>
      </w:r>
      <w:r w:rsidR="00886F46">
        <w:t>but</w:t>
      </w:r>
      <w:r w:rsidR="00053093">
        <w:t>,</w:t>
      </w:r>
      <w:r w:rsidR="00886F46">
        <w:t xml:space="preserve"> </w:t>
      </w:r>
      <w:r>
        <w:t>due to overlapping peak areas</w:t>
      </w:r>
      <w:r w:rsidR="00886F46">
        <w:t>,</w:t>
      </w:r>
      <w:r>
        <w:t xml:space="preserve"> it is not possible to accurately determine the relative decrease in efficiency for the individual isotopes. </w:t>
      </w:r>
      <w:r w:rsidR="00D717FA">
        <w:t xml:space="preserve">As the </w:t>
      </w:r>
      <w:r w:rsidR="00D717FA" w:rsidRPr="00F539E2">
        <w:rPr>
          <w:snapToGrid w:val="0"/>
          <w:color w:val="000000"/>
          <w:position w:val="6"/>
          <w:sz w:val="16"/>
          <w:szCs w:val="0"/>
          <w:u w:color="000000"/>
        </w:rPr>
        <w:t>210</w:t>
      </w:r>
      <w:r w:rsidR="00D717FA">
        <w:t>Pb count window is not affected</w:t>
      </w:r>
      <w:r w:rsidR="00D64F8C">
        <w:t xml:space="preserve"> it is unlikely to be due to quenching.</w:t>
      </w:r>
      <w:r w:rsidR="00D717FA">
        <w:t xml:space="preserve"> </w:t>
      </w:r>
      <w:r w:rsidR="00D64F8C">
        <w:t xml:space="preserve">A </w:t>
      </w:r>
      <w:r w:rsidR="00D717FA">
        <w:t xml:space="preserve">possible explanation for the </w:t>
      </w:r>
      <w:r w:rsidR="00886F46">
        <w:t xml:space="preserve">deterioration in </w:t>
      </w:r>
      <w:r w:rsidR="00D717FA">
        <w:t xml:space="preserve">efficiency in the aged standards may be due to </w:t>
      </w:r>
      <w:r w:rsidR="00D64F8C">
        <w:t xml:space="preserve">a delay in diffusion of </w:t>
      </w:r>
      <w:r w:rsidR="00D717FA">
        <w:t xml:space="preserve">the daughter nuclides </w:t>
      </w:r>
      <w:r w:rsidR="00D64F8C">
        <w:t>(</w:t>
      </w:r>
      <w:r w:rsidR="00D64F8C" w:rsidRPr="00D64F8C">
        <w:rPr>
          <w:snapToGrid w:val="0"/>
          <w:color w:val="000000"/>
          <w:position w:val="6"/>
          <w:sz w:val="16"/>
          <w:szCs w:val="0"/>
          <w:u w:color="000000"/>
        </w:rPr>
        <w:t>210</w:t>
      </w:r>
      <w:r w:rsidR="00D64F8C">
        <w:t xml:space="preserve">Bi and </w:t>
      </w:r>
      <w:r w:rsidR="00D64F8C" w:rsidRPr="00D64F8C">
        <w:rPr>
          <w:snapToGrid w:val="0"/>
          <w:color w:val="000000"/>
          <w:position w:val="6"/>
          <w:sz w:val="16"/>
          <w:szCs w:val="0"/>
          <w:u w:color="000000"/>
        </w:rPr>
        <w:t>210</w:t>
      </w:r>
      <w:r w:rsidR="00D64F8C">
        <w:t xml:space="preserve">Po) </w:t>
      </w:r>
      <w:r w:rsidR="00D717FA">
        <w:t>in</w:t>
      </w:r>
      <w:r w:rsidR="00D64F8C">
        <w:t>to</w:t>
      </w:r>
      <w:r w:rsidR="00D717FA">
        <w:t xml:space="preserve"> the scintillant cocktail after initial preparation, rather than </w:t>
      </w:r>
      <w:r w:rsidR="00925907">
        <w:t>a change in the properties</w:t>
      </w:r>
      <w:r w:rsidR="00D717FA">
        <w:t xml:space="preserve"> of the scintillation cocktail.</w:t>
      </w:r>
    </w:p>
    <w:p w:rsidR="0095780A" w:rsidRPr="00983083" w:rsidRDefault="0095780A" w:rsidP="004333AF">
      <w:r>
        <w:t xml:space="preserve">Data for </w:t>
      </w:r>
      <w:r w:rsidRPr="0095780A">
        <w:rPr>
          <w:snapToGrid w:val="0"/>
          <w:color w:val="000000"/>
          <w:position w:val="6"/>
          <w:sz w:val="16"/>
          <w:szCs w:val="0"/>
          <w:u w:color="000000"/>
        </w:rPr>
        <w:t>210</w:t>
      </w:r>
      <w:r>
        <w:t>Bi efficiency in the aged standards for the same date range (36–105 days) as used for the fresh standards shows</w:t>
      </w:r>
      <w:r w:rsidR="00A50834" w:rsidRPr="00A50834">
        <w:t xml:space="preserve"> </w:t>
      </w:r>
      <w:r w:rsidR="00A50834">
        <w:t>a 5% reduction</w:t>
      </w:r>
      <w:r>
        <w:t xml:space="preserve"> </w:t>
      </w:r>
      <w:r w:rsidR="00A50834">
        <w:t>in</w:t>
      </w:r>
      <w:r>
        <w:t xml:space="preserve"> counting efficiency </w:t>
      </w:r>
      <w:r w:rsidR="00A50834">
        <w:t>to</w:t>
      </w:r>
      <w:r>
        <w:t xml:space="preserve"> 80±1%,. Assuming 80% as the efficiency for </w:t>
      </w:r>
      <w:r w:rsidRPr="0095780A">
        <w:rPr>
          <w:snapToGrid w:val="0"/>
          <w:color w:val="000000"/>
          <w:position w:val="6"/>
          <w:sz w:val="16"/>
          <w:szCs w:val="0"/>
          <w:u w:color="000000"/>
        </w:rPr>
        <w:t>210</w:t>
      </w:r>
      <w:r>
        <w:t xml:space="preserve">Bi, with all other parameters the same as for the fresh standards, combined efficiencies for </w:t>
      </w:r>
      <w:r w:rsidR="003C6A23">
        <w:t xml:space="preserve">aged </w:t>
      </w:r>
      <w:r>
        <w:t xml:space="preserve">standards at different stages of ingrowth were calculated using </w:t>
      </w:r>
      <w:r w:rsidRPr="00983083">
        <w:t xml:space="preserve">equation </w:t>
      </w:r>
      <w:r w:rsidR="00A2345A">
        <w:t>4</w:t>
      </w:r>
      <w:r w:rsidR="00A2345A" w:rsidRPr="00983083">
        <w:t xml:space="preserve"> </w:t>
      </w:r>
      <w:r w:rsidR="00053093" w:rsidRPr="00983083">
        <w:t>and</w:t>
      </w:r>
      <w:r w:rsidRPr="00983083">
        <w:t xml:space="preserve"> results are shown in Figure </w:t>
      </w:r>
      <w:r w:rsidR="00451D73" w:rsidRPr="00983083">
        <w:t>17</w:t>
      </w:r>
      <w:r w:rsidRPr="00983083">
        <w:t>.</w:t>
      </w:r>
    </w:p>
    <w:p w:rsidR="0095780A" w:rsidRDefault="00ED7922" w:rsidP="004333AF">
      <w:r w:rsidRPr="00ED7922">
        <w:rPr>
          <w:noProof/>
          <w:lang w:eastAsia="en-AU"/>
        </w:rPr>
        <w:drawing>
          <wp:inline distT="0" distB="0" distL="0" distR="0" wp14:anchorId="7A519B63" wp14:editId="7A519B64">
            <wp:extent cx="5274310" cy="4246595"/>
            <wp:effectExtent l="19050" t="0" r="2540" b="0"/>
            <wp:docPr id="3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3" cstate="print"/>
                    <a:srcRect/>
                    <a:stretch>
                      <a:fillRect/>
                    </a:stretch>
                  </pic:blipFill>
                  <pic:spPr bwMode="auto">
                    <a:xfrm>
                      <a:off x="0" y="0"/>
                      <a:ext cx="5274310" cy="4246595"/>
                    </a:xfrm>
                    <a:prstGeom prst="rect">
                      <a:avLst/>
                    </a:prstGeom>
                    <a:noFill/>
                    <a:ln w="9525">
                      <a:noFill/>
                      <a:miter lim="800000"/>
                      <a:headEnd/>
                      <a:tailEnd/>
                    </a:ln>
                  </pic:spPr>
                </pic:pic>
              </a:graphicData>
            </a:graphic>
          </wp:inline>
        </w:drawing>
      </w:r>
    </w:p>
    <w:p w:rsidR="00E55F85" w:rsidRPr="001F2DF9" w:rsidRDefault="00E55F85" w:rsidP="00E55F85">
      <w:pPr>
        <w:jc w:val="center"/>
        <w:rPr>
          <w:rFonts w:ascii="Arial" w:hAnsi="Arial"/>
          <w:sz w:val="18"/>
        </w:rPr>
      </w:pPr>
      <w:r w:rsidRPr="00983083">
        <w:rPr>
          <w:rFonts w:ascii="Arial" w:hAnsi="Arial"/>
          <w:b/>
          <w:sz w:val="18"/>
        </w:rPr>
        <w:t xml:space="preserve">Figure </w:t>
      </w:r>
      <w:r w:rsidR="00451D73" w:rsidRPr="00983083">
        <w:rPr>
          <w:rFonts w:ascii="Arial" w:hAnsi="Arial"/>
          <w:b/>
          <w:sz w:val="18"/>
        </w:rPr>
        <w:t>17</w:t>
      </w:r>
      <w:r w:rsidR="00451D73" w:rsidRPr="00983083">
        <w:rPr>
          <w:rFonts w:ascii="Arial" w:hAnsi="Arial"/>
          <w:sz w:val="18"/>
        </w:rPr>
        <w:t xml:space="preserve">  </w:t>
      </w:r>
      <w:r w:rsidRPr="00983083">
        <w:rPr>
          <w:rFonts w:ascii="Arial" w:hAnsi="Arial"/>
          <w:sz w:val="18"/>
        </w:rPr>
        <w:t>Measured</w:t>
      </w:r>
      <w:r>
        <w:rPr>
          <w:rFonts w:ascii="Arial" w:hAnsi="Arial"/>
          <w:sz w:val="18"/>
        </w:rPr>
        <w:t xml:space="preserve"> and predicted combined efficiencies in aged standards</w:t>
      </w:r>
    </w:p>
    <w:p w:rsidR="00E55F85" w:rsidRDefault="00E55F85" w:rsidP="004333AF"/>
    <w:p w:rsidR="00841E35" w:rsidRPr="00983083" w:rsidRDefault="00053093" w:rsidP="00841E35">
      <w:r>
        <w:t xml:space="preserve">The relative efficiencies for the fresh and aged standards with the corrected </w:t>
      </w:r>
      <w:r w:rsidRPr="00053093">
        <w:rPr>
          <w:snapToGrid w:val="0"/>
          <w:color w:val="000000"/>
          <w:position w:val="6"/>
          <w:sz w:val="16"/>
          <w:szCs w:val="0"/>
          <w:u w:color="000000"/>
        </w:rPr>
        <w:t>210</w:t>
      </w:r>
      <w:r>
        <w:t xml:space="preserve">Bi efficiency </w:t>
      </w:r>
      <w:r w:rsidR="00125B68">
        <w:t xml:space="preserve">show good agreement and therefore an efficiency for </w:t>
      </w:r>
      <w:r w:rsidR="00125B68" w:rsidRPr="00125B68">
        <w:rPr>
          <w:snapToGrid w:val="0"/>
          <w:color w:val="000000"/>
          <w:position w:val="6"/>
          <w:sz w:val="16"/>
          <w:szCs w:val="0"/>
          <w:u w:color="000000"/>
        </w:rPr>
        <w:t>210</w:t>
      </w:r>
      <w:r w:rsidR="00125B68">
        <w:t xml:space="preserve">Bi of 0.8 is used for samples aged greater than 25 days. The </w:t>
      </w:r>
      <w:r>
        <w:t xml:space="preserve">limitation of </w:t>
      </w:r>
      <w:r w:rsidR="00125B68">
        <w:t xml:space="preserve">25 days is </w:t>
      </w:r>
      <w:r>
        <w:t xml:space="preserve">recommended as </w:t>
      </w:r>
      <w:r w:rsidR="00125B68">
        <w:t>t</w:t>
      </w:r>
      <w:r w:rsidR="00841E35">
        <w:t>he counting efficiency</w:t>
      </w:r>
      <w:r w:rsidRPr="00053093">
        <w:t xml:space="preserve"> </w:t>
      </w:r>
      <w:r>
        <w:t xml:space="preserve">of </w:t>
      </w:r>
      <w:r w:rsidRPr="00B47606">
        <w:rPr>
          <w:snapToGrid w:val="0"/>
          <w:color w:val="000000"/>
          <w:position w:val="6"/>
          <w:sz w:val="16"/>
          <w:szCs w:val="0"/>
          <w:u w:color="000000"/>
        </w:rPr>
        <w:t>210</w:t>
      </w:r>
      <w:r>
        <w:t xml:space="preserve">Bi </w:t>
      </w:r>
      <w:r w:rsidR="00841E35">
        <w:t xml:space="preserve"> </w:t>
      </w:r>
      <w:r w:rsidR="00C56AF5">
        <w:t xml:space="preserve">in fresh standards </w:t>
      </w:r>
      <w:r w:rsidR="00125B68">
        <w:t>was</w:t>
      </w:r>
      <w:r w:rsidR="00C56AF5">
        <w:t xml:space="preserve"> </w:t>
      </w:r>
      <w:r w:rsidR="00841E35">
        <w:t xml:space="preserve">also lower than </w:t>
      </w:r>
      <w:r w:rsidR="00C56AF5">
        <w:t>the</w:t>
      </w:r>
      <w:r w:rsidR="00841E35">
        <w:t xml:space="preserve"> 85%</w:t>
      </w:r>
      <w:r w:rsidR="00C56AF5">
        <w:t xml:space="preserve"> predicted</w:t>
      </w:r>
      <w:r w:rsidR="006F71AD">
        <w:t xml:space="preserve">, taking </w:t>
      </w:r>
      <w:r w:rsidR="00841E35">
        <w:t xml:space="preserve">~25 days to reach the maximum </w:t>
      </w:r>
      <w:r w:rsidR="006F71AD">
        <w:t xml:space="preserve">determined efficiency </w:t>
      </w:r>
      <w:r w:rsidR="00841E35">
        <w:t>(</w:t>
      </w:r>
      <w:r w:rsidR="00841E35" w:rsidRPr="00983083">
        <w:t xml:space="preserve">figure </w:t>
      </w:r>
      <w:r w:rsidR="00451D73" w:rsidRPr="00983083">
        <w:t>18</w:t>
      </w:r>
      <w:r w:rsidR="00841E35" w:rsidRPr="00983083">
        <w:t xml:space="preserve">). </w:t>
      </w:r>
      <w:r w:rsidR="006F71AD" w:rsidRPr="00983083">
        <w:t>The</w:t>
      </w:r>
      <w:r w:rsidR="006F71AD">
        <w:t xml:space="preserve"> relative efficiency of </w:t>
      </w:r>
      <w:r w:rsidR="006F71AD" w:rsidRPr="00B47606">
        <w:rPr>
          <w:snapToGrid w:val="0"/>
          <w:color w:val="000000"/>
          <w:position w:val="6"/>
          <w:sz w:val="16"/>
          <w:szCs w:val="0"/>
          <w:u w:color="000000"/>
        </w:rPr>
        <w:t>210</w:t>
      </w:r>
      <w:r w:rsidR="006F71AD">
        <w:t xml:space="preserve">Bi in the aged standards does not reach the full predicted efficiency due to the steady decrease in efficiency noted previously for the aged standards (see figure </w:t>
      </w:r>
      <w:r w:rsidR="00451D73" w:rsidRPr="00983083">
        <w:t>15</w:t>
      </w:r>
      <w:r w:rsidR="006F71AD" w:rsidRPr="00983083">
        <w:t>)</w:t>
      </w:r>
      <w:r w:rsidR="00416B53" w:rsidRPr="00983083">
        <w:t>, though</w:t>
      </w:r>
      <w:r w:rsidR="006F71AD" w:rsidRPr="00983083">
        <w:t xml:space="preserve"> t</w:t>
      </w:r>
      <w:r w:rsidR="00C56AF5" w:rsidRPr="00983083">
        <w:t xml:space="preserve">he marked reduction in measured efficiency (greater than 50%) in the early count period is not understood, though it was also noted in the aged standards (figure </w:t>
      </w:r>
      <w:r w:rsidR="00451D73" w:rsidRPr="00983083">
        <w:t>19</w:t>
      </w:r>
      <w:r w:rsidR="00C56AF5" w:rsidRPr="00983083">
        <w:t>).</w:t>
      </w:r>
    </w:p>
    <w:p w:rsidR="00841E35" w:rsidRDefault="000D2F07" w:rsidP="00841E35">
      <w:r w:rsidRPr="000D2F07">
        <w:rPr>
          <w:noProof/>
          <w:lang w:eastAsia="en-AU"/>
        </w:rPr>
        <w:drawing>
          <wp:inline distT="0" distB="0" distL="0" distR="0" wp14:anchorId="7A519B65" wp14:editId="30C44689">
            <wp:extent cx="5273675" cy="3884251"/>
            <wp:effectExtent l="0" t="0" r="3175" b="2540"/>
            <wp:docPr id="4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44" cstate="print"/>
                    <a:srcRect t="8112"/>
                    <a:stretch/>
                  </pic:blipFill>
                  <pic:spPr bwMode="auto">
                    <a:xfrm>
                      <a:off x="0" y="0"/>
                      <a:ext cx="5274310" cy="3884719"/>
                    </a:xfrm>
                    <a:prstGeom prst="rect">
                      <a:avLst/>
                    </a:prstGeom>
                    <a:noFill/>
                    <a:ln>
                      <a:noFill/>
                    </a:ln>
                    <a:extLst>
                      <a:ext uri="{53640926-AAD7-44D8-BBD7-CCE9431645EC}">
                        <a14:shadowObscured xmlns:a14="http://schemas.microsoft.com/office/drawing/2010/main"/>
                      </a:ext>
                    </a:extLst>
                  </pic:spPr>
                </pic:pic>
              </a:graphicData>
            </a:graphic>
          </wp:inline>
        </w:drawing>
      </w:r>
    </w:p>
    <w:p w:rsidR="00841E35" w:rsidRPr="000E757C" w:rsidRDefault="00841E35" w:rsidP="00841E35">
      <w:pPr>
        <w:jc w:val="center"/>
        <w:rPr>
          <w:rFonts w:ascii="Arial" w:hAnsi="Arial"/>
          <w:sz w:val="18"/>
        </w:rPr>
      </w:pPr>
      <w:r w:rsidRPr="00983083">
        <w:rPr>
          <w:rFonts w:ascii="Arial" w:hAnsi="Arial"/>
          <w:b/>
          <w:sz w:val="18"/>
        </w:rPr>
        <w:t xml:space="preserve">Figure </w:t>
      </w:r>
      <w:r w:rsidR="00451D73" w:rsidRPr="00983083">
        <w:rPr>
          <w:rFonts w:ascii="Arial" w:hAnsi="Arial"/>
          <w:b/>
          <w:sz w:val="18"/>
        </w:rPr>
        <w:t>18</w:t>
      </w:r>
      <w:r w:rsidR="00451D73" w:rsidRPr="00BD1E8F">
        <w:rPr>
          <w:rFonts w:ascii="Arial" w:hAnsi="Arial"/>
          <w:sz w:val="18"/>
        </w:rPr>
        <w:t xml:space="preserve"> </w:t>
      </w:r>
      <w:r w:rsidR="00451D73">
        <w:rPr>
          <w:rFonts w:ascii="Arial" w:hAnsi="Arial"/>
          <w:sz w:val="18"/>
        </w:rPr>
        <w:t xml:space="preserve"> </w:t>
      </w:r>
      <w:r>
        <w:rPr>
          <w:rFonts w:ascii="Arial" w:hAnsi="Arial"/>
          <w:sz w:val="18"/>
        </w:rPr>
        <w:t xml:space="preserve">Measured and predicted </w:t>
      </w:r>
      <w:r w:rsidRPr="000E757C">
        <w:rPr>
          <w:rFonts w:ascii="Arial" w:hAnsi="Arial"/>
          <w:snapToGrid w:val="0"/>
          <w:color w:val="000000"/>
          <w:position w:val="4"/>
          <w:sz w:val="12"/>
          <w:szCs w:val="0"/>
          <w:u w:color="000000"/>
        </w:rPr>
        <w:t>210</w:t>
      </w:r>
      <w:r>
        <w:rPr>
          <w:rFonts w:ascii="Arial" w:hAnsi="Arial"/>
          <w:sz w:val="18"/>
        </w:rPr>
        <w:t>Bi relative efficiencies in freshly prepared standards</w:t>
      </w:r>
    </w:p>
    <w:p w:rsidR="00841E35" w:rsidRDefault="000D2F07" w:rsidP="00841E35">
      <w:pPr>
        <w:jc w:val="center"/>
        <w:rPr>
          <w:rFonts w:ascii="Arial" w:hAnsi="Arial"/>
          <w:b/>
          <w:sz w:val="18"/>
        </w:rPr>
      </w:pPr>
      <w:r w:rsidRPr="000D2F07">
        <w:rPr>
          <w:noProof/>
          <w:lang w:eastAsia="en-AU"/>
        </w:rPr>
        <w:drawing>
          <wp:inline distT="0" distB="0" distL="0" distR="0" wp14:anchorId="7A519B67" wp14:editId="7B58565F">
            <wp:extent cx="5274095" cy="3975100"/>
            <wp:effectExtent l="0" t="0" r="3175" b="6350"/>
            <wp:docPr id="3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45" cstate="print"/>
                    <a:srcRect t="6497"/>
                    <a:stretch/>
                  </pic:blipFill>
                  <pic:spPr bwMode="auto">
                    <a:xfrm>
                      <a:off x="0" y="0"/>
                      <a:ext cx="5274310" cy="3975262"/>
                    </a:xfrm>
                    <a:prstGeom prst="rect">
                      <a:avLst/>
                    </a:prstGeom>
                    <a:noFill/>
                    <a:ln>
                      <a:noFill/>
                    </a:ln>
                    <a:extLst>
                      <a:ext uri="{53640926-AAD7-44D8-BBD7-CCE9431645EC}">
                        <a14:shadowObscured xmlns:a14="http://schemas.microsoft.com/office/drawing/2010/main"/>
                      </a:ext>
                    </a:extLst>
                  </pic:spPr>
                </pic:pic>
              </a:graphicData>
            </a:graphic>
          </wp:inline>
        </w:drawing>
      </w:r>
    </w:p>
    <w:p w:rsidR="00841E35" w:rsidRDefault="00841E35" w:rsidP="00841E35">
      <w:pPr>
        <w:jc w:val="center"/>
      </w:pPr>
      <w:r w:rsidRPr="00BD1E8F">
        <w:rPr>
          <w:rFonts w:ascii="Arial" w:hAnsi="Arial"/>
          <w:b/>
          <w:sz w:val="18"/>
        </w:rPr>
        <w:t xml:space="preserve">Figure </w:t>
      </w:r>
      <w:r w:rsidR="00451D73" w:rsidRPr="00983083">
        <w:rPr>
          <w:rFonts w:ascii="Arial" w:hAnsi="Arial"/>
          <w:b/>
          <w:sz w:val="18"/>
        </w:rPr>
        <w:t>19</w:t>
      </w:r>
      <w:r w:rsidR="00451D73" w:rsidRPr="00983083">
        <w:rPr>
          <w:rFonts w:ascii="Arial" w:hAnsi="Arial"/>
          <w:sz w:val="18"/>
        </w:rPr>
        <w:t xml:space="preserve">  </w:t>
      </w:r>
      <w:r w:rsidRPr="00983083">
        <w:rPr>
          <w:rFonts w:ascii="Arial" w:hAnsi="Arial"/>
          <w:sz w:val="18"/>
        </w:rPr>
        <w:t>Measured</w:t>
      </w:r>
      <w:r>
        <w:rPr>
          <w:rFonts w:ascii="Arial" w:hAnsi="Arial"/>
          <w:sz w:val="18"/>
        </w:rPr>
        <w:t xml:space="preserve"> and predicted </w:t>
      </w:r>
      <w:r w:rsidRPr="000E757C">
        <w:rPr>
          <w:rFonts w:ascii="Arial" w:hAnsi="Arial"/>
          <w:snapToGrid w:val="0"/>
          <w:color w:val="000000"/>
          <w:position w:val="4"/>
          <w:sz w:val="12"/>
          <w:szCs w:val="0"/>
          <w:u w:color="000000"/>
        </w:rPr>
        <w:t>210</w:t>
      </w:r>
      <w:r>
        <w:rPr>
          <w:rFonts w:ascii="Arial" w:hAnsi="Arial"/>
          <w:sz w:val="18"/>
        </w:rPr>
        <w:t>Bi relative efficiencies in aged standards</w:t>
      </w:r>
    </w:p>
    <w:p w:rsidR="004333AF" w:rsidRDefault="004333AF" w:rsidP="004333AF">
      <w:r>
        <w:t xml:space="preserve">It is important to note that the reduced counting efficiencies in the </w:t>
      </w:r>
      <w:r w:rsidRPr="00896DE7">
        <w:rPr>
          <w:snapToGrid w:val="0"/>
          <w:color w:val="000000"/>
          <w:position w:val="6"/>
          <w:sz w:val="16"/>
          <w:szCs w:val="0"/>
          <w:u w:color="000000"/>
        </w:rPr>
        <w:t>210</w:t>
      </w:r>
      <w:r w:rsidR="00452F7B">
        <w:t>Bi counting window was</w:t>
      </w:r>
      <w:r>
        <w:t xml:space="preserve"> very similar for </w:t>
      </w:r>
      <w:r w:rsidR="001F2DF9">
        <w:t xml:space="preserve">each standard in </w:t>
      </w:r>
      <w:r>
        <w:t>both sets of aged standards. In addition to this</w:t>
      </w:r>
      <w:r w:rsidR="00E63961">
        <w:t>,</w:t>
      </w:r>
      <w:r>
        <w:t xml:space="preserve"> the standards used for optimising DBB </w:t>
      </w:r>
      <w:r w:rsidR="007E646B">
        <w:t xml:space="preserve">and coincidence timing </w:t>
      </w:r>
      <w:r>
        <w:t xml:space="preserve">did not show a </w:t>
      </w:r>
      <w:r w:rsidR="00C56AF5">
        <w:t xml:space="preserve">lower </w:t>
      </w:r>
      <w:r>
        <w:t>efficien</w:t>
      </w:r>
      <w:r w:rsidR="00E63961">
        <w:t>c</w:t>
      </w:r>
      <w:r>
        <w:t xml:space="preserve">y in the initial stages of counting. This indicates a probable systematic effect and may be due to losses of </w:t>
      </w:r>
      <w:r w:rsidRPr="00896DE7">
        <w:rPr>
          <w:snapToGrid w:val="0"/>
          <w:color w:val="000000"/>
          <w:position w:val="6"/>
          <w:sz w:val="16"/>
          <w:szCs w:val="0"/>
          <w:u w:color="000000"/>
        </w:rPr>
        <w:t>210</w:t>
      </w:r>
      <w:r>
        <w:t>Bi to the walls of the stock solution container</w:t>
      </w:r>
      <w:r w:rsidR="005C0082">
        <w:t xml:space="preserve"> that was used for preparing the standards</w:t>
      </w:r>
      <w:r>
        <w:t xml:space="preserve">, thereby increasing the time taken for full ingrowth of </w:t>
      </w:r>
      <w:r w:rsidRPr="00896DE7">
        <w:rPr>
          <w:snapToGrid w:val="0"/>
          <w:color w:val="000000"/>
          <w:position w:val="6"/>
          <w:sz w:val="16"/>
          <w:szCs w:val="0"/>
          <w:u w:color="000000"/>
        </w:rPr>
        <w:t>210</w:t>
      </w:r>
      <w:r>
        <w:t xml:space="preserve">Bi. Either waiting for at least </w:t>
      </w:r>
      <w:r w:rsidR="007F5C43">
        <w:t xml:space="preserve">25 </w:t>
      </w:r>
      <w:r>
        <w:t xml:space="preserve">days after sample preparation, or only using the </w:t>
      </w:r>
      <w:r w:rsidRPr="00AE6548">
        <w:rPr>
          <w:snapToGrid w:val="0"/>
          <w:color w:val="000000"/>
          <w:position w:val="6"/>
          <w:sz w:val="16"/>
          <w:szCs w:val="0"/>
          <w:u w:color="000000"/>
        </w:rPr>
        <w:t>210</w:t>
      </w:r>
      <w:r>
        <w:t xml:space="preserve">Pb window (11–22 keV) in the first </w:t>
      </w:r>
      <w:r w:rsidR="007F5C43">
        <w:t xml:space="preserve">25 </w:t>
      </w:r>
      <w:r>
        <w:t>days, would limit the potential for this effect to have an</w:t>
      </w:r>
      <w:r w:rsidR="00E63961">
        <w:t>y</w:t>
      </w:r>
      <w:r>
        <w:t xml:space="preserve"> impact on results for actual samples.</w:t>
      </w:r>
    </w:p>
    <w:p w:rsidR="002F1CF6" w:rsidRDefault="00451D73" w:rsidP="002F1CF6">
      <w:pPr>
        <w:pStyle w:val="Heading3"/>
      </w:pPr>
      <w:bookmarkStart w:id="44" w:name="_Toc467491566"/>
      <w:r>
        <w:t xml:space="preserve">4.6  </w:t>
      </w:r>
      <w:r w:rsidR="002F1CF6">
        <w:t xml:space="preserve">Calculation of </w:t>
      </w:r>
      <w:r w:rsidR="002675C9" w:rsidRPr="002675C9">
        <w:rPr>
          <w:snapToGrid w:val="0"/>
          <w:color w:val="000000"/>
          <w:position w:val="6"/>
          <w:sz w:val="16"/>
          <w:szCs w:val="0"/>
          <w:u w:color="000000"/>
        </w:rPr>
        <w:t>210</w:t>
      </w:r>
      <w:r w:rsidR="002675C9">
        <w:t>Pb activity concentrations from LSC</w:t>
      </w:r>
      <w:bookmarkEnd w:id="44"/>
    </w:p>
    <w:p w:rsidR="002F1CF6" w:rsidRDefault="002F1CF6" w:rsidP="002F1CF6">
      <w:r>
        <w:t xml:space="preserve">To calculate results from samples there are several steps that need to be taken to ensure that results are corrected appropriately to the sample collection date. This includes accounting for any ingrowth of </w:t>
      </w:r>
      <w:r w:rsidRPr="002F1CF6">
        <w:rPr>
          <w:snapToGrid w:val="0"/>
          <w:color w:val="000000"/>
          <w:position w:val="6"/>
          <w:sz w:val="16"/>
          <w:szCs w:val="0"/>
          <w:u w:color="000000"/>
        </w:rPr>
        <w:t>210</w:t>
      </w:r>
      <w:r>
        <w:t xml:space="preserve">Pb in the sample after collection and prior to separation of Pb from </w:t>
      </w:r>
      <w:r w:rsidRPr="002F1CF6">
        <w:rPr>
          <w:snapToGrid w:val="0"/>
          <w:color w:val="000000"/>
          <w:position w:val="6"/>
          <w:sz w:val="16"/>
          <w:szCs w:val="0"/>
          <w:u w:color="000000"/>
        </w:rPr>
        <w:t>226</w:t>
      </w:r>
      <w:r>
        <w:t>Ra.</w:t>
      </w:r>
    </w:p>
    <w:p w:rsidR="002F1CF6" w:rsidRDefault="002F1CF6" w:rsidP="002F1CF6">
      <w:r>
        <w:t xml:space="preserve">The following set of equations </w:t>
      </w:r>
      <w:r w:rsidR="002675C9">
        <w:t>are</w:t>
      </w:r>
      <w:r>
        <w:t xml:space="preserve"> </w:t>
      </w:r>
      <w:r w:rsidR="002675C9">
        <w:t>used to calculate the activity concentration in samples at the date of sample collection</w:t>
      </w:r>
      <w:r w:rsidR="00D30104">
        <w:t xml:space="preserve"> and assumes no radon loss</w:t>
      </w:r>
      <w:r>
        <w:t>.</w:t>
      </w:r>
      <w:r w:rsidR="00BB5D5F">
        <w:t xml:space="preserve"> </w:t>
      </w:r>
    </w:p>
    <w:p w:rsidR="00A8618D" w:rsidRPr="00983083" w:rsidRDefault="00A8618D" w:rsidP="00A8618D">
      <w:pPr>
        <w:jc w:val="right"/>
      </w:pPr>
      <w:r w:rsidRPr="00983083">
        <w:rPr>
          <w:rFonts w:ascii="Arial" w:hAnsi="Arial"/>
          <w:b/>
          <w:sz w:val="18"/>
        </w:rPr>
        <w:t xml:space="preserve">Equation </w:t>
      </w:r>
      <w:r w:rsidR="00A2345A">
        <w:rPr>
          <w:rFonts w:ascii="Arial" w:hAnsi="Arial"/>
          <w:b/>
          <w:sz w:val="18"/>
        </w:rPr>
        <w:t>5</w:t>
      </w:r>
    </w:p>
    <w:p w:rsidR="00A8618D" w:rsidRDefault="005E27BE" w:rsidP="002F1CF6">
      <m:oMathPara>
        <m:oMath>
          <m:sSub>
            <m:sSubPr>
              <m:ctrlPr>
                <w:rPr>
                  <w:rFonts w:ascii="Cambria Math" w:hAnsi="Cambria Math"/>
                  <w:i/>
                </w:rPr>
              </m:ctrlPr>
            </m:sSubPr>
            <m:e>
              <m:r>
                <w:rPr>
                  <w:rFonts w:ascii="Cambria Math" w:hAnsi="Cambria Math"/>
                </w:rPr>
                <m:t>A</m:t>
              </m:r>
            </m:e>
            <m:sub>
              <m:r>
                <w:rPr>
                  <w:rFonts w:ascii="Cambria Math" w:hAnsi="Cambria Math"/>
                </w:rPr>
                <m:t>Sample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A</m:t>
                  </m:r>
                </m:e>
                <m:sub>
                  <m:r>
                    <w:rPr>
                      <w:rFonts w:ascii="Cambria Math" w:hAnsi="Cambria Math"/>
                    </w:rPr>
                    <m:t>Measurement</m:t>
                  </m:r>
                </m:sub>
              </m:sSub>
            </m:num>
            <m:den>
              <m:sSup>
                <m:sSupPr>
                  <m:ctrlPr>
                    <w:rPr>
                      <w:rFonts w:ascii="Cambria Math" w:hAnsi="Cambria Math"/>
                      <w:i/>
                    </w:rPr>
                  </m:ctrlPr>
                </m:sSupPr>
                <m:e>
                  <m:r>
                    <w:rPr>
                      <w:rFonts w:ascii="Cambria Math" w:hAnsi="Cambria Math"/>
                    </w:rPr>
                    <m:t>e</m:t>
                  </m:r>
                </m:e>
                <m:sup>
                  <m:sSub>
                    <m:sSubPr>
                      <m:ctrlPr>
                        <w:rPr>
                          <w:rFonts w:ascii="Cambria Math" w:hAnsi="Cambria Math"/>
                          <w:i/>
                        </w:rPr>
                      </m:ctrlPr>
                    </m:sSubPr>
                    <m:e>
                      <m:r>
                        <w:rPr>
                          <w:rFonts w:ascii="Cambria Math" w:hAnsi="Cambria Math"/>
                        </w:rPr>
                        <m:t>-λ</m:t>
                      </m:r>
                    </m:e>
                    <m:sub>
                      <m:r>
                        <w:rPr>
                          <w:rFonts w:ascii="Cambria Math" w:hAnsi="Cambria Math"/>
                        </w:rPr>
                        <m:t>Pb</m:t>
                      </m:r>
                    </m:sub>
                  </m:sSub>
                  <m:sSub>
                    <m:sSubPr>
                      <m:ctrlPr>
                        <w:rPr>
                          <w:rFonts w:ascii="Cambria Math" w:hAnsi="Cambria Math"/>
                          <w:i/>
                        </w:rPr>
                      </m:ctrlPr>
                    </m:sSubPr>
                    <m:e>
                      <m:r>
                        <w:rPr>
                          <w:rFonts w:ascii="Cambria Math" w:hAnsi="Cambria Math"/>
                        </w:rPr>
                        <m:t>t</m:t>
                      </m:r>
                    </m:e>
                    <m:sub>
                      <m:r>
                        <w:rPr>
                          <w:rFonts w:ascii="Cambria Math" w:hAnsi="Cambria Math"/>
                        </w:rPr>
                        <m:t>C</m:t>
                      </m:r>
                    </m:sub>
                  </m:sSub>
                </m:sup>
              </m:sSup>
            </m:den>
          </m:f>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Ra</m:t>
              </m:r>
            </m:sub>
          </m:sSub>
          <m:r>
            <w:rPr>
              <w:rFonts w:ascii="Cambria Math" w:hAnsi="Cambria Math"/>
            </w:rPr>
            <m:t>×</m:t>
          </m:r>
          <m:d>
            <m:dPr>
              <m:ctrlPr>
                <w:rPr>
                  <w:rFonts w:ascii="Cambria Math" w:hAnsi="Cambria Math"/>
                  <w:i/>
                </w:rPr>
              </m:ctrlPr>
            </m:dPr>
            <m:e>
              <m:sSup>
                <m:sSupPr>
                  <m:ctrlPr>
                    <w:rPr>
                      <w:rFonts w:ascii="Cambria Math" w:hAnsi="Cambria Math"/>
                      <w:i/>
                    </w:rPr>
                  </m:ctrlPr>
                </m:sSupPr>
                <m:e>
                  <m:r>
                    <w:rPr>
                      <w:rFonts w:ascii="Cambria Math" w:hAnsi="Cambria Math"/>
                    </w:rPr>
                    <m:t>e</m:t>
                  </m:r>
                </m:e>
                <m:sup>
                  <m:sSub>
                    <m:sSubPr>
                      <m:ctrlPr>
                        <w:rPr>
                          <w:rFonts w:ascii="Cambria Math" w:hAnsi="Cambria Math"/>
                          <w:i/>
                        </w:rPr>
                      </m:ctrlPr>
                    </m:sSubPr>
                    <m:e>
                      <m:r>
                        <w:rPr>
                          <w:rFonts w:ascii="Cambria Math" w:hAnsi="Cambria Math"/>
                        </w:rPr>
                        <m:t>λ</m:t>
                      </m:r>
                    </m:e>
                    <m:sub>
                      <m:r>
                        <w:rPr>
                          <w:rFonts w:ascii="Cambria Math" w:hAnsi="Cambria Math"/>
                        </w:rPr>
                        <m:t>Pb</m:t>
                      </m:r>
                    </m:sub>
                  </m:sSub>
                  <m:sSub>
                    <m:sSubPr>
                      <m:ctrlPr>
                        <w:rPr>
                          <w:rFonts w:ascii="Cambria Math" w:hAnsi="Cambria Math"/>
                          <w:i/>
                        </w:rPr>
                      </m:ctrlPr>
                    </m:sSubPr>
                    <m:e>
                      <m:r>
                        <w:rPr>
                          <w:rFonts w:ascii="Cambria Math" w:hAnsi="Cambria Math"/>
                        </w:rPr>
                        <m:t>t</m:t>
                      </m:r>
                    </m:e>
                    <m:sub>
                      <m:r>
                        <w:rPr>
                          <w:rFonts w:ascii="Cambria Math" w:hAnsi="Cambria Math"/>
                        </w:rPr>
                        <m:t>C</m:t>
                      </m:r>
                    </m:sub>
                  </m:sSub>
                </m:sup>
              </m:sSup>
              <m:r>
                <w:rPr>
                  <w:rFonts w:ascii="Cambria Math" w:hAnsi="Cambria Math"/>
                </w:rPr>
                <m:t>-1</m:t>
              </m:r>
            </m:e>
          </m:d>
        </m:oMath>
      </m:oMathPara>
    </w:p>
    <w:p w:rsidR="00A8618D" w:rsidRDefault="00A8618D" w:rsidP="002F1CF6">
      <w:r>
        <w:t>Where:</w:t>
      </w:r>
    </w:p>
    <w:p w:rsidR="002675C9" w:rsidRDefault="00A8618D" w:rsidP="002675C9">
      <w:r w:rsidRPr="002675C9">
        <w:rPr>
          <w:i/>
        </w:rPr>
        <w:t>A</w:t>
      </w:r>
      <w:r w:rsidRPr="002675C9">
        <w:rPr>
          <w:i/>
          <w:snapToGrid w:val="0"/>
          <w:color w:val="000000"/>
          <w:position w:val="-6"/>
          <w:sz w:val="16"/>
          <w:szCs w:val="0"/>
          <w:u w:color="000000"/>
        </w:rPr>
        <w:t>Sample</w:t>
      </w:r>
      <w:r w:rsidRPr="002675C9">
        <w:rPr>
          <w:i/>
        </w:rPr>
        <w:t xml:space="preserve"> </w:t>
      </w:r>
      <w:r>
        <w:t xml:space="preserve">= The activity concentration of </w:t>
      </w:r>
      <w:r w:rsidRPr="002675C9">
        <w:rPr>
          <w:snapToGrid w:val="0"/>
          <w:color w:val="000000"/>
          <w:position w:val="6"/>
          <w:sz w:val="16"/>
          <w:szCs w:val="0"/>
          <w:u w:color="000000"/>
        </w:rPr>
        <w:t>210</w:t>
      </w:r>
      <w:r>
        <w:t xml:space="preserve">Pb </w:t>
      </w:r>
      <w:r w:rsidR="002675C9">
        <w:t>in the sample at the date of collection (Bq kg</w:t>
      </w:r>
      <w:r w:rsidR="002675C9" w:rsidRPr="002F0D98">
        <w:rPr>
          <w:snapToGrid w:val="0"/>
          <w:color w:val="000000"/>
          <w:position w:val="6"/>
          <w:sz w:val="16"/>
          <w:szCs w:val="0"/>
          <w:u w:color="000000"/>
        </w:rPr>
        <w:t>-1</w:t>
      </w:r>
      <w:r w:rsidR="002675C9">
        <w:t>)</w:t>
      </w:r>
    </w:p>
    <w:p w:rsidR="002675C9" w:rsidRDefault="002675C9" w:rsidP="002675C9"/>
    <w:p w:rsidR="002675C9" w:rsidRDefault="002675C9" w:rsidP="002675C9">
      <w:r w:rsidRPr="002F0D98">
        <w:rPr>
          <w:i/>
        </w:rPr>
        <w:t>A</w:t>
      </w:r>
      <w:r w:rsidRPr="002F0D98">
        <w:rPr>
          <w:i/>
          <w:snapToGrid w:val="0"/>
          <w:color w:val="000000"/>
          <w:position w:val="-6"/>
          <w:sz w:val="16"/>
          <w:szCs w:val="0"/>
          <w:u w:color="000000"/>
        </w:rPr>
        <w:t>Measurement</w:t>
      </w:r>
      <w:r>
        <w:t xml:space="preserve"> = The activity concentration of </w:t>
      </w:r>
      <w:r w:rsidRPr="00A8618D">
        <w:rPr>
          <w:snapToGrid w:val="0"/>
          <w:color w:val="000000"/>
          <w:position w:val="6"/>
          <w:sz w:val="16"/>
          <w:szCs w:val="0"/>
          <w:u w:color="000000"/>
        </w:rPr>
        <w:t>210</w:t>
      </w:r>
      <w:r>
        <w:t>Pb in the sample on the date it was counted on the LSC (Bq kg</w:t>
      </w:r>
      <w:r w:rsidRPr="002F0D98">
        <w:rPr>
          <w:snapToGrid w:val="0"/>
          <w:color w:val="000000"/>
          <w:position w:val="6"/>
          <w:sz w:val="16"/>
          <w:szCs w:val="0"/>
          <w:u w:color="000000"/>
        </w:rPr>
        <w:t>-1</w:t>
      </w:r>
      <w:r>
        <w:t>)</w:t>
      </w:r>
    </w:p>
    <w:p w:rsidR="002675C9" w:rsidRDefault="002675C9" w:rsidP="002675C9">
      <w:r w:rsidRPr="005F4AE5">
        <w:rPr>
          <w:i/>
          <w:sz w:val="32"/>
        </w:rPr>
        <w:t>λ</w:t>
      </w:r>
      <w:r>
        <w:rPr>
          <w:i/>
          <w:snapToGrid w:val="0"/>
          <w:color w:val="000000"/>
          <w:position w:val="-8"/>
          <w:sz w:val="21"/>
          <w:szCs w:val="0"/>
          <w:u w:color="000000"/>
        </w:rPr>
        <w:t>Pb</w:t>
      </w:r>
      <w:r w:rsidRPr="005F4AE5">
        <w:t xml:space="preserve"> </w:t>
      </w:r>
      <w:r w:rsidRPr="005F4AE5">
        <w:rPr>
          <w:snapToGrid w:val="0"/>
          <w:color w:val="000000"/>
          <w:szCs w:val="0"/>
          <w:u w:color="000000"/>
        </w:rPr>
        <w:t>=</w:t>
      </w:r>
      <w:r>
        <w:rPr>
          <w:snapToGrid w:val="0"/>
          <w:color w:val="000000"/>
          <w:szCs w:val="0"/>
          <w:u w:color="000000"/>
        </w:rPr>
        <w:t xml:space="preserve"> The decay constant of </w:t>
      </w:r>
      <w:r w:rsidRPr="00CA543C">
        <w:rPr>
          <w:snapToGrid w:val="0"/>
          <w:color w:val="000000"/>
          <w:position w:val="6"/>
          <w:sz w:val="16"/>
          <w:szCs w:val="0"/>
          <w:u w:color="000000"/>
        </w:rPr>
        <w:t>210</w:t>
      </w:r>
      <w:r>
        <w:t>Pb</w:t>
      </w:r>
    </w:p>
    <w:p w:rsidR="002675C9" w:rsidRDefault="002675C9" w:rsidP="002675C9">
      <w:r w:rsidRPr="002675C9">
        <w:rPr>
          <w:i/>
        </w:rPr>
        <w:t>A</w:t>
      </w:r>
      <w:r w:rsidRPr="002675C9">
        <w:rPr>
          <w:i/>
          <w:snapToGrid w:val="0"/>
          <w:color w:val="000000"/>
          <w:position w:val="-6"/>
          <w:sz w:val="16"/>
          <w:szCs w:val="0"/>
          <w:u w:color="000000"/>
        </w:rPr>
        <w:t>Ra</w:t>
      </w:r>
      <w:r>
        <w:t xml:space="preserve"> = The activity concentration of </w:t>
      </w:r>
      <w:r w:rsidRPr="00A8618D">
        <w:rPr>
          <w:snapToGrid w:val="0"/>
          <w:color w:val="000000"/>
          <w:position w:val="6"/>
          <w:sz w:val="16"/>
          <w:szCs w:val="0"/>
          <w:u w:color="000000"/>
        </w:rPr>
        <w:t>2</w:t>
      </w:r>
      <w:r>
        <w:rPr>
          <w:snapToGrid w:val="0"/>
          <w:color w:val="000000"/>
          <w:position w:val="6"/>
          <w:sz w:val="16"/>
          <w:szCs w:val="0"/>
          <w:u w:color="000000"/>
        </w:rPr>
        <w:t>26</w:t>
      </w:r>
      <w:r>
        <w:t>Ra in the sample at the date of collection (Bq kg</w:t>
      </w:r>
      <w:r w:rsidRPr="002F0D98">
        <w:rPr>
          <w:snapToGrid w:val="0"/>
          <w:color w:val="000000"/>
          <w:position w:val="6"/>
          <w:sz w:val="16"/>
          <w:szCs w:val="0"/>
          <w:u w:color="000000"/>
        </w:rPr>
        <w:t>-1</w:t>
      </w:r>
      <w:r>
        <w:t>)</w:t>
      </w:r>
    </w:p>
    <w:p w:rsidR="00B05056" w:rsidRDefault="00B05056" w:rsidP="002675C9">
      <w:r w:rsidRPr="00B05056">
        <w:rPr>
          <w:i/>
        </w:rPr>
        <w:t>t</w:t>
      </w:r>
      <w:r w:rsidRPr="00B05056">
        <w:rPr>
          <w:snapToGrid w:val="0"/>
          <w:color w:val="000000"/>
          <w:position w:val="-6"/>
          <w:sz w:val="16"/>
          <w:szCs w:val="0"/>
          <w:u w:color="000000"/>
        </w:rPr>
        <w:t>C</w:t>
      </w:r>
      <w:r>
        <w:rPr>
          <w:snapToGrid w:val="0"/>
          <w:color w:val="000000"/>
          <w:szCs w:val="0"/>
          <w:u w:color="000000"/>
        </w:rPr>
        <w:t xml:space="preserve"> = The time between separation and collection (days)</w:t>
      </w:r>
    </w:p>
    <w:p w:rsidR="002675C9" w:rsidRDefault="002675C9" w:rsidP="002F1CF6"/>
    <w:p w:rsidR="00BB5D5F" w:rsidRPr="00983083" w:rsidRDefault="00BB5D5F" w:rsidP="00BB5D5F">
      <w:pPr>
        <w:jc w:val="right"/>
      </w:pPr>
      <w:r w:rsidRPr="00983083">
        <w:rPr>
          <w:rFonts w:ascii="Arial" w:hAnsi="Arial"/>
          <w:b/>
          <w:sz w:val="18"/>
        </w:rPr>
        <w:t xml:space="preserve">Equation </w:t>
      </w:r>
      <w:r w:rsidR="00A2345A">
        <w:rPr>
          <w:rFonts w:ascii="Arial" w:hAnsi="Arial"/>
          <w:b/>
          <w:sz w:val="18"/>
        </w:rPr>
        <w:t>6</w:t>
      </w:r>
      <w:r w:rsidR="00A2345A" w:rsidRPr="00983083">
        <w:t xml:space="preserve"> </w:t>
      </w:r>
    </w:p>
    <w:p w:rsidR="00BB5D5F" w:rsidRDefault="005E27BE" w:rsidP="002F1CF6">
      <m:oMathPara>
        <m:oMath>
          <m:sSub>
            <m:sSubPr>
              <m:ctrlPr>
                <w:rPr>
                  <w:rFonts w:ascii="Cambria Math" w:hAnsi="Cambria Math"/>
                  <w:i/>
                </w:rPr>
              </m:ctrlPr>
            </m:sSubPr>
            <m:e>
              <m:r>
                <w:rPr>
                  <w:rFonts w:ascii="Cambria Math" w:hAnsi="Cambria Math"/>
                </w:rPr>
                <m:t>A</m:t>
              </m:r>
            </m:e>
            <m:sub>
              <m:r>
                <w:rPr>
                  <w:rFonts w:ascii="Cambria Math" w:hAnsi="Cambria Math"/>
                </w:rPr>
                <m:t>Measurement</m:t>
              </m:r>
            </m:sub>
          </m:sSub>
          <m:r>
            <w:rPr>
              <w:rFonts w:ascii="Cambria Math" w:hAnsi="Cambria Math"/>
            </w:rPr>
            <m:t>=</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A</m:t>
                      </m:r>
                    </m:e>
                    <m:sub>
                      <m:r>
                        <w:rPr>
                          <w:rFonts w:ascii="Cambria Math" w:hAnsi="Cambria Math"/>
                        </w:rPr>
                        <m:t>Total</m:t>
                      </m:r>
                    </m:sub>
                  </m:sSub>
                </m:num>
                <m:den>
                  <m:sSub>
                    <m:sSubPr>
                      <m:ctrlPr>
                        <w:rPr>
                          <w:rFonts w:ascii="Cambria Math" w:hAnsi="Cambria Math"/>
                          <w:i/>
                        </w:rPr>
                      </m:ctrlPr>
                    </m:sSubPr>
                    <m:e>
                      <m:r>
                        <w:rPr>
                          <w:rFonts w:ascii="Cambria Math" w:hAnsi="Cambria Math"/>
                        </w:rPr>
                        <m:t>m</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Pb</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Measured</m:t>
                      </m:r>
                    </m:sub>
                  </m:sSub>
                </m:den>
              </m:f>
              <m:r>
                <w:rPr>
                  <w:rFonts w:ascii="Cambria Math" w:hAnsi="Cambria Math"/>
                </w:rPr>
                <m:t>×1000</m:t>
              </m:r>
            </m:e>
          </m:d>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Tracer</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Tracer</m:t>
              </m:r>
            </m:sub>
          </m:sSub>
        </m:oMath>
      </m:oMathPara>
    </w:p>
    <w:p w:rsidR="00BB5D5F" w:rsidRDefault="00BB5D5F" w:rsidP="002F1CF6">
      <w:r>
        <w:t>Where:</w:t>
      </w:r>
    </w:p>
    <w:p w:rsidR="00BB5D5F" w:rsidRDefault="002F0D98" w:rsidP="002F1CF6">
      <w:r w:rsidRPr="002F0D98">
        <w:rPr>
          <w:i/>
        </w:rPr>
        <w:t>m</w:t>
      </w:r>
      <w:r w:rsidRPr="002F0D98">
        <w:rPr>
          <w:i/>
          <w:snapToGrid w:val="0"/>
          <w:color w:val="000000"/>
          <w:position w:val="-6"/>
          <w:sz w:val="16"/>
          <w:szCs w:val="0"/>
          <w:u w:color="000000"/>
        </w:rPr>
        <w:t>S</w:t>
      </w:r>
      <w:r w:rsidRPr="002F0D98">
        <w:rPr>
          <w:i/>
        </w:rPr>
        <w:t xml:space="preserve"> </w:t>
      </w:r>
      <w:r>
        <w:t>= The sample mass used for analysis (g)</w:t>
      </w:r>
    </w:p>
    <w:p w:rsidR="002F0D98" w:rsidRDefault="002F0D98" w:rsidP="002F1CF6">
      <w:r w:rsidRPr="00A8618D">
        <w:rPr>
          <w:i/>
        </w:rPr>
        <w:t>R</w:t>
      </w:r>
      <w:r w:rsidRPr="00A8618D">
        <w:rPr>
          <w:i/>
          <w:snapToGrid w:val="0"/>
          <w:color w:val="000000"/>
          <w:position w:val="-6"/>
          <w:sz w:val="16"/>
          <w:szCs w:val="0"/>
          <w:u w:color="000000"/>
        </w:rPr>
        <w:t>Pb</w:t>
      </w:r>
      <w:r w:rsidRPr="00A8618D">
        <w:rPr>
          <w:i/>
        </w:rPr>
        <w:t xml:space="preserve"> </w:t>
      </w:r>
      <w:r>
        <w:t>= The chemical recovery of stable Pb in the sample solution</w:t>
      </w:r>
      <w:r w:rsidR="00A8618D">
        <w:t xml:space="preserve"> (1 </w:t>
      </w:r>
      <w:r w:rsidR="00D30104">
        <w:t xml:space="preserve">equals </w:t>
      </w:r>
      <w:r w:rsidR="00A8618D">
        <w:t>100% recovery)</w:t>
      </w:r>
    </w:p>
    <w:p w:rsidR="00D00C19" w:rsidRDefault="00D00C19" w:rsidP="002F1CF6">
      <w:r w:rsidRPr="00D00C19">
        <w:rPr>
          <w:i/>
        </w:rPr>
        <w:t>A</w:t>
      </w:r>
      <w:r w:rsidRPr="00D00C19">
        <w:rPr>
          <w:i/>
          <w:snapToGrid w:val="0"/>
          <w:color w:val="000000"/>
          <w:position w:val="-6"/>
          <w:sz w:val="16"/>
          <w:szCs w:val="0"/>
          <w:u w:color="000000"/>
        </w:rPr>
        <w:t>Tracer</w:t>
      </w:r>
      <w:r w:rsidRPr="00D00C19">
        <w:rPr>
          <w:snapToGrid w:val="0"/>
          <w:color w:val="000000"/>
          <w:position w:val="-6"/>
          <w:sz w:val="16"/>
          <w:szCs w:val="0"/>
          <w:u w:color="000000"/>
        </w:rPr>
        <w:t xml:space="preserve"> </w:t>
      </w:r>
      <w:r>
        <w:t xml:space="preserve">= The activity concentration of </w:t>
      </w:r>
      <w:r w:rsidRPr="00D707C5">
        <w:rPr>
          <w:snapToGrid w:val="0"/>
          <w:color w:val="000000"/>
          <w:position w:val="6"/>
          <w:sz w:val="16"/>
          <w:szCs w:val="0"/>
          <w:u w:color="000000"/>
        </w:rPr>
        <w:t>210</w:t>
      </w:r>
      <w:r>
        <w:t>Pb in the stable Pb tracer at the measurement date (Bq g-1)</w:t>
      </w:r>
    </w:p>
    <w:p w:rsidR="00D00C19" w:rsidRDefault="00D00C19" w:rsidP="002F1CF6">
      <w:r w:rsidRPr="00D00C19">
        <w:rPr>
          <w:i/>
        </w:rPr>
        <w:t>m</w:t>
      </w:r>
      <w:r w:rsidRPr="00D00C19">
        <w:rPr>
          <w:i/>
          <w:snapToGrid w:val="0"/>
          <w:color w:val="000000"/>
          <w:position w:val="-6"/>
          <w:sz w:val="16"/>
          <w:szCs w:val="0"/>
          <w:u w:color="000000"/>
        </w:rPr>
        <w:t>Tracer</w:t>
      </w:r>
      <w:r>
        <w:t xml:space="preserve"> = The mass of stable Pb tracer added for analysis (g)</w:t>
      </w:r>
    </w:p>
    <w:p w:rsidR="00AF53E8" w:rsidRDefault="00AF53E8" w:rsidP="00AF53E8">
      <w:r w:rsidRPr="00AF53E8">
        <w:rPr>
          <w:i/>
        </w:rPr>
        <w:t>F</w:t>
      </w:r>
      <w:r w:rsidRPr="00AF53E8">
        <w:rPr>
          <w:i/>
          <w:snapToGrid w:val="0"/>
          <w:color w:val="000000"/>
          <w:position w:val="-6"/>
          <w:sz w:val="16"/>
          <w:szCs w:val="0"/>
          <w:u w:color="000000"/>
        </w:rPr>
        <w:t>Measured</w:t>
      </w:r>
      <w:r>
        <w:t xml:space="preserve"> = The fraction of sample extract measured after removal of a sub-sample for stable Pb recovery via ICPMS</w:t>
      </w:r>
    </w:p>
    <w:p w:rsidR="002675C9" w:rsidRDefault="002675C9" w:rsidP="002F1CF6"/>
    <w:p w:rsidR="006E56BC" w:rsidRPr="00983083" w:rsidRDefault="006E56BC" w:rsidP="006E56BC">
      <w:pPr>
        <w:jc w:val="right"/>
      </w:pPr>
      <w:r w:rsidRPr="00983083">
        <w:rPr>
          <w:rFonts w:ascii="Arial" w:hAnsi="Arial"/>
          <w:b/>
          <w:sz w:val="18"/>
        </w:rPr>
        <w:t xml:space="preserve">Equation </w:t>
      </w:r>
      <w:r w:rsidR="00A2345A">
        <w:rPr>
          <w:rFonts w:ascii="Arial" w:hAnsi="Arial"/>
          <w:b/>
          <w:sz w:val="18"/>
        </w:rPr>
        <w:t>7</w:t>
      </w:r>
      <w:r w:rsidR="00A2345A" w:rsidRPr="00983083">
        <w:t xml:space="preserve"> </w:t>
      </w:r>
    </w:p>
    <w:p w:rsidR="006E56BC" w:rsidRDefault="005E27BE" w:rsidP="006E56BC">
      <m:oMathPara>
        <m:oMath>
          <m:sSub>
            <m:sSubPr>
              <m:ctrlPr>
                <w:rPr>
                  <w:rFonts w:ascii="Cambria Math" w:hAnsi="Cambria Math"/>
                  <w:i/>
                </w:rPr>
              </m:ctrlPr>
            </m:sSubPr>
            <m:e>
              <m:r>
                <w:rPr>
                  <w:rFonts w:ascii="Cambria Math" w:hAnsi="Cambria Math"/>
                </w:rPr>
                <m:t>A</m:t>
              </m:r>
            </m:e>
            <m:sub>
              <m:r>
                <w:rPr>
                  <w:rFonts w:ascii="Cambria Math" w:hAnsi="Cambria Math"/>
                </w:rPr>
                <m:t>Total</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C</m:t>
                  </m:r>
                </m:sub>
              </m:sSub>
            </m:num>
            <m:den>
              <m:sSub>
                <m:sSubPr>
                  <m:ctrlPr>
                    <w:rPr>
                      <w:rFonts w:ascii="Cambria Math" w:hAnsi="Cambria Math"/>
                      <w:i/>
                    </w:rPr>
                  </m:ctrlPr>
                </m:sSubPr>
                <m:e>
                  <m:r>
                    <w:rPr>
                      <w:rFonts w:ascii="Cambria Math" w:hAnsi="Cambria Math"/>
                    </w:rPr>
                    <m:t>ε</m:t>
                  </m:r>
                </m:e>
                <m:sub>
                  <m:r>
                    <w:rPr>
                      <w:rFonts w:ascii="Cambria Math" w:hAnsi="Cambria Math"/>
                    </w:rPr>
                    <m:t>Combined</m:t>
                  </m:r>
                </m:sub>
              </m:sSub>
            </m:den>
          </m:f>
        </m:oMath>
      </m:oMathPara>
    </w:p>
    <w:p w:rsidR="006E56BC" w:rsidRDefault="006E56BC" w:rsidP="006E56BC">
      <w:r>
        <w:t>Where:</w:t>
      </w:r>
    </w:p>
    <w:p w:rsidR="006E56BC" w:rsidRDefault="006E56BC" w:rsidP="006E56BC">
      <w:r w:rsidRPr="006E56BC">
        <w:rPr>
          <w:i/>
        </w:rPr>
        <w:t>A</w:t>
      </w:r>
      <w:r w:rsidRPr="006E56BC">
        <w:rPr>
          <w:i/>
          <w:snapToGrid w:val="0"/>
          <w:color w:val="000000"/>
          <w:position w:val="-6"/>
          <w:sz w:val="16"/>
          <w:szCs w:val="0"/>
          <w:u w:color="000000"/>
        </w:rPr>
        <w:t>Total</w:t>
      </w:r>
      <w:r>
        <w:t xml:space="preserve"> = The total activity </w:t>
      </w:r>
      <w:r w:rsidR="00A8618D">
        <w:t xml:space="preserve">of </w:t>
      </w:r>
      <w:r w:rsidR="00A8618D" w:rsidRPr="00A8618D">
        <w:rPr>
          <w:snapToGrid w:val="0"/>
          <w:color w:val="000000"/>
          <w:position w:val="6"/>
          <w:sz w:val="16"/>
          <w:szCs w:val="0"/>
          <w:u w:color="000000"/>
        </w:rPr>
        <w:t>210</w:t>
      </w:r>
      <w:r w:rsidR="00A8618D">
        <w:t xml:space="preserve">Pb </w:t>
      </w:r>
      <w:r>
        <w:t>in the scintillation cocktail</w:t>
      </w:r>
      <w:r w:rsidR="00BB5D5F">
        <w:t xml:space="preserve"> source prepared for counting (Bq)</w:t>
      </w:r>
    </w:p>
    <w:p w:rsidR="00702076" w:rsidRDefault="00702076" w:rsidP="00702076">
      <w:r>
        <w:rPr>
          <w:i/>
        </w:rPr>
        <w:t>N</w:t>
      </w:r>
      <w:r w:rsidRPr="006E56BC">
        <w:rPr>
          <w:i/>
          <w:snapToGrid w:val="0"/>
          <w:color w:val="000000"/>
          <w:position w:val="-6"/>
          <w:sz w:val="16"/>
          <w:szCs w:val="0"/>
          <w:u w:color="000000"/>
        </w:rPr>
        <w:t>C</w:t>
      </w:r>
      <w:r>
        <w:t xml:space="preserve"> = The net count rate in the sample</w:t>
      </w:r>
    </w:p>
    <w:p w:rsidR="00702076" w:rsidRDefault="00702076" w:rsidP="00702076">
      <w:r w:rsidRPr="006E56BC">
        <w:rPr>
          <w:i/>
          <w:sz w:val="32"/>
        </w:rPr>
        <w:t>ε</w:t>
      </w:r>
      <w:r w:rsidRPr="006E56BC">
        <w:rPr>
          <w:i/>
          <w:snapToGrid w:val="0"/>
          <w:color w:val="000000"/>
          <w:position w:val="-6"/>
          <w:sz w:val="16"/>
          <w:szCs w:val="0"/>
          <w:u w:color="000000"/>
        </w:rPr>
        <w:t>Combined</w:t>
      </w:r>
      <w:r>
        <w:t xml:space="preserve"> = The combined efficiency (from </w:t>
      </w:r>
      <w:r w:rsidRPr="00983083">
        <w:t xml:space="preserve">equation </w:t>
      </w:r>
      <w:r w:rsidR="00A2345A">
        <w:t>4</w:t>
      </w:r>
      <w:r w:rsidRPr="00983083">
        <w:t>)</w:t>
      </w:r>
    </w:p>
    <w:p w:rsidR="00702076" w:rsidRPr="00983083" w:rsidRDefault="00702076" w:rsidP="00702076">
      <w:pPr>
        <w:jc w:val="right"/>
      </w:pPr>
      <w:r w:rsidRPr="00983083">
        <w:rPr>
          <w:rFonts w:ascii="Arial" w:hAnsi="Arial"/>
          <w:b/>
          <w:sz w:val="18"/>
        </w:rPr>
        <w:t xml:space="preserve">Equation </w:t>
      </w:r>
      <w:r w:rsidR="00A2345A">
        <w:rPr>
          <w:rFonts w:ascii="Arial" w:hAnsi="Arial"/>
          <w:b/>
          <w:sz w:val="18"/>
        </w:rPr>
        <w:t>8</w:t>
      </w:r>
      <w:r w:rsidR="00A2345A" w:rsidRPr="00983083">
        <w:t xml:space="preserve"> </w:t>
      </w:r>
    </w:p>
    <w:p w:rsidR="00702076" w:rsidRDefault="00702076" w:rsidP="00702076"/>
    <w:p w:rsidR="00702076" w:rsidRDefault="005E27BE" w:rsidP="00702076">
      <m:oMathPara>
        <m:oMath>
          <m:sSub>
            <m:sSubPr>
              <m:ctrlPr>
                <w:rPr>
                  <w:rFonts w:ascii="Cambria Math" w:hAnsi="Cambria Math"/>
                  <w:i/>
                </w:rPr>
              </m:ctrlPr>
            </m:sSubPr>
            <m:e>
              <m:r>
                <w:rPr>
                  <w:rFonts w:ascii="Cambria Math" w:hAnsi="Cambria Math"/>
                </w:rPr>
                <m:t>N</m:t>
              </m:r>
            </m:e>
            <m:sub>
              <m:r>
                <w:rPr>
                  <w:rFonts w:ascii="Cambria Math" w:hAnsi="Cambria Math"/>
                </w:rPr>
                <m:t>C</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C</m:t>
                  </m:r>
                </m:sub>
              </m:sSub>
            </m:num>
            <m:den>
              <m:sSub>
                <m:sSubPr>
                  <m:ctrlPr>
                    <w:rPr>
                      <w:rFonts w:ascii="Cambria Math" w:hAnsi="Cambria Math"/>
                      <w:i/>
                    </w:rPr>
                  </m:ctrlPr>
                </m:sSubPr>
                <m:e>
                  <m:r>
                    <w:rPr>
                      <w:rFonts w:ascii="Cambria Math" w:hAnsi="Cambria Math"/>
                    </w:rPr>
                    <m:t>t</m:t>
                  </m:r>
                </m:e>
                <m:sub>
                  <m:r>
                    <w:rPr>
                      <w:rFonts w:ascii="Cambria Math" w:hAnsi="Cambria Math"/>
                    </w:rPr>
                    <m:t>S</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B</m:t>
                  </m:r>
                </m:e>
                <m:sub>
                  <m:r>
                    <w:rPr>
                      <w:rFonts w:ascii="Cambria Math" w:hAnsi="Cambria Math"/>
                    </w:rPr>
                    <m:t>C</m:t>
                  </m:r>
                </m:sub>
              </m:sSub>
            </m:num>
            <m:den>
              <m:sSub>
                <m:sSubPr>
                  <m:ctrlPr>
                    <w:rPr>
                      <w:rFonts w:ascii="Cambria Math" w:hAnsi="Cambria Math"/>
                      <w:i/>
                    </w:rPr>
                  </m:ctrlPr>
                </m:sSubPr>
                <m:e>
                  <m:r>
                    <w:rPr>
                      <w:rFonts w:ascii="Cambria Math" w:hAnsi="Cambria Math"/>
                    </w:rPr>
                    <m:t>t</m:t>
                  </m:r>
                </m:e>
                <m:sub>
                  <m:r>
                    <w:rPr>
                      <w:rFonts w:ascii="Cambria Math" w:hAnsi="Cambria Math"/>
                    </w:rPr>
                    <m:t>B</m:t>
                  </m:r>
                </m:sub>
              </m:sSub>
            </m:den>
          </m:f>
        </m:oMath>
      </m:oMathPara>
    </w:p>
    <w:p w:rsidR="004F21B4" w:rsidRDefault="004F21B4" w:rsidP="004F21B4">
      <w:r>
        <w:t>Where:</w:t>
      </w:r>
    </w:p>
    <w:p w:rsidR="00702076" w:rsidRDefault="00702076" w:rsidP="00702076">
      <w:r>
        <w:rPr>
          <w:i/>
        </w:rPr>
        <w:t>N</w:t>
      </w:r>
      <w:r w:rsidRPr="006E56BC">
        <w:rPr>
          <w:i/>
          <w:snapToGrid w:val="0"/>
          <w:color w:val="000000"/>
          <w:position w:val="-6"/>
          <w:sz w:val="16"/>
          <w:szCs w:val="0"/>
          <w:u w:color="000000"/>
        </w:rPr>
        <w:t>C</w:t>
      </w:r>
      <w:r>
        <w:t xml:space="preserve"> = The net count rate in the sample</w:t>
      </w:r>
    </w:p>
    <w:p w:rsidR="006E56BC" w:rsidRDefault="00702076" w:rsidP="006E56BC">
      <w:r>
        <w:rPr>
          <w:i/>
        </w:rPr>
        <w:t>S</w:t>
      </w:r>
      <w:r w:rsidRPr="006E56BC">
        <w:rPr>
          <w:i/>
          <w:snapToGrid w:val="0"/>
          <w:color w:val="000000"/>
          <w:position w:val="-6"/>
          <w:sz w:val="16"/>
          <w:szCs w:val="0"/>
          <w:u w:color="000000"/>
        </w:rPr>
        <w:t>C</w:t>
      </w:r>
      <w:r>
        <w:t xml:space="preserve"> </w:t>
      </w:r>
      <w:r w:rsidR="006E56BC">
        <w:t xml:space="preserve">= The </w:t>
      </w:r>
      <w:r w:rsidR="006D5378">
        <w:t xml:space="preserve">gross </w:t>
      </w:r>
      <w:r w:rsidR="006E56BC">
        <w:t>counts</w:t>
      </w:r>
      <w:r>
        <w:t xml:space="preserve"> in the sample</w:t>
      </w:r>
    </w:p>
    <w:p w:rsidR="006D5378" w:rsidRDefault="006D5378" w:rsidP="006E56BC">
      <w:r>
        <w:rPr>
          <w:i/>
        </w:rPr>
        <w:t>B</w:t>
      </w:r>
      <w:r w:rsidRPr="006E56BC">
        <w:rPr>
          <w:i/>
          <w:snapToGrid w:val="0"/>
          <w:color w:val="000000"/>
          <w:position w:val="-6"/>
          <w:sz w:val="16"/>
          <w:szCs w:val="0"/>
          <w:u w:color="000000"/>
        </w:rPr>
        <w:t>C</w:t>
      </w:r>
      <w:r>
        <w:t xml:space="preserve"> = The </w:t>
      </w:r>
      <w:r w:rsidR="00702076">
        <w:t xml:space="preserve">gross </w:t>
      </w:r>
      <w:r>
        <w:t>counts</w:t>
      </w:r>
      <w:r w:rsidR="00702076">
        <w:t xml:space="preserve"> in the analyte blank</w:t>
      </w:r>
    </w:p>
    <w:p w:rsidR="006E56BC" w:rsidRDefault="00702076" w:rsidP="006E56BC">
      <w:r>
        <w:rPr>
          <w:i/>
        </w:rPr>
        <w:t>t</w:t>
      </w:r>
      <w:r>
        <w:rPr>
          <w:i/>
          <w:snapToGrid w:val="0"/>
          <w:color w:val="000000"/>
          <w:position w:val="-6"/>
          <w:sz w:val="16"/>
          <w:szCs w:val="0"/>
          <w:u w:color="000000"/>
        </w:rPr>
        <w:t>S</w:t>
      </w:r>
      <w:r>
        <w:t xml:space="preserve"> </w:t>
      </w:r>
      <w:r w:rsidR="006E56BC">
        <w:t>= The count time</w:t>
      </w:r>
      <w:r>
        <w:t xml:space="preserve"> of the sample</w:t>
      </w:r>
      <w:r w:rsidR="006E56BC">
        <w:t xml:space="preserve"> (s)</w:t>
      </w:r>
    </w:p>
    <w:p w:rsidR="00702076" w:rsidRDefault="00702076" w:rsidP="00702076">
      <w:r>
        <w:rPr>
          <w:i/>
        </w:rPr>
        <w:t>t</w:t>
      </w:r>
      <w:r w:rsidRPr="00702076">
        <w:rPr>
          <w:i/>
          <w:snapToGrid w:val="0"/>
          <w:color w:val="000000"/>
          <w:position w:val="-6"/>
          <w:sz w:val="16"/>
          <w:szCs w:val="0"/>
          <w:u w:color="000000"/>
        </w:rPr>
        <w:t>B</w:t>
      </w:r>
      <w:r>
        <w:t xml:space="preserve"> = The count time of the analyte blank (s)</w:t>
      </w:r>
    </w:p>
    <w:p w:rsidR="00702076" w:rsidRDefault="00702076" w:rsidP="006E56BC"/>
    <w:p w:rsidR="00726A50" w:rsidRDefault="00451D73" w:rsidP="00726A50">
      <w:pPr>
        <w:pStyle w:val="Heading3"/>
      </w:pPr>
      <w:bookmarkStart w:id="45" w:name="_Toc467491567"/>
      <w:r>
        <w:t xml:space="preserve">4.7  </w:t>
      </w:r>
      <w:r w:rsidR="00726A50">
        <w:t xml:space="preserve">Calculation of </w:t>
      </w:r>
      <w:r w:rsidR="007B79D6">
        <w:t xml:space="preserve">the uncertainty </w:t>
      </w:r>
      <w:r w:rsidR="00E02B96">
        <w:t xml:space="preserve">associated with calculated </w:t>
      </w:r>
      <w:r w:rsidR="00726A50" w:rsidRPr="002675C9">
        <w:rPr>
          <w:snapToGrid w:val="0"/>
          <w:color w:val="000000"/>
          <w:position w:val="6"/>
          <w:sz w:val="16"/>
          <w:szCs w:val="0"/>
          <w:u w:color="000000"/>
        </w:rPr>
        <w:t>210</w:t>
      </w:r>
      <w:r w:rsidR="00726A50">
        <w:t>Pb activity concentrations</w:t>
      </w:r>
      <w:bookmarkEnd w:id="45"/>
    </w:p>
    <w:p w:rsidR="00863A93" w:rsidRDefault="00F546B6" w:rsidP="00863A93">
      <w:r>
        <w:t xml:space="preserve"> The measurement uncertainty is calculated according to the spreadsheet method described by Kragten (1994)</w:t>
      </w:r>
      <w:r w:rsidR="00136583">
        <w:t>. T</w:t>
      </w:r>
      <w:r w:rsidR="00863A93">
        <w:t>his is a relatively quick and easy method</w:t>
      </w:r>
      <w:r w:rsidR="00136583">
        <w:t xml:space="preserve"> where the standard deviation is calculated numerically without violating the condition of mutual independence. Another advantage of this technique is that the relative contribution to the total uncertainty from each parameter can be easily determined (Kragten (1994)</w:t>
      </w:r>
      <w:r>
        <w:t>.</w:t>
      </w:r>
      <w:r w:rsidR="00863A93">
        <w:t xml:space="preserve"> </w:t>
      </w:r>
      <w:r w:rsidR="00136583">
        <w:t xml:space="preserve">The formula for calculating the relative uncertainty is shown in </w:t>
      </w:r>
      <w:r w:rsidR="00136583" w:rsidRPr="00983083">
        <w:t xml:space="preserve">equation </w:t>
      </w:r>
      <w:r w:rsidR="00A2345A">
        <w:t>9</w:t>
      </w:r>
      <w:r w:rsidR="00136583" w:rsidRPr="00983083">
        <w:t>.</w:t>
      </w:r>
    </w:p>
    <w:p w:rsidR="00136583" w:rsidRPr="00983083" w:rsidRDefault="00136583" w:rsidP="00136583">
      <w:pPr>
        <w:jc w:val="right"/>
      </w:pPr>
      <w:r w:rsidRPr="00983083">
        <w:rPr>
          <w:rFonts w:ascii="Arial" w:hAnsi="Arial"/>
          <w:b/>
          <w:sz w:val="18"/>
        </w:rPr>
        <w:t xml:space="preserve">Equation </w:t>
      </w:r>
      <w:r w:rsidR="00A2345A">
        <w:rPr>
          <w:rFonts w:ascii="Arial" w:hAnsi="Arial"/>
          <w:b/>
          <w:sz w:val="18"/>
        </w:rPr>
        <w:t>9</w:t>
      </w:r>
      <w:r w:rsidR="00A2345A" w:rsidRPr="00983083">
        <w:t xml:space="preserve"> </w:t>
      </w:r>
    </w:p>
    <w:p w:rsidR="00863A93" w:rsidRDefault="005E27BE" w:rsidP="00863A93">
      <m:oMathPara>
        <m:oMath>
          <m:sSub>
            <m:sSubPr>
              <m:ctrlPr>
                <w:rPr>
                  <w:rFonts w:ascii="Cambria Math" w:hAnsi="Cambria Math"/>
                  <w:i/>
                </w:rPr>
              </m:ctrlPr>
            </m:sSubPr>
            <m:e>
              <m:r>
                <w:rPr>
                  <w:rFonts w:ascii="Cambria Math" w:hAnsi="Cambria Math"/>
                </w:rPr>
                <m:t>U</m:t>
              </m:r>
            </m:e>
            <m:sub>
              <m:r>
                <w:rPr>
                  <w:rFonts w:ascii="Cambria Math" w:hAnsi="Cambria Math"/>
                </w:rPr>
                <m:t>Sample</m:t>
              </m:r>
            </m:sub>
          </m:sSub>
          <m:r>
            <w:rPr>
              <w:rFonts w:ascii="Cambria Math" w:hAnsi="Cambria Math"/>
            </w:rPr>
            <m:t>=</m:t>
          </m:r>
          <m:rad>
            <m:radPr>
              <m:degHide m:val="1"/>
              <m:ctrlPr>
                <w:rPr>
                  <w:rFonts w:ascii="Cambria Math" w:hAnsi="Cambria Math"/>
                  <w:i/>
                </w:rPr>
              </m:ctrlPr>
            </m:radPr>
            <m:deg/>
            <m:e>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d>
                    <m:dPr>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Sample</m:t>
                          </m:r>
                        </m:sub>
                      </m:sSub>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i</m:t>
                              </m:r>
                            </m:sub>
                          </m:sSub>
                        </m:e>
                      </m:d>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Sample</m:t>
                          </m:r>
                        </m:sub>
                      </m:sSub>
                    </m:e>
                  </m:d>
                </m:e>
              </m:nary>
            </m:e>
          </m:rad>
        </m:oMath>
      </m:oMathPara>
    </w:p>
    <w:p w:rsidR="00294DA0" w:rsidRDefault="00294DA0" w:rsidP="00863A93">
      <w:r>
        <w:t>Where:</w:t>
      </w:r>
    </w:p>
    <w:p w:rsidR="00294DA0" w:rsidRDefault="00294DA0" w:rsidP="00863A93">
      <w:r w:rsidRPr="00294DA0">
        <w:rPr>
          <w:i/>
        </w:rPr>
        <w:t>U</w:t>
      </w:r>
      <w:r w:rsidRPr="00294DA0">
        <w:rPr>
          <w:i/>
          <w:snapToGrid w:val="0"/>
          <w:color w:val="000000"/>
          <w:position w:val="-6"/>
          <w:sz w:val="16"/>
          <w:szCs w:val="0"/>
          <w:u w:color="000000"/>
        </w:rPr>
        <w:t>Sample</w:t>
      </w:r>
      <w:r>
        <w:t xml:space="preserve"> = The total absolute uncertainty for the activity</w:t>
      </w:r>
      <w:r w:rsidRPr="00294DA0">
        <w:t xml:space="preserve"> </w:t>
      </w:r>
      <w:r>
        <w:t xml:space="preserve">concentration of </w:t>
      </w:r>
      <w:r w:rsidRPr="002675C9">
        <w:rPr>
          <w:snapToGrid w:val="0"/>
          <w:color w:val="000000"/>
          <w:position w:val="6"/>
          <w:sz w:val="16"/>
          <w:szCs w:val="0"/>
          <w:u w:color="000000"/>
        </w:rPr>
        <w:t>210</w:t>
      </w:r>
      <w:r>
        <w:t>Pb in the sample at the date of collection (Bq kg</w:t>
      </w:r>
      <w:r w:rsidRPr="002F0D98">
        <w:rPr>
          <w:snapToGrid w:val="0"/>
          <w:color w:val="000000"/>
          <w:position w:val="6"/>
          <w:sz w:val="16"/>
          <w:szCs w:val="0"/>
          <w:u w:color="000000"/>
        </w:rPr>
        <w:t>-1</w:t>
      </w:r>
      <w:r>
        <w:t>)</w:t>
      </w:r>
    </w:p>
    <w:p w:rsidR="00294DA0" w:rsidRDefault="00294DA0" w:rsidP="00863A93">
      <w:r w:rsidRPr="00294DA0">
        <w:rPr>
          <w:i/>
        </w:rPr>
        <w:t>A</w:t>
      </w:r>
      <w:r w:rsidRPr="00294DA0">
        <w:rPr>
          <w:i/>
          <w:snapToGrid w:val="0"/>
          <w:color w:val="000000"/>
          <w:position w:val="-6"/>
          <w:sz w:val="16"/>
          <w:szCs w:val="0"/>
          <w:u w:color="000000"/>
        </w:rPr>
        <w:t>Sample</w:t>
      </w:r>
      <w:r>
        <w:t>(</w:t>
      </w:r>
      <w:r w:rsidR="007B79D6">
        <w:rPr>
          <w:i/>
        </w:rPr>
        <w:t>X</w:t>
      </w:r>
      <w:r w:rsidRPr="00294DA0">
        <w:rPr>
          <w:i/>
          <w:snapToGrid w:val="0"/>
          <w:color w:val="000000"/>
          <w:position w:val="-6"/>
          <w:sz w:val="16"/>
          <w:szCs w:val="0"/>
          <w:u w:color="000000"/>
        </w:rPr>
        <w:t>i</w:t>
      </w:r>
      <w:r>
        <w:t>+</w:t>
      </w:r>
      <w:r w:rsidRPr="00294DA0">
        <w:rPr>
          <w:i/>
        </w:rPr>
        <w:t>U</w:t>
      </w:r>
      <w:r w:rsidRPr="00294DA0">
        <w:rPr>
          <w:i/>
          <w:snapToGrid w:val="0"/>
          <w:color w:val="000000"/>
          <w:position w:val="-6"/>
          <w:sz w:val="16"/>
          <w:szCs w:val="0"/>
          <w:u w:color="000000"/>
        </w:rPr>
        <w:t>i</w:t>
      </w:r>
      <w:r>
        <w:t xml:space="preserve">) = </w:t>
      </w:r>
      <w:r w:rsidR="00E47CDA">
        <w:t xml:space="preserve">The activity concentration of </w:t>
      </w:r>
      <w:r w:rsidR="00E47CDA" w:rsidRPr="002675C9">
        <w:rPr>
          <w:snapToGrid w:val="0"/>
          <w:color w:val="000000"/>
          <w:position w:val="6"/>
          <w:sz w:val="16"/>
          <w:szCs w:val="0"/>
          <w:u w:color="000000"/>
        </w:rPr>
        <w:t>210</w:t>
      </w:r>
      <w:r w:rsidR="00E47CDA">
        <w:t>Pb in the sample at the date of collection (Bq kg</w:t>
      </w:r>
      <w:r w:rsidR="00E47CDA" w:rsidRPr="002F0D98">
        <w:rPr>
          <w:snapToGrid w:val="0"/>
          <w:color w:val="000000"/>
          <w:position w:val="6"/>
          <w:sz w:val="16"/>
          <w:szCs w:val="0"/>
          <w:u w:color="000000"/>
        </w:rPr>
        <w:t>-1</w:t>
      </w:r>
      <w:r w:rsidR="00E47CDA">
        <w:t>)</w:t>
      </w:r>
      <w:r w:rsidR="00E02B96">
        <w:t>,</w:t>
      </w:r>
      <w:r w:rsidR="00E47CDA">
        <w:t xml:space="preserve"> calculated with the value of the parameter </w:t>
      </w:r>
      <w:r w:rsidR="00E02B96" w:rsidRPr="00E02B96">
        <w:rPr>
          <w:i/>
        </w:rPr>
        <w:t>X</w:t>
      </w:r>
      <w:r w:rsidR="00E02B96">
        <w:t xml:space="preserve"> </w:t>
      </w:r>
      <w:r w:rsidR="00E47CDA">
        <w:t xml:space="preserve">being substituted for the value </w:t>
      </w:r>
      <w:r w:rsidR="009D3A03">
        <w:t>‘</w:t>
      </w:r>
      <w:r w:rsidR="00E02B96" w:rsidRPr="00E02B96">
        <w:rPr>
          <w:i/>
        </w:rPr>
        <w:t>X</w:t>
      </w:r>
      <w:r w:rsidR="00E47CDA">
        <w:t xml:space="preserve"> plus the absolute uncertainty of </w:t>
      </w:r>
      <w:r w:rsidR="009D3A03" w:rsidRPr="009D3A03">
        <w:rPr>
          <w:i/>
        </w:rPr>
        <w:t>X</w:t>
      </w:r>
      <w:r w:rsidR="009D3A03">
        <w:rPr>
          <w:i/>
        </w:rPr>
        <w:t>’</w:t>
      </w:r>
    </w:p>
    <w:p w:rsidR="00E47CDA" w:rsidRDefault="007B79D6" w:rsidP="00863A93">
      <w:r w:rsidRPr="002675C9">
        <w:rPr>
          <w:i/>
        </w:rPr>
        <w:t>A</w:t>
      </w:r>
      <w:r w:rsidRPr="002675C9">
        <w:rPr>
          <w:i/>
          <w:snapToGrid w:val="0"/>
          <w:color w:val="000000"/>
          <w:position w:val="-6"/>
          <w:sz w:val="16"/>
          <w:szCs w:val="0"/>
          <w:u w:color="000000"/>
        </w:rPr>
        <w:t>Sample</w:t>
      </w:r>
      <w:r w:rsidR="00E02B96">
        <w:t xml:space="preserve"> =</w:t>
      </w:r>
      <w:r>
        <w:t xml:space="preserve"> The activity concentration of </w:t>
      </w:r>
      <w:r w:rsidRPr="002675C9">
        <w:rPr>
          <w:snapToGrid w:val="0"/>
          <w:color w:val="000000"/>
          <w:position w:val="6"/>
          <w:sz w:val="16"/>
          <w:szCs w:val="0"/>
          <w:u w:color="000000"/>
        </w:rPr>
        <w:t>210</w:t>
      </w:r>
      <w:r>
        <w:t>Pb in the sample at the date of collection (Bq kg</w:t>
      </w:r>
      <w:r w:rsidRPr="002F0D98">
        <w:rPr>
          <w:snapToGrid w:val="0"/>
          <w:color w:val="000000"/>
          <w:position w:val="6"/>
          <w:sz w:val="16"/>
          <w:szCs w:val="0"/>
          <w:u w:color="000000"/>
        </w:rPr>
        <w:t>-1</w:t>
      </w:r>
      <w:r>
        <w:t>)</w:t>
      </w:r>
    </w:p>
    <w:p w:rsidR="007B79D6" w:rsidRDefault="00E02B96" w:rsidP="00863A93">
      <w:r>
        <w:t xml:space="preserve">When </w:t>
      </w:r>
      <w:r w:rsidR="007B79D6">
        <w:t>calculating the total absolute uncertainty all sources of uncertainty should be included, where this is not achievable the major sources of error should be included at a minimum. For this method, the gross count rate of the sample and analyte blank and the stable Pb chemical recovery will usually be the most significant parameters contributing to the total uncertainty.</w:t>
      </w:r>
    </w:p>
    <w:p w:rsidR="00BF3B60" w:rsidRDefault="00863A93" w:rsidP="00863A93">
      <w:r>
        <w:t>It must be noted, that this technique is only valid when the relative uncertainty of each parameter is small and the function y(</w:t>
      </w:r>
      <w:r w:rsidR="00E02B96" w:rsidRPr="00E02B96">
        <w:rPr>
          <w:i/>
        </w:rPr>
        <w:t>X</w:t>
      </w:r>
      <w:r w:rsidR="00E02B96">
        <w:rPr>
          <w:i/>
          <w:snapToGrid w:val="0"/>
          <w:color w:val="000000"/>
          <w:position w:val="-6"/>
          <w:sz w:val="16"/>
          <w:szCs w:val="0"/>
          <w:u w:color="000000"/>
        </w:rPr>
        <w:t>1</w:t>
      </w:r>
      <w:r>
        <w:t xml:space="preserve">, </w:t>
      </w:r>
      <w:r w:rsidR="00E02B96" w:rsidRPr="00E02B96">
        <w:rPr>
          <w:i/>
        </w:rPr>
        <w:t>X</w:t>
      </w:r>
      <w:r w:rsidR="00E02B96" w:rsidRPr="00E02B96">
        <w:rPr>
          <w:i/>
          <w:snapToGrid w:val="0"/>
          <w:color w:val="000000"/>
          <w:position w:val="-6"/>
          <w:sz w:val="16"/>
          <w:szCs w:val="0"/>
          <w:u w:color="000000"/>
        </w:rPr>
        <w:t>2</w:t>
      </w:r>
      <w:r>
        <w:t>,….</w:t>
      </w:r>
      <w:r w:rsidR="00E02B96" w:rsidRPr="00E02B96">
        <w:rPr>
          <w:i/>
        </w:rPr>
        <w:t>X</w:t>
      </w:r>
      <w:r w:rsidR="00E02B96">
        <w:rPr>
          <w:i/>
          <w:snapToGrid w:val="0"/>
          <w:color w:val="000000"/>
          <w:position w:val="-6"/>
          <w:sz w:val="16"/>
          <w:szCs w:val="0"/>
          <w:u w:color="000000"/>
        </w:rPr>
        <w:t>n</w:t>
      </w:r>
      <w:r>
        <w:t>) is linear with respect to all parameters (Holmes</w:t>
      </w:r>
      <w:r w:rsidR="009D3A03">
        <w:t>, 2004</w:t>
      </w:r>
      <w:r>
        <w:t>). Holmes (</w:t>
      </w:r>
      <w:r w:rsidR="009D3A03">
        <w:t>2004</w:t>
      </w:r>
      <w:r>
        <w:t>) notes that although this isn’t always the case, the method still gives a good estimate of the overall uncertainty.</w:t>
      </w:r>
    </w:p>
    <w:p w:rsidR="002F1CF6" w:rsidRDefault="00451D73" w:rsidP="002F1CF6">
      <w:pPr>
        <w:pStyle w:val="Heading3"/>
      </w:pPr>
      <w:bookmarkStart w:id="46" w:name="_Toc467491568"/>
      <w:r>
        <w:t xml:space="preserve">4.8  </w:t>
      </w:r>
      <w:r w:rsidR="002F1CF6">
        <w:t>Linearity test</w:t>
      </w:r>
      <w:bookmarkEnd w:id="46"/>
    </w:p>
    <w:p w:rsidR="00565F6E" w:rsidRDefault="00565F6E" w:rsidP="00240087">
      <w:r>
        <w:t xml:space="preserve">An additional series of standards were prepared with </w:t>
      </w:r>
      <w:r w:rsidRPr="00F539E2">
        <w:rPr>
          <w:snapToGrid w:val="0"/>
          <w:color w:val="000000"/>
          <w:position w:val="6"/>
          <w:sz w:val="16"/>
          <w:szCs w:val="0"/>
          <w:u w:color="000000"/>
        </w:rPr>
        <w:t>210</w:t>
      </w:r>
      <w:r>
        <w:t xml:space="preserve">Pb activities varying from 18–220 mBq to test the linearity of the calibration. Results from these standards are shown in </w:t>
      </w:r>
      <w:r w:rsidRPr="00983083">
        <w:t xml:space="preserve">Figure </w:t>
      </w:r>
      <w:r w:rsidR="00451D73" w:rsidRPr="00983083">
        <w:t>20</w:t>
      </w:r>
      <w:r w:rsidRPr="00983083">
        <w:t>. The</w:t>
      </w:r>
      <w:r>
        <w:t xml:space="preserve"> test shows a very strong linear response </w:t>
      </w:r>
      <w:r w:rsidR="008679D0">
        <w:t>(R</w:t>
      </w:r>
      <w:r w:rsidR="008679D0" w:rsidRPr="00F24F2E">
        <w:rPr>
          <w:snapToGrid w:val="0"/>
          <w:color w:val="000000"/>
          <w:position w:val="6"/>
          <w:sz w:val="16"/>
          <w:szCs w:val="0"/>
          <w:u w:color="000000"/>
        </w:rPr>
        <w:t>2</w:t>
      </w:r>
      <w:r w:rsidR="008679D0">
        <w:t xml:space="preserve"> = </w:t>
      </w:r>
      <w:r w:rsidR="00295868">
        <w:t>0.99</w:t>
      </w:r>
      <w:r w:rsidR="00CE6A95">
        <w:t>, p&lt;0.0001</w:t>
      </w:r>
      <w:r w:rsidR="008679D0">
        <w:t xml:space="preserve">) </w:t>
      </w:r>
      <w:r>
        <w:t>across a range of activities typically measured in our research projects</w:t>
      </w:r>
      <w:r w:rsidR="008679D0">
        <w:t>, though there appears to be a systematically lower than expected response of 6% (slope = 0.94)</w:t>
      </w:r>
      <w:r>
        <w:t>.</w:t>
      </w:r>
      <w:r w:rsidR="008679D0">
        <w:t xml:space="preserve"> Certified reference materials, therefore, should be run with sam</w:t>
      </w:r>
      <w:r w:rsidR="00B17DBC">
        <w:t>ples to ensure corrections can be made to results from actual samples</w:t>
      </w:r>
      <w:r w:rsidR="005C0082" w:rsidRPr="005C0082">
        <w:t xml:space="preserve"> </w:t>
      </w:r>
      <w:r w:rsidR="005C0082">
        <w:t>if necessary</w:t>
      </w:r>
      <w:r w:rsidR="00B17DBC">
        <w:t>.</w:t>
      </w:r>
      <w:r>
        <w:t xml:space="preserve"> </w:t>
      </w:r>
    </w:p>
    <w:p w:rsidR="00841E35" w:rsidRDefault="00295868" w:rsidP="00F14A2F">
      <w:r w:rsidRPr="00295868">
        <w:rPr>
          <w:noProof/>
          <w:lang w:eastAsia="en-AU"/>
        </w:rPr>
        <w:drawing>
          <wp:inline distT="0" distB="0" distL="0" distR="0" wp14:anchorId="7A519B69" wp14:editId="708340CE">
            <wp:extent cx="5274146" cy="3896995"/>
            <wp:effectExtent l="0" t="0" r="3175" b="8255"/>
            <wp:docPr id="3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46" cstate="print"/>
                    <a:srcRect t="7043"/>
                    <a:stretch/>
                  </pic:blipFill>
                  <pic:spPr bwMode="auto">
                    <a:xfrm>
                      <a:off x="0" y="0"/>
                      <a:ext cx="5274310" cy="3897116"/>
                    </a:xfrm>
                    <a:prstGeom prst="rect">
                      <a:avLst/>
                    </a:prstGeom>
                    <a:noFill/>
                    <a:ln>
                      <a:noFill/>
                    </a:ln>
                    <a:extLst>
                      <a:ext uri="{53640926-AAD7-44D8-BBD7-CCE9431645EC}">
                        <a14:shadowObscured xmlns:a14="http://schemas.microsoft.com/office/drawing/2010/main"/>
                      </a:ext>
                    </a:extLst>
                  </pic:spPr>
                </pic:pic>
              </a:graphicData>
            </a:graphic>
          </wp:inline>
        </w:drawing>
      </w:r>
    </w:p>
    <w:p w:rsidR="00F14A2F" w:rsidRDefault="00F14A2F" w:rsidP="00F14A2F">
      <w:pPr>
        <w:jc w:val="center"/>
      </w:pPr>
      <w:r w:rsidRPr="00983083">
        <w:rPr>
          <w:rFonts w:ascii="Arial" w:hAnsi="Arial"/>
          <w:b/>
          <w:sz w:val="18"/>
        </w:rPr>
        <w:t xml:space="preserve">Figure </w:t>
      </w:r>
      <w:r w:rsidR="00451D73" w:rsidRPr="00983083">
        <w:rPr>
          <w:rFonts w:ascii="Arial" w:hAnsi="Arial"/>
          <w:b/>
          <w:sz w:val="18"/>
        </w:rPr>
        <w:t>20</w:t>
      </w:r>
      <w:r w:rsidR="00451D73" w:rsidRPr="00983083">
        <w:rPr>
          <w:rFonts w:ascii="Arial" w:hAnsi="Arial"/>
          <w:sz w:val="18"/>
        </w:rPr>
        <w:t xml:space="preserve">  </w:t>
      </w:r>
      <w:r w:rsidRPr="00983083">
        <w:rPr>
          <w:rFonts w:ascii="Arial" w:hAnsi="Arial"/>
          <w:sz w:val="18"/>
        </w:rPr>
        <w:t>Measured</w:t>
      </w:r>
      <w:r>
        <w:rPr>
          <w:rFonts w:ascii="Arial" w:hAnsi="Arial"/>
          <w:sz w:val="18"/>
        </w:rPr>
        <w:t xml:space="preserve"> </w:t>
      </w:r>
      <w:r w:rsidR="00E3345A">
        <w:rPr>
          <w:rFonts w:ascii="Arial" w:hAnsi="Arial"/>
          <w:sz w:val="18"/>
        </w:rPr>
        <w:t>vs actual activities in 10 standard solutions of varying activity (18–220 mBq) in the 11–330 keV counting window</w:t>
      </w:r>
      <w:r w:rsidR="00EF5D46">
        <w:rPr>
          <w:rFonts w:ascii="Arial" w:hAnsi="Arial"/>
          <w:sz w:val="18"/>
        </w:rPr>
        <w:t xml:space="preserve"> (solid line, 95% confidence intervals are shown as dashed lines)</w:t>
      </w:r>
      <w:r w:rsidR="00E3345A">
        <w:rPr>
          <w:rFonts w:ascii="Arial" w:hAnsi="Arial"/>
          <w:sz w:val="18"/>
        </w:rPr>
        <w:t>.</w:t>
      </w:r>
    </w:p>
    <w:p w:rsidR="005A3F68" w:rsidRDefault="00451D73" w:rsidP="008A3846">
      <w:pPr>
        <w:pStyle w:val="Heading3"/>
      </w:pPr>
      <w:bookmarkStart w:id="47" w:name="_Toc467491569"/>
      <w:r>
        <w:t xml:space="preserve">4.9  </w:t>
      </w:r>
      <w:r w:rsidR="005A3F68">
        <w:t>Performance with actual samples</w:t>
      </w:r>
      <w:bookmarkEnd w:id="47"/>
    </w:p>
    <w:p w:rsidR="005A3F68" w:rsidRDefault="005A3F68" w:rsidP="005A3F68">
      <w:r>
        <w:t>Comparison of results with a set of freshwater mussel samples from gamma analysis (Marten, 1992)</w:t>
      </w:r>
      <w:r w:rsidR="002471B6">
        <w:t>.</w:t>
      </w:r>
    </w:p>
    <w:p w:rsidR="005A3F68" w:rsidRDefault="005A3F68" w:rsidP="005A3F68">
      <w:r w:rsidRPr="00C06D48">
        <w:t>Using a set of</w:t>
      </w:r>
      <w:r w:rsidR="00F24F2E">
        <w:t xml:space="preserve"> age-classes composite mussel </w:t>
      </w:r>
      <w:r w:rsidR="00C06D48">
        <w:t>sample</w:t>
      </w:r>
      <w:r w:rsidR="00F24F2E">
        <w:t>s</w:t>
      </w:r>
      <w:r w:rsidRPr="00C06D48">
        <w:t xml:space="preserve"> </w:t>
      </w:r>
      <w:r w:rsidR="00C06D48">
        <w:t>that have previously been measured by gamma spectrometry</w:t>
      </w:r>
      <w:r w:rsidR="003C6A23">
        <w:t xml:space="preserve"> (Supervising Scientist, 2013 &amp; 2014)</w:t>
      </w:r>
      <w:r w:rsidRPr="00C06D48">
        <w:t xml:space="preserve"> </w:t>
      </w:r>
      <w:r w:rsidR="00C06D48">
        <w:t xml:space="preserve">a comparison of </w:t>
      </w:r>
      <w:r w:rsidR="00A52482">
        <w:t xml:space="preserve">the gamma and LSC </w:t>
      </w:r>
      <w:r w:rsidR="00C06D48">
        <w:t xml:space="preserve">techniques was done. Results from this comparison are shown in Figure </w:t>
      </w:r>
      <w:r w:rsidR="00451D73" w:rsidRPr="00F1224C">
        <w:t>21</w:t>
      </w:r>
      <w:r w:rsidR="00C06D48" w:rsidRPr="00F1224C">
        <w:t>,</w:t>
      </w:r>
      <w:r w:rsidR="00C06D48">
        <w:t xml:space="preserve"> activity concentrations as measured by gamma spectrometry and LSC are plotted against the age class of the composite mussel samples</w:t>
      </w:r>
      <w:r w:rsidR="00FD27F5">
        <w:t xml:space="preserve"> (the age plotted for the LSC measurements has 0.2 y added to the age to prevent overlapping data points on the figure)</w:t>
      </w:r>
      <w:r w:rsidR="00C06D48">
        <w:t>.</w:t>
      </w:r>
      <w:r w:rsidR="003E2C05">
        <w:t xml:space="preserve"> The results from both techniques are in good agreement and </w:t>
      </w:r>
      <w:r w:rsidR="00F24F2E">
        <w:t xml:space="preserve">this </w:t>
      </w:r>
      <w:r w:rsidR="003E2C05">
        <w:t xml:space="preserve">indicates that this technique is suitable for analysis of samples from </w:t>
      </w:r>
      <w:r w:rsidR="003E2C05">
        <w:rPr>
          <w:b/>
          <w:i/>
          <w:sz w:val="26"/>
        </w:rPr>
        <w:t>eriss</w:t>
      </w:r>
      <w:r w:rsidR="003E2C05">
        <w:t xml:space="preserve"> research projects</w:t>
      </w:r>
      <w:r w:rsidR="00A52482">
        <w:t xml:space="preserve"> and validates the method</w:t>
      </w:r>
      <w:r w:rsidR="003E2C05">
        <w:t xml:space="preserve">. </w:t>
      </w:r>
    </w:p>
    <w:p w:rsidR="004A2406" w:rsidRDefault="004A2406" w:rsidP="005A3F68">
      <w:r w:rsidRPr="004A2406">
        <w:rPr>
          <w:noProof/>
          <w:lang w:eastAsia="en-AU"/>
        </w:rPr>
        <w:drawing>
          <wp:inline distT="0" distB="0" distL="0" distR="0" wp14:anchorId="7A519B6B" wp14:editId="7A519B6C">
            <wp:extent cx="5274310" cy="4074335"/>
            <wp:effectExtent l="19050" t="0" r="2540" b="0"/>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cstate="print"/>
                    <a:srcRect/>
                    <a:stretch>
                      <a:fillRect/>
                    </a:stretch>
                  </pic:blipFill>
                  <pic:spPr bwMode="auto">
                    <a:xfrm>
                      <a:off x="0" y="0"/>
                      <a:ext cx="5274310" cy="4074335"/>
                    </a:xfrm>
                    <a:prstGeom prst="rect">
                      <a:avLst/>
                    </a:prstGeom>
                    <a:noFill/>
                    <a:ln w="9525">
                      <a:noFill/>
                      <a:miter lim="800000"/>
                      <a:headEnd/>
                      <a:tailEnd/>
                    </a:ln>
                  </pic:spPr>
                </pic:pic>
              </a:graphicData>
            </a:graphic>
          </wp:inline>
        </w:drawing>
      </w:r>
    </w:p>
    <w:p w:rsidR="004A2406" w:rsidRDefault="004A2406" w:rsidP="004A2406">
      <w:pPr>
        <w:jc w:val="center"/>
      </w:pPr>
      <w:r w:rsidRPr="00983083">
        <w:rPr>
          <w:rFonts w:ascii="Arial" w:hAnsi="Arial"/>
          <w:b/>
          <w:sz w:val="18"/>
        </w:rPr>
        <w:t xml:space="preserve">Figure </w:t>
      </w:r>
      <w:r w:rsidR="00451D73" w:rsidRPr="00983083">
        <w:rPr>
          <w:rFonts w:ascii="Arial" w:hAnsi="Arial"/>
          <w:b/>
          <w:sz w:val="18"/>
        </w:rPr>
        <w:t>21</w:t>
      </w:r>
      <w:r w:rsidR="00451D73" w:rsidRPr="00983083">
        <w:rPr>
          <w:rFonts w:ascii="Arial" w:hAnsi="Arial"/>
          <w:sz w:val="18"/>
        </w:rPr>
        <w:t xml:space="preserve">  </w:t>
      </w:r>
      <w:r w:rsidRPr="00983083">
        <w:rPr>
          <w:rFonts w:ascii="Arial" w:hAnsi="Arial"/>
          <w:sz w:val="18"/>
        </w:rPr>
        <w:t>A</w:t>
      </w:r>
      <w:r>
        <w:rPr>
          <w:rFonts w:ascii="Arial" w:hAnsi="Arial"/>
          <w:sz w:val="18"/>
        </w:rPr>
        <w:t xml:space="preserve"> comparison of the developed LSC method with an </w:t>
      </w:r>
      <w:r w:rsidRPr="004A2406">
        <w:rPr>
          <w:rFonts w:ascii="Arial" w:hAnsi="Arial"/>
          <w:b/>
          <w:i/>
          <w:sz w:val="26"/>
        </w:rPr>
        <w:t>eriss</w:t>
      </w:r>
      <w:r w:rsidRPr="004A2406">
        <w:rPr>
          <w:rFonts w:ascii="Arial" w:hAnsi="Arial"/>
          <w:sz w:val="18"/>
        </w:rPr>
        <w:t xml:space="preserve"> </w:t>
      </w:r>
      <w:r>
        <w:rPr>
          <w:rFonts w:ascii="Arial" w:hAnsi="Arial"/>
          <w:sz w:val="18"/>
        </w:rPr>
        <w:t>gamma spectrometry method using a set of freshwater mussels</w:t>
      </w:r>
    </w:p>
    <w:p w:rsidR="003E2C05" w:rsidRDefault="003E2C05" w:rsidP="005A3F68">
      <w:r>
        <w:t>From this set of mussel samples, 4 were re-counted in the LSC several times over a period of several months to check the stability of the scintillation cocktail with actual samples. Although the variability in measured values was relatively high for one of the samples (2</w:t>
      </w:r>
      <w:r w:rsidR="006158C1">
        <w:t>3</w:t>
      </w:r>
      <w:r w:rsidR="00FD27F5">
        <w:t xml:space="preserve">% </w:t>
      </w:r>
      <w:r>
        <w:t>RSD</w:t>
      </w:r>
      <w:r w:rsidR="00FD27F5">
        <w:t xml:space="preserve"> for the 8½ y old sample</w:t>
      </w:r>
      <w:r>
        <w:t xml:space="preserve">), overall the stability of the scintillation cocktail was good and low variability was observed in repeat measurements. It is important to note that the </w:t>
      </w:r>
      <w:r w:rsidR="00AE6548">
        <w:t xml:space="preserve">activity of </w:t>
      </w:r>
      <w:r w:rsidR="00AE6548" w:rsidRPr="00AE6548">
        <w:rPr>
          <w:snapToGrid w:val="0"/>
          <w:color w:val="000000"/>
          <w:position w:val="6"/>
          <w:sz w:val="16"/>
          <w:szCs w:val="0"/>
          <w:u w:color="000000"/>
        </w:rPr>
        <w:t>210</w:t>
      </w:r>
      <w:r w:rsidR="00AE6548">
        <w:t xml:space="preserve">Bi as measured by the efficiency of the </w:t>
      </w:r>
      <w:r w:rsidR="00AE6548" w:rsidRPr="00896DE7">
        <w:rPr>
          <w:snapToGrid w:val="0"/>
          <w:color w:val="000000"/>
          <w:position w:val="6"/>
          <w:sz w:val="16"/>
          <w:szCs w:val="0"/>
          <w:u w:color="000000"/>
        </w:rPr>
        <w:t>210</w:t>
      </w:r>
      <w:r w:rsidR="00AE6548">
        <w:t xml:space="preserve">Bi window, was as expected </w:t>
      </w:r>
      <w:r w:rsidR="00F24F2E">
        <w:t xml:space="preserve">in </w:t>
      </w:r>
      <w:r w:rsidR="00EF5D46">
        <w:t xml:space="preserve">those </w:t>
      </w:r>
      <w:r w:rsidR="00F24F2E">
        <w:t xml:space="preserve">samples counted </w:t>
      </w:r>
      <w:r w:rsidR="00EF5D46">
        <w:t>within days</w:t>
      </w:r>
      <w:r w:rsidR="00F24F2E">
        <w:t xml:space="preserve"> after preparation, </w:t>
      </w:r>
      <w:r w:rsidR="00AE6548">
        <w:t xml:space="preserve">and </w:t>
      </w:r>
      <w:r w:rsidR="00F24F2E">
        <w:t xml:space="preserve">that </w:t>
      </w:r>
      <w:r w:rsidR="00AE6548">
        <w:t xml:space="preserve">the reduced counting efficiencies </w:t>
      </w:r>
      <w:r w:rsidR="00F24F2E">
        <w:t xml:space="preserve">previously </w:t>
      </w:r>
      <w:r w:rsidR="00AE6548">
        <w:t xml:space="preserve">seen in the </w:t>
      </w:r>
      <w:r w:rsidR="00F24F2E">
        <w:t>fresh and aged standards</w:t>
      </w:r>
      <w:r w:rsidR="00AE6548">
        <w:t xml:space="preserve"> </w:t>
      </w:r>
      <w:r w:rsidR="00FD27F5">
        <w:t>(</w:t>
      </w:r>
      <w:r w:rsidR="00FD27F5" w:rsidRPr="00983083">
        <w:t>figure</w:t>
      </w:r>
      <w:r w:rsidR="000A29F3" w:rsidRPr="00983083">
        <w:t>s</w:t>
      </w:r>
      <w:r w:rsidR="00FD27F5" w:rsidRPr="00983083">
        <w:t xml:space="preserve"> </w:t>
      </w:r>
      <w:r w:rsidR="000A29F3" w:rsidRPr="00983083">
        <w:t>18 and 19</w:t>
      </w:r>
      <w:r w:rsidR="00FD27F5" w:rsidRPr="00983083">
        <w:t>)</w:t>
      </w:r>
      <w:r w:rsidR="00AE6548" w:rsidRPr="00983083">
        <w:t xml:space="preserve"> was</w:t>
      </w:r>
      <w:r w:rsidR="00AE6548">
        <w:t xml:space="preserve"> not observed.</w:t>
      </w:r>
    </w:p>
    <w:p w:rsidR="007B4A6B" w:rsidRDefault="00451D73" w:rsidP="007B4A6B">
      <w:pPr>
        <w:pStyle w:val="Heading3"/>
      </w:pPr>
      <w:bookmarkStart w:id="48" w:name="_Toc467491570"/>
      <w:r>
        <w:t xml:space="preserve">4.10  </w:t>
      </w:r>
      <w:r w:rsidR="007B4A6B">
        <w:t xml:space="preserve">Analytical </w:t>
      </w:r>
      <w:r w:rsidR="00D92477">
        <w:t>b</w:t>
      </w:r>
      <w:r w:rsidR="007B4A6B">
        <w:t>lank and limits of detection</w:t>
      </w:r>
      <w:bookmarkEnd w:id="48"/>
    </w:p>
    <w:p w:rsidR="005B3D74" w:rsidRDefault="007B4A6B" w:rsidP="007B4A6B">
      <w:r w:rsidRPr="007B4A6B">
        <w:t xml:space="preserve">The </w:t>
      </w:r>
      <w:r>
        <w:t>limits of detection were determined using formulae from Currie (1968), where the limit of detection (</w:t>
      </w:r>
      <w:r w:rsidR="00EC5420" w:rsidRPr="00EC5420">
        <w:rPr>
          <w:i/>
        </w:rPr>
        <w:t>L</w:t>
      </w:r>
      <w:r w:rsidR="00EC5420" w:rsidRPr="00EC5420">
        <w:rPr>
          <w:i/>
          <w:snapToGrid w:val="0"/>
          <w:color w:val="000000"/>
          <w:position w:val="-6"/>
          <w:sz w:val="16"/>
          <w:szCs w:val="0"/>
          <w:u w:color="000000"/>
        </w:rPr>
        <w:t>D</w:t>
      </w:r>
      <w:r>
        <w:t>) and limit of quantification</w:t>
      </w:r>
      <w:r w:rsidR="00EC5420">
        <w:t xml:space="preserve"> (</w:t>
      </w:r>
      <w:r w:rsidR="00EC5420" w:rsidRPr="00EC5420">
        <w:rPr>
          <w:i/>
        </w:rPr>
        <w:t>L</w:t>
      </w:r>
      <w:r w:rsidR="00EC5420">
        <w:rPr>
          <w:i/>
          <w:snapToGrid w:val="0"/>
          <w:color w:val="000000"/>
          <w:position w:val="-6"/>
          <w:sz w:val="16"/>
          <w:szCs w:val="0"/>
          <w:u w:color="000000"/>
        </w:rPr>
        <w:t>Q</w:t>
      </w:r>
      <w:r w:rsidR="00EC5420">
        <w:t>)</w:t>
      </w:r>
      <w:r>
        <w:t>are defined as functions of the standard deviation of the blank count rate</w:t>
      </w:r>
      <w:r w:rsidR="000A29F3">
        <w:t xml:space="preserve"> (table 1)</w:t>
      </w:r>
      <w:r>
        <w:t xml:space="preserve">. </w:t>
      </w:r>
    </w:p>
    <w:p w:rsidR="000265ED" w:rsidRDefault="000A29F3" w:rsidP="007B4A6B">
      <w:r>
        <w:rPr>
          <w:rFonts w:ascii="Arial" w:hAnsi="Arial"/>
          <w:b/>
          <w:sz w:val="18"/>
        </w:rPr>
        <w:t>Table</w:t>
      </w:r>
      <w:r w:rsidRPr="00684812">
        <w:rPr>
          <w:rFonts w:ascii="Arial" w:hAnsi="Arial"/>
          <w:b/>
          <w:sz w:val="18"/>
        </w:rPr>
        <w:t xml:space="preserve"> </w:t>
      </w:r>
      <w:r w:rsidR="000265ED" w:rsidRPr="00684812">
        <w:rPr>
          <w:rFonts w:ascii="Arial" w:hAnsi="Arial"/>
          <w:b/>
          <w:sz w:val="18"/>
        </w:rPr>
        <w:t xml:space="preserve">1: </w:t>
      </w:r>
      <w:r w:rsidR="000265ED">
        <w:rPr>
          <w:rFonts w:ascii="Arial" w:hAnsi="Arial"/>
          <w:sz w:val="18"/>
        </w:rPr>
        <w:t>Currie’s</w:t>
      </w:r>
      <w:r w:rsidR="00416B53">
        <w:rPr>
          <w:rFonts w:ascii="Arial" w:hAnsi="Arial"/>
          <w:sz w:val="18"/>
        </w:rPr>
        <w:t xml:space="preserve"> </w:t>
      </w:r>
      <w:r w:rsidR="000265ED">
        <w:rPr>
          <w:rFonts w:ascii="Arial" w:hAnsi="Arial"/>
          <w:sz w:val="18"/>
        </w:rPr>
        <w:t xml:space="preserve">(1968) formulae for calculating </w:t>
      </w:r>
      <w:r w:rsidR="000265ED" w:rsidRPr="000265ED">
        <w:rPr>
          <w:rFonts w:ascii="Arial" w:hAnsi="Arial"/>
          <w:i/>
          <w:sz w:val="18"/>
        </w:rPr>
        <w:t>L</w:t>
      </w:r>
      <w:r w:rsidR="000265ED" w:rsidRPr="000265ED">
        <w:rPr>
          <w:rFonts w:ascii="Arial" w:hAnsi="Arial"/>
          <w:i/>
          <w:snapToGrid w:val="0"/>
          <w:color w:val="000000"/>
          <w:position w:val="-4"/>
          <w:sz w:val="12"/>
          <w:szCs w:val="0"/>
          <w:u w:color="000000"/>
        </w:rPr>
        <w:t>D</w:t>
      </w:r>
      <w:r w:rsidR="000265ED">
        <w:rPr>
          <w:rFonts w:ascii="Arial" w:hAnsi="Arial"/>
          <w:sz w:val="18"/>
        </w:rPr>
        <w:t xml:space="preserve"> and </w:t>
      </w:r>
      <w:r w:rsidR="000265ED" w:rsidRPr="000265ED">
        <w:rPr>
          <w:rFonts w:ascii="Arial" w:hAnsi="Arial"/>
          <w:i/>
          <w:sz w:val="18"/>
        </w:rPr>
        <w:t>L</w:t>
      </w:r>
      <w:r w:rsidR="000265ED" w:rsidRPr="000265ED">
        <w:rPr>
          <w:rFonts w:ascii="Arial" w:hAnsi="Arial"/>
          <w:i/>
          <w:snapToGrid w:val="0"/>
          <w:color w:val="000000"/>
          <w:position w:val="-4"/>
          <w:sz w:val="12"/>
          <w:szCs w:val="0"/>
          <w:u w:color="000000"/>
        </w:rPr>
        <w:t>Q</w:t>
      </w:r>
      <w:r w:rsidR="000265ED">
        <w:rPr>
          <w:rFonts w:ascii="Arial" w:hAnsi="Arial"/>
          <w:sz w:val="18"/>
        </w:rPr>
        <w:t xml:space="preserve"> (</w:t>
      </w:r>
      <w:r w:rsidR="000265ED" w:rsidRPr="000265ED">
        <w:rPr>
          <w:rFonts w:ascii="Calibri" w:hAnsi="Calibri"/>
          <w:sz w:val="28"/>
        </w:rPr>
        <w:t>σ</w:t>
      </w:r>
      <w:r w:rsidR="000265ED" w:rsidRPr="000265ED">
        <w:rPr>
          <w:rFonts w:ascii="Arial" w:hAnsi="Arial"/>
          <w:snapToGrid w:val="0"/>
          <w:color w:val="000000"/>
          <w:position w:val="-4"/>
          <w:sz w:val="12"/>
          <w:szCs w:val="0"/>
          <w:u w:color="000000"/>
        </w:rPr>
        <w:t>B</w:t>
      </w:r>
      <w:r w:rsidR="000265ED">
        <w:rPr>
          <w:rFonts w:ascii="Arial" w:hAnsi="Arial"/>
          <w:snapToGrid w:val="0"/>
          <w:color w:val="000000"/>
          <w:position w:val="-4"/>
          <w:sz w:val="12"/>
          <w:szCs w:val="0"/>
          <w:u w:color="000000"/>
        </w:rPr>
        <w:t xml:space="preserve"> </w:t>
      </w:r>
      <w:r w:rsidR="000265ED">
        <w:rPr>
          <w:rFonts w:ascii="Arial" w:hAnsi="Arial"/>
          <w:snapToGrid w:val="0"/>
          <w:color w:val="000000"/>
          <w:sz w:val="18"/>
          <w:szCs w:val="0"/>
          <w:u w:color="000000"/>
        </w:rPr>
        <w:t>is the standard deviation of the blank)</w:t>
      </w:r>
    </w:p>
    <w:tbl>
      <w:tblPr>
        <w:tblW w:w="0" w:type="auto"/>
        <w:tblLook w:val="00A0" w:firstRow="1" w:lastRow="0" w:firstColumn="1" w:lastColumn="0" w:noHBand="0" w:noVBand="0"/>
      </w:tblPr>
      <w:tblGrid>
        <w:gridCol w:w="1985"/>
        <w:gridCol w:w="1842"/>
        <w:gridCol w:w="2154"/>
        <w:gridCol w:w="1976"/>
      </w:tblGrid>
      <w:tr w:rsidR="00EF5D46" w:rsidRPr="00EF5D46" w:rsidTr="00EF5D46">
        <w:tc>
          <w:tcPr>
            <w:tcW w:w="1985" w:type="dxa"/>
            <w:tcBorders>
              <w:top w:val="single" w:sz="4" w:space="0" w:color="auto"/>
              <w:bottom w:val="single" w:sz="4" w:space="0" w:color="auto"/>
            </w:tcBorders>
            <w:vAlign w:val="center"/>
          </w:tcPr>
          <w:p w:rsidR="00EF5D46" w:rsidRPr="00EF5D46" w:rsidRDefault="00EF5D46" w:rsidP="00EF5D46">
            <w:pPr>
              <w:pStyle w:val="table1"/>
              <w:jc w:val="center"/>
              <w:rPr>
                <w:b/>
              </w:rPr>
            </w:pPr>
            <w:r w:rsidRPr="00EF5D46">
              <w:rPr>
                <w:b/>
              </w:rPr>
              <w:t>Limit type/type of measurement</w:t>
            </w:r>
          </w:p>
        </w:tc>
        <w:tc>
          <w:tcPr>
            <w:tcW w:w="1842" w:type="dxa"/>
            <w:tcBorders>
              <w:top w:val="single" w:sz="4" w:space="0" w:color="auto"/>
              <w:bottom w:val="single" w:sz="4" w:space="0" w:color="auto"/>
            </w:tcBorders>
            <w:vAlign w:val="center"/>
          </w:tcPr>
          <w:p w:rsidR="00EF5D46" w:rsidRPr="00EF5D46" w:rsidRDefault="00EF5D46" w:rsidP="00EF5D46">
            <w:pPr>
              <w:pStyle w:val="table1"/>
              <w:jc w:val="center"/>
              <w:rPr>
                <w:b/>
              </w:rPr>
            </w:pPr>
            <w:r w:rsidRPr="00EF5D46">
              <w:rPr>
                <w:b/>
              </w:rPr>
              <w:t>Critical Value (IDL)</w:t>
            </w:r>
          </w:p>
        </w:tc>
        <w:tc>
          <w:tcPr>
            <w:tcW w:w="2154" w:type="dxa"/>
            <w:tcBorders>
              <w:top w:val="single" w:sz="4" w:space="0" w:color="auto"/>
              <w:bottom w:val="single" w:sz="4" w:space="0" w:color="auto"/>
            </w:tcBorders>
            <w:vAlign w:val="center"/>
          </w:tcPr>
          <w:p w:rsidR="00EF5D46" w:rsidRPr="00EF5D46" w:rsidRDefault="00EF5D46" w:rsidP="00EF5D46">
            <w:pPr>
              <w:pStyle w:val="table1"/>
              <w:jc w:val="center"/>
              <w:rPr>
                <w:b/>
              </w:rPr>
            </w:pPr>
            <w:r w:rsidRPr="00EF5D46">
              <w:rPr>
                <w:b/>
              </w:rPr>
              <w:t>Limit of Detection (MDL)</w:t>
            </w:r>
          </w:p>
        </w:tc>
        <w:tc>
          <w:tcPr>
            <w:tcW w:w="1976" w:type="dxa"/>
            <w:tcBorders>
              <w:top w:val="single" w:sz="4" w:space="0" w:color="auto"/>
              <w:bottom w:val="single" w:sz="4" w:space="0" w:color="auto"/>
            </w:tcBorders>
            <w:vAlign w:val="center"/>
          </w:tcPr>
          <w:p w:rsidR="00EF5D46" w:rsidRPr="00EF5D46" w:rsidRDefault="00EF5D46" w:rsidP="00EF5D46">
            <w:pPr>
              <w:pStyle w:val="table1"/>
              <w:jc w:val="center"/>
              <w:rPr>
                <w:b/>
              </w:rPr>
            </w:pPr>
            <w:r w:rsidRPr="00EF5D46">
              <w:rPr>
                <w:b/>
              </w:rPr>
              <w:t>Limit of quantification</w:t>
            </w:r>
          </w:p>
        </w:tc>
      </w:tr>
      <w:tr w:rsidR="00EF5D46" w:rsidRPr="00EF5D46" w:rsidTr="00EF5D46">
        <w:tc>
          <w:tcPr>
            <w:tcW w:w="1985" w:type="dxa"/>
            <w:tcBorders>
              <w:top w:val="single" w:sz="4" w:space="0" w:color="auto"/>
            </w:tcBorders>
            <w:vAlign w:val="center"/>
          </w:tcPr>
          <w:p w:rsidR="00EF5D46" w:rsidRPr="00EF5D46" w:rsidRDefault="00EF5D46" w:rsidP="00EF5D46">
            <w:pPr>
              <w:pStyle w:val="table1"/>
              <w:jc w:val="center"/>
            </w:pPr>
            <w:r w:rsidRPr="00EF5D46">
              <w:t>Paired observations</w:t>
            </w:r>
          </w:p>
        </w:tc>
        <w:tc>
          <w:tcPr>
            <w:tcW w:w="1842" w:type="dxa"/>
            <w:tcBorders>
              <w:top w:val="single" w:sz="4" w:space="0" w:color="auto"/>
            </w:tcBorders>
            <w:vAlign w:val="center"/>
          </w:tcPr>
          <w:p w:rsidR="00EF5D46" w:rsidRPr="00EF5D46" w:rsidRDefault="00EF5D46" w:rsidP="00EF5D46">
            <w:pPr>
              <w:pStyle w:val="table1"/>
              <w:jc w:val="center"/>
            </w:pPr>
            <w:r w:rsidRPr="00EF5D46">
              <w:t xml:space="preserve">2.33 x </w:t>
            </w:r>
            <w:r w:rsidRPr="00EF5D46">
              <w:rPr>
                <w:szCs w:val="18"/>
              </w:rPr>
              <w:t>б</w:t>
            </w:r>
            <w:r w:rsidRPr="000265ED">
              <w:rPr>
                <w:snapToGrid w:val="0"/>
                <w:color w:val="000000"/>
                <w:position w:val="-4"/>
                <w:sz w:val="11"/>
                <w:szCs w:val="0"/>
                <w:u w:color="000000"/>
              </w:rPr>
              <w:t>B</w:t>
            </w:r>
          </w:p>
        </w:tc>
        <w:tc>
          <w:tcPr>
            <w:tcW w:w="2154" w:type="dxa"/>
            <w:tcBorders>
              <w:top w:val="single" w:sz="4" w:space="0" w:color="auto"/>
            </w:tcBorders>
            <w:vAlign w:val="center"/>
          </w:tcPr>
          <w:p w:rsidR="00EF5D46" w:rsidRPr="00EF5D46" w:rsidRDefault="00EF5D46" w:rsidP="00EF5D46">
            <w:pPr>
              <w:pStyle w:val="table1"/>
              <w:jc w:val="center"/>
            </w:pPr>
            <w:r w:rsidRPr="00EF5D46">
              <w:t xml:space="preserve">4.65 x </w:t>
            </w:r>
            <w:r w:rsidRPr="00EF5D46">
              <w:rPr>
                <w:szCs w:val="18"/>
              </w:rPr>
              <w:t>б</w:t>
            </w:r>
            <w:r w:rsidRPr="000265ED">
              <w:rPr>
                <w:snapToGrid w:val="0"/>
                <w:color w:val="000000"/>
                <w:position w:val="-4"/>
                <w:sz w:val="11"/>
                <w:szCs w:val="0"/>
                <w:u w:color="000000"/>
              </w:rPr>
              <w:t>B</w:t>
            </w:r>
          </w:p>
        </w:tc>
        <w:tc>
          <w:tcPr>
            <w:tcW w:w="1976" w:type="dxa"/>
            <w:tcBorders>
              <w:top w:val="single" w:sz="4" w:space="0" w:color="auto"/>
            </w:tcBorders>
            <w:vAlign w:val="center"/>
          </w:tcPr>
          <w:p w:rsidR="00EF5D46" w:rsidRPr="00EF5D46" w:rsidRDefault="00EF5D46" w:rsidP="00EF5D46">
            <w:pPr>
              <w:pStyle w:val="table1"/>
              <w:jc w:val="center"/>
            </w:pPr>
            <w:r w:rsidRPr="00EF5D46">
              <w:t xml:space="preserve">14.1 x </w:t>
            </w:r>
            <w:r w:rsidRPr="00EF5D46">
              <w:rPr>
                <w:szCs w:val="18"/>
              </w:rPr>
              <w:t>б</w:t>
            </w:r>
            <w:r w:rsidRPr="000265ED">
              <w:rPr>
                <w:snapToGrid w:val="0"/>
                <w:color w:val="000000"/>
                <w:position w:val="-4"/>
                <w:sz w:val="11"/>
                <w:szCs w:val="0"/>
                <w:u w:color="000000"/>
              </w:rPr>
              <w:t>B</w:t>
            </w:r>
          </w:p>
        </w:tc>
      </w:tr>
      <w:tr w:rsidR="00EF5D46" w:rsidRPr="00EF5D46" w:rsidTr="00EF5D46">
        <w:tc>
          <w:tcPr>
            <w:tcW w:w="1985" w:type="dxa"/>
            <w:tcBorders>
              <w:bottom w:val="single" w:sz="4" w:space="0" w:color="auto"/>
            </w:tcBorders>
            <w:vAlign w:val="center"/>
          </w:tcPr>
          <w:p w:rsidR="00EF5D46" w:rsidRPr="00EF5D46" w:rsidRDefault="00EF5D46" w:rsidP="00EF5D46">
            <w:pPr>
              <w:pStyle w:val="table1"/>
              <w:jc w:val="center"/>
            </w:pPr>
            <w:r w:rsidRPr="00EF5D46">
              <w:t>‘Well-known’ blank</w:t>
            </w:r>
          </w:p>
        </w:tc>
        <w:tc>
          <w:tcPr>
            <w:tcW w:w="1842" w:type="dxa"/>
            <w:tcBorders>
              <w:bottom w:val="single" w:sz="4" w:space="0" w:color="auto"/>
            </w:tcBorders>
            <w:vAlign w:val="center"/>
          </w:tcPr>
          <w:p w:rsidR="00EF5D46" w:rsidRPr="00EF5D46" w:rsidRDefault="00EF5D46" w:rsidP="00EF5D46">
            <w:pPr>
              <w:pStyle w:val="table1"/>
              <w:jc w:val="center"/>
            </w:pPr>
            <w:r w:rsidRPr="00EF5D46">
              <w:t xml:space="preserve">1.64 x </w:t>
            </w:r>
            <w:r w:rsidRPr="00EF5D46">
              <w:rPr>
                <w:szCs w:val="18"/>
              </w:rPr>
              <w:t>б</w:t>
            </w:r>
            <w:r w:rsidRPr="000265ED">
              <w:rPr>
                <w:snapToGrid w:val="0"/>
                <w:color w:val="000000"/>
                <w:position w:val="-4"/>
                <w:sz w:val="11"/>
                <w:szCs w:val="0"/>
                <w:u w:color="000000"/>
              </w:rPr>
              <w:t>B</w:t>
            </w:r>
          </w:p>
        </w:tc>
        <w:tc>
          <w:tcPr>
            <w:tcW w:w="2154" w:type="dxa"/>
            <w:tcBorders>
              <w:bottom w:val="single" w:sz="4" w:space="0" w:color="auto"/>
            </w:tcBorders>
            <w:vAlign w:val="center"/>
          </w:tcPr>
          <w:p w:rsidR="00EF5D46" w:rsidRPr="00EF5D46" w:rsidRDefault="00EF5D46" w:rsidP="00EF5D46">
            <w:pPr>
              <w:pStyle w:val="table1"/>
              <w:jc w:val="center"/>
            </w:pPr>
            <w:r w:rsidRPr="00EF5D46">
              <w:t xml:space="preserve">3.29 x </w:t>
            </w:r>
            <w:r w:rsidRPr="00EF5D46">
              <w:rPr>
                <w:szCs w:val="18"/>
              </w:rPr>
              <w:t>б</w:t>
            </w:r>
            <w:r w:rsidRPr="000265ED">
              <w:rPr>
                <w:snapToGrid w:val="0"/>
                <w:color w:val="000000"/>
                <w:position w:val="-4"/>
                <w:sz w:val="11"/>
                <w:szCs w:val="0"/>
                <w:u w:color="000000"/>
              </w:rPr>
              <w:t>B</w:t>
            </w:r>
          </w:p>
        </w:tc>
        <w:tc>
          <w:tcPr>
            <w:tcW w:w="1976" w:type="dxa"/>
            <w:tcBorders>
              <w:bottom w:val="single" w:sz="4" w:space="0" w:color="auto"/>
            </w:tcBorders>
            <w:vAlign w:val="center"/>
          </w:tcPr>
          <w:p w:rsidR="00EF5D46" w:rsidRPr="00EF5D46" w:rsidRDefault="00EF5D46" w:rsidP="00EF5D46">
            <w:pPr>
              <w:pStyle w:val="table1"/>
              <w:jc w:val="center"/>
            </w:pPr>
            <w:r w:rsidRPr="00EF5D46">
              <w:t xml:space="preserve">10.0 x </w:t>
            </w:r>
            <w:r w:rsidRPr="00EF5D46">
              <w:rPr>
                <w:szCs w:val="18"/>
              </w:rPr>
              <w:t>б</w:t>
            </w:r>
            <w:r w:rsidRPr="000265ED">
              <w:rPr>
                <w:snapToGrid w:val="0"/>
                <w:color w:val="000000"/>
                <w:position w:val="-4"/>
                <w:sz w:val="11"/>
                <w:szCs w:val="0"/>
                <w:u w:color="000000"/>
              </w:rPr>
              <w:t>B</w:t>
            </w:r>
          </w:p>
        </w:tc>
      </w:tr>
    </w:tbl>
    <w:p w:rsidR="00EF5D46" w:rsidRDefault="00EF5D46" w:rsidP="007B4A6B"/>
    <w:p w:rsidR="005B3D74" w:rsidRDefault="007B4A6B" w:rsidP="007B4A6B">
      <w:r>
        <w:t>The blank count rate used here for calculating detection limits is based on a single 1500 minute (90 ks) count of the blank from analysis of the set of mussels. This was chosen as the count time was 1500 minutes (which is the minimum count time for samples and much higher than the 6</w:t>
      </w:r>
      <w:r w:rsidR="009541F3">
        <w:t xml:space="preserve"> </w:t>
      </w:r>
      <w:r>
        <w:t xml:space="preserve">ks maximum count time for the calibration standards) and it was believed to be more representative of the blank count rate that can be expected in actual samples.  </w:t>
      </w:r>
    </w:p>
    <w:p w:rsidR="004135EC" w:rsidRPr="00983083" w:rsidRDefault="007B4A6B" w:rsidP="007B4A6B">
      <w:r>
        <w:t>The count rate</w:t>
      </w:r>
      <w:r w:rsidR="005B3D74">
        <w:t xml:space="preserve"> in the blank</w:t>
      </w:r>
      <w:r w:rsidR="00BC0DDB">
        <w:t xml:space="preserve"> was 155.56±1.31 counts per ks</w:t>
      </w:r>
      <w:r w:rsidR="009E78FC">
        <w:t xml:space="preserve"> (uncertainty is based on counting statistics only)</w:t>
      </w:r>
      <w:r w:rsidR="00BC0DDB">
        <w:t>. E</w:t>
      </w:r>
      <w:r>
        <w:t>stimated detection limit</w:t>
      </w:r>
      <w:r w:rsidR="00BC0DDB">
        <w:t>s</w:t>
      </w:r>
      <w:r w:rsidR="004135EC">
        <w:t xml:space="preserve"> for the 11–330 keV and 173–330 keV count windows</w:t>
      </w:r>
      <w:r w:rsidR="00BC0DDB">
        <w:t xml:space="preserve">, based on the predicted combined efficiency for freshly prepared samples, assuming a chemical recovery of 80% and relative to the number of days since separation of </w:t>
      </w:r>
      <w:r w:rsidR="004A2406">
        <w:t>Pb</w:t>
      </w:r>
      <w:r w:rsidR="00BC0DDB">
        <w:t xml:space="preserve">, are shown in </w:t>
      </w:r>
      <w:r w:rsidR="00BC0DDB" w:rsidRPr="00983083">
        <w:t xml:space="preserve">figure </w:t>
      </w:r>
      <w:r w:rsidR="000A29F3" w:rsidRPr="00983083">
        <w:t>22</w:t>
      </w:r>
      <w:r w:rsidR="00BC0DDB" w:rsidRPr="00983083">
        <w:t>.</w:t>
      </w:r>
      <w:r w:rsidRPr="00983083">
        <w:t xml:space="preserve"> </w:t>
      </w:r>
    </w:p>
    <w:p w:rsidR="004135EC" w:rsidRDefault="00423A32" w:rsidP="007B4A6B">
      <w:r w:rsidRPr="00423A32">
        <w:rPr>
          <w:noProof/>
          <w:lang w:eastAsia="en-AU"/>
        </w:rPr>
        <w:drawing>
          <wp:inline distT="0" distB="0" distL="0" distR="0" wp14:anchorId="7A519B6D" wp14:editId="7A519B6E">
            <wp:extent cx="5274310" cy="4278051"/>
            <wp:effectExtent l="19050" t="0" r="254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cstate="print"/>
                    <a:srcRect/>
                    <a:stretch>
                      <a:fillRect/>
                    </a:stretch>
                  </pic:blipFill>
                  <pic:spPr bwMode="auto">
                    <a:xfrm>
                      <a:off x="0" y="0"/>
                      <a:ext cx="5274310" cy="4278051"/>
                    </a:xfrm>
                    <a:prstGeom prst="rect">
                      <a:avLst/>
                    </a:prstGeom>
                    <a:noFill/>
                    <a:ln w="9525">
                      <a:noFill/>
                      <a:miter lim="800000"/>
                      <a:headEnd/>
                      <a:tailEnd/>
                    </a:ln>
                  </pic:spPr>
                </pic:pic>
              </a:graphicData>
            </a:graphic>
          </wp:inline>
        </w:drawing>
      </w:r>
    </w:p>
    <w:p w:rsidR="004A2406" w:rsidRDefault="004A2406" w:rsidP="004A2406">
      <w:pPr>
        <w:jc w:val="center"/>
      </w:pPr>
      <w:r w:rsidRPr="00983083">
        <w:rPr>
          <w:rFonts w:ascii="Arial" w:hAnsi="Arial"/>
          <w:b/>
          <w:sz w:val="18"/>
        </w:rPr>
        <w:t xml:space="preserve">Figure </w:t>
      </w:r>
      <w:r w:rsidR="000A29F3" w:rsidRPr="00983083">
        <w:rPr>
          <w:rFonts w:ascii="Arial" w:hAnsi="Arial"/>
          <w:b/>
          <w:sz w:val="18"/>
        </w:rPr>
        <w:t>22</w:t>
      </w:r>
      <w:r w:rsidR="000A29F3" w:rsidRPr="00983083">
        <w:rPr>
          <w:rFonts w:ascii="Arial" w:hAnsi="Arial"/>
          <w:sz w:val="18"/>
        </w:rPr>
        <w:t xml:space="preserve">  </w:t>
      </w:r>
      <w:r w:rsidRPr="00983083">
        <w:rPr>
          <w:rFonts w:ascii="Arial" w:hAnsi="Arial"/>
          <w:sz w:val="18"/>
        </w:rPr>
        <w:t>Detection</w:t>
      </w:r>
      <w:r>
        <w:rPr>
          <w:rFonts w:ascii="Arial" w:hAnsi="Arial"/>
          <w:sz w:val="18"/>
        </w:rPr>
        <w:t xml:space="preserve"> limits (</w:t>
      </w:r>
      <w:r w:rsidRPr="004A2406">
        <w:rPr>
          <w:rFonts w:ascii="Arial" w:hAnsi="Arial"/>
          <w:i/>
          <w:sz w:val="18"/>
        </w:rPr>
        <w:t>L</w:t>
      </w:r>
      <w:r w:rsidRPr="004A2406">
        <w:rPr>
          <w:rFonts w:ascii="Arial" w:hAnsi="Arial"/>
          <w:i/>
          <w:snapToGrid w:val="0"/>
          <w:color w:val="000000"/>
          <w:position w:val="-4"/>
          <w:sz w:val="12"/>
          <w:szCs w:val="0"/>
          <w:u w:color="000000"/>
        </w:rPr>
        <w:t>D</w:t>
      </w:r>
      <w:r>
        <w:rPr>
          <w:rFonts w:ascii="Arial" w:hAnsi="Arial"/>
          <w:sz w:val="18"/>
        </w:rPr>
        <w:t>) in mBq for the 11–330 keV and 173–330 keV count windows relative to the time since initial separation of Pb</w:t>
      </w:r>
    </w:p>
    <w:p w:rsidR="005B3D74" w:rsidRDefault="00EC5420" w:rsidP="007B4A6B">
      <w:r>
        <w:t xml:space="preserve">Our desired </w:t>
      </w:r>
      <w:r w:rsidRPr="00EC5420">
        <w:rPr>
          <w:i/>
        </w:rPr>
        <w:t>L</w:t>
      </w:r>
      <w:r w:rsidRPr="00EC5420">
        <w:rPr>
          <w:i/>
          <w:snapToGrid w:val="0"/>
          <w:color w:val="000000"/>
          <w:position w:val="-6"/>
          <w:sz w:val="16"/>
          <w:szCs w:val="0"/>
          <w:u w:color="000000"/>
        </w:rPr>
        <w:t>D</w:t>
      </w:r>
      <w:r>
        <w:t xml:space="preserve"> of 4 mBq can be reached ~80 days after separation of </w:t>
      </w:r>
      <w:r w:rsidR="004A2406">
        <w:t>Pb</w:t>
      </w:r>
      <w:r w:rsidR="007B4A6B">
        <w:t>.</w:t>
      </w:r>
      <w:r>
        <w:t xml:space="preserve"> Th</w:t>
      </w:r>
      <w:r w:rsidR="005B3D74">
        <w:t>e same</w:t>
      </w:r>
      <w:r>
        <w:t xml:space="preserve"> </w:t>
      </w:r>
      <w:r w:rsidRPr="00EC5420">
        <w:rPr>
          <w:i/>
        </w:rPr>
        <w:t>L</w:t>
      </w:r>
      <w:r w:rsidRPr="00EC5420">
        <w:rPr>
          <w:i/>
          <w:snapToGrid w:val="0"/>
          <w:color w:val="000000"/>
          <w:position w:val="-6"/>
          <w:sz w:val="16"/>
          <w:szCs w:val="0"/>
          <w:u w:color="000000"/>
        </w:rPr>
        <w:t>D</w:t>
      </w:r>
      <w:r>
        <w:t xml:space="preserve"> can be achieved 3 days after separation of </w:t>
      </w:r>
      <w:r w:rsidR="004A2406">
        <w:t>Pb</w:t>
      </w:r>
      <w:r>
        <w:t xml:space="preserve"> if a 4 day count time i</w:t>
      </w:r>
      <w:r w:rsidR="00FC3309">
        <w:t>s used. The lowest detection limits are</w:t>
      </w:r>
      <w:r w:rsidR="005B3D74">
        <w:t xml:space="preserve"> achieved</w:t>
      </w:r>
      <w:r w:rsidR="00FC3309">
        <w:t xml:space="preserve"> using the 173–330 keV count window at ~250 days after initial separation of </w:t>
      </w:r>
      <w:r w:rsidR="004A2406">
        <w:t>Pb</w:t>
      </w:r>
      <w:r w:rsidR="000029C6">
        <w:t>, with detection limits of ~3 mBq achievable after 300 days</w:t>
      </w:r>
      <w:r w:rsidR="009E78FC">
        <w:t>.</w:t>
      </w:r>
      <w:r w:rsidR="004054EC" w:rsidRPr="004054EC">
        <w:t xml:space="preserve"> </w:t>
      </w:r>
    </w:p>
    <w:p w:rsidR="007B4A6B" w:rsidRDefault="004054EC" w:rsidP="007B4A6B">
      <w:r>
        <w:t>If we consider the 11–22 keV window</w:t>
      </w:r>
      <w:r w:rsidR="005B3D74">
        <w:t xml:space="preserve"> only</w:t>
      </w:r>
      <w:r>
        <w:t xml:space="preserve">, a </w:t>
      </w:r>
      <w:r w:rsidRPr="00EC5420">
        <w:rPr>
          <w:i/>
        </w:rPr>
        <w:t>L</w:t>
      </w:r>
      <w:r w:rsidRPr="00EC5420">
        <w:rPr>
          <w:i/>
          <w:snapToGrid w:val="0"/>
          <w:color w:val="000000"/>
          <w:position w:val="-6"/>
          <w:sz w:val="16"/>
          <w:szCs w:val="0"/>
          <w:u w:color="000000"/>
        </w:rPr>
        <w:t>D</w:t>
      </w:r>
      <w:r>
        <w:t xml:space="preserve"> of 11 mBq can be achieved directly after separation of </w:t>
      </w:r>
      <w:r w:rsidR="004A2406">
        <w:t>Pb</w:t>
      </w:r>
      <w:r>
        <w:t xml:space="preserve"> (given the same parameters). For rapi</w:t>
      </w:r>
      <w:r w:rsidR="005C0082">
        <w:t>d analysis, using just the 11–</w:t>
      </w:r>
      <w:r>
        <w:t xml:space="preserve">22 keV window, an </w:t>
      </w:r>
      <w:r w:rsidRPr="00EC5420">
        <w:rPr>
          <w:i/>
        </w:rPr>
        <w:t>L</w:t>
      </w:r>
      <w:r w:rsidRPr="00EC5420">
        <w:rPr>
          <w:i/>
          <w:snapToGrid w:val="0"/>
          <w:color w:val="000000"/>
          <w:position w:val="-6"/>
          <w:sz w:val="16"/>
          <w:szCs w:val="0"/>
          <w:u w:color="000000"/>
        </w:rPr>
        <w:t>D</w:t>
      </w:r>
      <w:r>
        <w:t xml:space="preserve"> of 54 mBq can be achieved with a 100 minute count time (assuming 80% chemical recovery). This will allow rapid screening and analysis for </w:t>
      </w:r>
      <w:r w:rsidRPr="004054EC">
        <w:rPr>
          <w:snapToGrid w:val="0"/>
          <w:color w:val="000000"/>
          <w:position w:val="6"/>
          <w:sz w:val="16"/>
          <w:szCs w:val="0"/>
          <w:u w:color="000000"/>
        </w:rPr>
        <w:t>210</w:t>
      </w:r>
      <w:r>
        <w:t>Pb, at relatively low levels, in the event of a radiological emergency.</w:t>
      </w:r>
    </w:p>
    <w:p w:rsidR="007B4A6B" w:rsidRDefault="004A2406" w:rsidP="005A3F68">
      <w:r>
        <w:t xml:space="preserve">Although it is not used in the calculations for </w:t>
      </w:r>
      <w:r w:rsidR="00FD27F5" w:rsidRPr="00EC5420">
        <w:rPr>
          <w:i/>
        </w:rPr>
        <w:t>L</w:t>
      </w:r>
      <w:r w:rsidR="00FD27F5" w:rsidRPr="00EC5420">
        <w:rPr>
          <w:i/>
          <w:snapToGrid w:val="0"/>
          <w:color w:val="000000"/>
          <w:position w:val="-6"/>
          <w:sz w:val="16"/>
          <w:szCs w:val="0"/>
          <w:u w:color="000000"/>
        </w:rPr>
        <w:t>D</w:t>
      </w:r>
      <w:r w:rsidR="00FD27F5">
        <w:t xml:space="preserve"> </w:t>
      </w:r>
      <w:r w:rsidR="00FD27F5" w:rsidRPr="00983083">
        <w:t xml:space="preserve">shown in </w:t>
      </w:r>
      <w:r w:rsidRPr="00983083">
        <w:t xml:space="preserve">figure </w:t>
      </w:r>
      <w:r w:rsidR="000A29F3" w:rsidRPr="00983083">
        <w:t>23</w:t>
      </w:r>
      <w:r w:rsidRPr="00983083">
        <w:t xml:space="preserve">, </w:t>
      </w:r>
      <w:r w:rsidR="00FD27F5" w:rsidRPr="00983083">
        <w:t>the decrease in the blank count rate in aged samples</w:t>
      </w:r>
      <w:r w:rsidR="00647ADD" w:rsidRPr="00983083">
        <w:t xml:space="preserve"> (figure</w:t>
      </w:r>
      <w:r w:rsidR="000A29F3" w:rsidRPr="00983083">
        <w:t>s</w:t>
      </w:r>
      <w:r w:rsidR="00647ADD" w:rsidRPr="00983083">
        <w:t xml:space="preserve"> </w:t>
      </w:r>
      <w:r w:rsidR="000A29F3" w:rsidRPr="00983083">
        <w:t>7 and 8</w:t>
      </w:r>
      <w:r w:rsidR="00647ADD" w:rsidRPr="00983083">
        <w:t>)</w:t>
      </w:r>
      <w:r w:rsidR="00FD27F5" w:rsidRPr="00983083">
        <w:t xml:space="preserve"> is greater than the </w:t>
      </w:r>
      <w:r w:rsidR="00D60AA2" w:rsidRPr="00983083">
        <w:t xml:space="preserve">deterioration </w:t>
      </w:r>
      <w:r w:rsidR="00FD27F5" w:rsidRPr="00983083">
        <w:t xml:space="preserve">in the combined efficiency. As such, </w:t>
      </w:r>
      <w:r w:rsidR="002052DE">
        <w:t xml:space="preserve">re-counting </w:t>
      </w:r>
      <w:r w:rsidR="002052DE" w:rsidRPr="00983083">
        <w:t xml:space="preserve">samples </w:t>
      </w:r>
      <w:r w:rsidR="002052DE">
        <w:t xml:space="preserve">after allowing them to age for a period of time </w:t>
      </w:r>
      <w:r w:rsidR="002052DE" w:rsidRPr="00983083">
        <w:t xml:space="preserve">may </w:t>
      </w:r>
      <w:r w:rsidR="002052DE">
        <w:t>lead to a</w:t>
      </w:r>
      <w:r w:rsidR="002052DE" w:rsidRPr="00983083">
        <w:t xml:space="preserve"> lower </w:t>
      </w:r>
      <w:r w:rsidR="002052DE" w:rsidRPr="00983083">
        <w:rPr>
          <w:i/>
        </w:rPr>
        <w:t>L</w:t>
      </w:r>
      <w:r w:rsidR="002052DE" w:rsidRPr="00983083">
        <w:rPr>
          <w:i/>
          <w:snapToGrid w:val="0"/>
          <w:position w:val="-6"/>
          <w:sz w:val="16"/>
          <w:szCs w:val="0"/>
          <w:u w:color="000000"/>
        </w:rPr>
        <w:t>D</w:t>
      </w:r>
      <w:r w:rsidR="002052DE" w:rsidRPr="00983083">
        <w:t xml:space="preserve"> for aged </w:t>
      </w:r>
      <w:r w:rsidR="002052DE">
        <w:t xml:space="preserve">samples </w:t>
      </w:r>
      <w:r w:rsidR="002052DE" w:rsidRPr="00983083">
        <w:t>than</w:t>
      </w:r>
      <w:r w:rsidR="002052DE">
        <w:t xml:space="preserve"> that estimated above.</w:t>
      </w:r>
      <w:r w:rsidR="00FD27F5" w:rsidRPr="00983083">
        <w:t xml:space="preserve"> </w:t>
      </w:r>
    </w:p>
    <w:p w:rsidR="00FD27F5" w:rsidRPr="00C06D48" w:rsidRDefault="00E1501B" w:rsidP="00E1501B">
      <w:pPr>
        <w:jc w:val="center"/>
      </w:pPr>
      <w:r w:rsidRPr="00E1501B">
        <w:rPr>
          <w:noProof/>
          <w:lang w:eastAsia="en-AU"/>
        </w:rPr>
        <w:drawing>
          <wp:inline distT="0" distB="0" distL="0" distR="0" wp14:anchorId="7A519B6F" wp14:editId="7A519B70">
            <wp:extent cx="5274310" cy="4172740"/>
            <wp:effectExtent l="19050" t="0" r="2540" b="0"/>
            <wp:docPr id="4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9" cstate="print"/>
                    <a:srcRect/>
                    <a:stretch>
                      <a:fillRect/>
                    </a:stretch>
                  </pic:blipFill>
                  <pic:spPr bwMode="auto">
                    <a:xfrm>
                      <a:off x="0" y="0"/>
                      <a:ext cx="5274310" cy="4172740"/>
                    </a:xfrm>
                    <a:prstGeom prst="rect">
                      <a:avLst/>
                    </a:prstGeom>
                    <a:noFill/>
                    <a:ln w="9525">
                      <a:noFill/>
                      <a:miter lim="800000"/>
                      <a:headEnd/>
                      <a:tailEnd/>
                    </a:ln>
                  </pic:spPr>
                </pic:pic>
              </a:graphicData>
            </a:graphic>
          </wp:inline>
        </w:drawing>
      </w:r>
    </w:p>
    <w:p w:rsidR="005A3F68" w:rsidRPr="00053E06" w:rsidRDefault="00647ADD" w:rsidP="00053E06">
      <w:pPr>
        <w:jc w:val="center"/>
        <w:rPr>
          <w:rFonts w:ascii="Arial" w:hAnsi="Arial"/>
          <w:sz w:val="18"/>
        </w:rPr>
      </w:pPr>
      <w:r w:rsidRPr="00053E06">
        <w:rPr>
          <w:rFonts w:ascii="Arial" w:hAnsi="Arial"/>
          <w:b/>
          <w:sz w:val="18"/>
        </w:rPr>
        <w:t xml:space="preserve">Figure </w:t>
      </w:r>
      <w:r w:rsidR="000A29F3" w:rsidRPr="00053E06">
        <w:rPr>
          <w:rFonts w:ascii="Arial" w:hAnsi="Arial"/>
          <w:b/>
          <w:sz w:val="18"/>
        </w:rPr>
        <w:t>23</w:t>
      </w:r>
      <w:r w:rsidR="000A29F3" w:rsidRPr="00053E06">
        <w:rPr>
          <w:rFonts w:ascii="Arial" w:hAnsi="Arial"/>
          <w:sz w:val="18"/>
        </w:rPr>
        <w:t xml:space="preserve">  </w:t>
      </w:r>
      <w:r w:rsidRPr="00053E06">
        <w:rPr>
          <w:rFonts w:ascii="Arial" w:hAnsi="Arial"/>
          <w:sz w:val="18"/>
        </w:rPr>
        <w:t xml:space="preserve">Relative decrease in the blank count rate  relative to the time since cocktail preparation. </w:t>
      </w:r>
      <w:r w:rsidR="00D7755A" w:rsidRPr="00053E06">
        <w:rPr>
          <w:rFonts w:ascii="Arial" w:hAnsi="Arial"/>
          <w:sz w:val="18"/>
        </w:rPr>
        <w:t>Data from</w:t>
      </w:r>
      <w:r w:rsidRPr="00053E06">
        <w:rPr>
          <w:rFonts w:ascii="Arial" w:hAnsi="Arial"/>
          <w:sz w:val="18"/>
        </w:rPr>
        <w:t xml:space="preserve"> aged standards </w:t>
      </w:r>
      <w:r w:rsidR="00CE6A95">
        <w:rPr>
          <w:rFonts w:ascii="Arial" w:hAnsi="Arial"/>
          <w:sz w:val="18"/>
        </w:rPr>
        <w:t xml:space="preserve">is reproduced from Figure 7 and presented with </w:t>
      </w:r>
      <w:r w:rsidRPr="00053E06">
        <w:rPr>
          <w:rFonts w:ascii="Arial" w:hAnsi="Arial"/>
          <w:sz w:val="18"/>
        </w:rPr>
        <w:t xml:space="preserve">4 repeated counts of the analytical blank for the mussels used for the method comparison </w:t>
      </w:r>
      <w:r w:rsidR="00E1501B">
        <w:rPr>
          <w:rFonts w:ascii="Arial" w:hAnsi="Arial"/>
          <w:sz w:val="18"/>
        </w:rPr>
        <w:t>shown in section 4.9</w:t>
      </w:r>
      <w:r w:rsidRPr="00053E06">
        <w:rPr>
          <w:rFonts w:ascii="Arial" w:hAnsi="Arial"/>
          <w:sz w:val="18"/>
        </w:rPr>
        <w:t xml:space="preserve">. 95% confidence </w:t>
      </w:r>
      <w:r w:rsidR="00CE6A95">
        <w:rPr>
          <w:rFonts w:ascii="Arial" w:hAnsi="Arial"/>
          <w:sz w:val="18"/>
        </w:rPr>
        <w:t xml:space="preserve">(inner dashed line) </w:t>
      </w:r>
      <w:r w:rsidRPr="00053E06">
        <w:rPr>
          <w:rFonts w:ascii="Arial" w:hAnsi="Arial"/>
          <w:sz w:val="18"/>
        </w:rPr>
        <w:t xml:space="preserve">and prediction bands </w:t>
      </w:r>
      <w:r w:rsidR="00CE6A95">
        <w:rPr>
          <w:rFonts w:ascii="Arial" w:hAnsi="Arial"/>
          <w:sz w:val="18"/>
        </w:rPr>
        <w:t xml:space="preserve">(outer dashed line) </w:t>
      </w:r>
      <w:r w:rsidRPr="00053E06">
        <w:rPr>
          <w:rFonts w:ascii="Arial" w:hAnsi="Arial"/>
          <w:sz w:val="18"/>
        </w:rPr>
        <w:t>are shown.</w:t>
      </w:r>
    </w:p>
    <w:p w:rsidR="00BB6BFA" w:rsidRDefault="002052DE" w:rsidP="00BB6BFA">
      <w:r>
        <w:t>In practice, a paired-blank should be counted with</w:t>
      </w:r>
      <w:r w:rsidR="00F1224C">
        <w:t>in 5 days of</w:t>
      </w:r>
      <w:r>
        <w:t xml:space="preserve"> aged sample</w:t>
      </w:r>
      <w:r w:rsidR="00CD5CBF">
        <w:t>s</w:t>
      </w:r>
      <w:r>
        <w:t xml:space="preserve">, however, if this is not possible, the </w:t>
      </w:r>
      <w:r w:rsidR="00CD5CBF">
        <w:t xml:space="preserve">expected </w:t>
      </w:r>
      <w:r>
        <w:t xml:space="preserve">blank count rate </w:t>
      </w:r>
      <w:r w:rsidR="00CD5CBF">
        <w:t xml:space="preserve">from the measurement process </w:t>
      </w:r>
      <w:r>
        <w:t xml:space="preserve">can be </w:t>
      </w:r>
      <w:r w:rsidR="00CD5CBF">
        <w:t>calculated</w:t>
      </w:r>
      <w:r>
        <w:t xml:space="preserve"> using a</w:t>
      </w:r>
      <w:r w:rsidR="00BB6BFA" w:rsidRPr="00BB6BFA">
        <w:t xml:space="preserve">n exponential decay function </w:t>
      </w:r>
      <w:r>
        <w:t xml:space="preserve">that </w:t>
      </w:r>
      <w:r w:rsidR="00BB6BFA" w:rsidRPr="00BB6BFA">
        <w:t xml:space="preserve">has been fitted to </w:t>
      </w:r>
      <w:r w:rsidR="00E1501B">
        <w:t>Fi</w:t>
      </w:r>
      <w:r w:rsidR="00BB6BFA" w:rsidRPr="00BB6BFA">
        <w:t xml:space="preserve">gure </w:t>
      </w:r>
      <w:r w:rsidR="000A29F3">
        <w:t>23</w:t>
      </w:r>
      <w:r w:rsidR="000A29F3" w:rsidRPr="00BB6BFA">
        <w:t xml:space="preserve"> </w:t>
      </w:r>
      <w:r w:rsidR="00BB6BFA" w:rsidRPr="00BB6BFA">
        <w:t xml:space="preserve">above (equation </w:t>
      </w:r>
      <w:r w:rsidR="00A2345A">
        <w:t>10</w:t>
      </w:r>
      <w:r w:rsidR="00BB6BFA" w:rsidRPr="00BB6BFA">
        <w:t>)</w:t>
      </w:r>
      <w:r w:rsidR="00BB6BFA">
        <w:t xml:space="preserve">. </w:t>
      </w:r>
    </w:p>
    <w:p w:rsidR="00704687" w:rsidRDefault="00704687" w:rsidP="00BB6BFA">
      <w:pPr>
        <w:jc w:val="right"/>
        <w:rPr>
          <w:rFonts w:ascii="Arial" w:hAnsi="Arial"/>
          <w:b/>
          <w:sz w:val="18"/>
        </w:rPr>
      </w:pPr>
    </w:p>
    <w:p w:rsidR="00BB6BFA" w:rsidRPr="002052DE" w:rsidRDefault="00BB6BFA" w:rsidP="00BB6BFA">
      <w:pPr>
        <w:jc w:val="right"/>
      </w:pPr>
      <w:r w:rsidRPr="002052DE">
        <w:rPr>
          <w:rFonts w:ascii="Arial" w:hAnsi="Arial"/>
          <w:b/>
          <w:sz w:val="18"/>
        </w:rPr>
        <w:t xml:space="preserve">Equation </w:t>
      </w:r>
      <w:r w:rsidR="00A2345A">
        <w:rPr>
          <w:rFonts w:ascii="Arial" w:hAnsi="Arial"/>
          <w:b/>
          <w:sz w:val="18"/>
        </w:rPr>
        <w:t>10</w:t>
      </w:r>
    </w:p>
    <w:p w:rsidR="00BB6BFA" w:rsidRDefault="005E27BE" w:rsidP="00BB6BFA">
      <m:oMathPara>
        <m:oMathParaPr>
          <m:jc m:val="center"/>
        </m:oMathParaPr>
        <m:oMath>
          <m:sSub>
            <m:sSubPr>
              <m:ctrlPr>
                <w:rPr>
                  <w:rFonts w:ascii="Cambria Math" w:hAnsi="Cambria Math"/>
                  <w:i/>
                </w:rPr>
              </m:ctrlPr>
            </m:sSubPr>
            <m:e>
              <m:r>
                <w:rPr>
                  <w:rFonts w:ascii="Cambria Math" w:hAnsi="Cambria Math"/>
                </w:rPr>
                <m:t>E</m:t>
              </m:r>
            </m:e>
            <m:sub>
              <m:r>
                <w:rPr>
                  <w:rFonts w:ascii="Cambria Math" w:hAnsi="Cambria Math"/>
                </w:rPr>
                <m:t>CR</m:t>
              </m:r>
            </m:sub>
          </m:sSub>
          <m:r>
            <w:rPr>
              <w:rFonts w:ascii="Cambria Math" w:hAnsi="Cambria Math"/>
            </w:rPr>
            <m:t>=0.1116+0.0471×</m:t>
          </m:r>
          <m:sSup>
            <m:sSupPr>
              <m:ctrlPr>
                <w:rPr>
                  <w:rFonts w:ascii="Cambria Math" w:hAnsi="Cambria Math"/>
                  <w:i/>
                </w:rPr>
              </m:ctrlPr>
            </m:sSupPr>
            <m:e>
              <m:r>
                <w:rPr>
                  <w:rFonts w:ascii="Cambria Math" w:hAnsi="Cambria Math"/>
                </w:rPr>
                <m:t>e</m:t>
              </m:r>
            </m:e>
            <m:sup>
              <m:r>
                <w:rPr>
                  <w:rFonts w:ascii="Cambria Math" w:hAnsi="Cambria Math"/>
                </w:rPr>
                <m:t>-0.0103×t</m:t>
              </m:r>
            </m:sup>
          </m:sSup>
        </m:oMath>
      </m:oMathPara>
    </w:p>
    <w:p w:rsidR="00FB57C3" w:rsidRDefault="00FB57C3" w:rsidP="00BB6BFA">
      <w:r>
        <w:t>Where:</w:t>
      </w:r>
    </w:p>
    <w:p w:rsidR="00FB57C3" w:rsidRDefault="00D27492" w:rsidP="00BB6BFA">
      <w:r>
        <w:rPr>
          <w:i/>
        </w:rPr>
        <w:t>E</w:t>
      </w:r>
      <w:r>
        <w:rPr>
          <w:i/>
          <w:snapToGrid w:val="0"/>
          <w:color w:val="000000"/>
          <w:position w:val="-6"/>
          <w:sz w:val="16"/>
          <w:szCs w:val="0"/>
          <w:u w:color="000000"/>
        </w:rPr>
        <w:t>CR</w:t>
      </w:r>
      <w:r>
        <w:t xml:space="preserve"> </w:t>
      </w:r>
      <w:r w:rsidR="00FB57C3">
        <w:t xml:space="preserve">= The </w:t>
      </w:r>
      <w:r>
        <w:t xml:space="preserve">expected </w:t>
      </w:r>
      <w:r w:rsidR="00FB57C3">
        <w:t>count rate of the blank (in counts per ks)</w:t>
      </w:r>
      <w:r w:rsidR="00053E06">
        <w:t xml:space="preserve"> at time </w:t>
      </w:r>
      <w:r w:rsidR="00053E06" w:rsidRPr="00053E06">
        <w:rPr>
          <w:i/>
        </w:rPr>
        <w:t>t</w:t>
      </w:r>
    </w:p>
    <w:p w:rsidR="00FB57C3" w:rsidRDefault="00FB57C3" w:rsidP="00BB6BFA">
      <w:r w:rsidRPr="00FB57C3">
        <w:rPr>
          <w:i/>
        </w:rPr>
        <w:t>t</w:t>
      </w:r>
      <w:r>
        <w:t xml:space="preserve"> = The number of days since preparation of the sample in a scintillation cocktail</w:t>
      </w:r>
    </w:p>
    <w:p w:rsidR="00685623" w:rsidRDefault="00451D73" w:rsidP="00685623">
      <w:pPr>
        <w:pStyle w:val="Heading3"/>
      </w:pPr>
      <w:bookmarkStart w:id="49" w:name="_Toc467491571"/>
      <w:r>
        <w:t xml:space="preserve">4.11  </w:t>
      </w:r>
      <w:r w:rsidR="00685623">
        <w:t>Quench effects</w:t>
      </w:r>
      <w:bookmarkEnd w:id="49"/>
    </w:p>
    <w:p w:rsidR="00930FD3" w:rsidRDefault="00685623" w:rsidP="00BB6BFA">
      <w:r>
        <w:t xml:space="preserve">The level of quenching in the samples (as measured by tSIE) prepared for counting will have an effect on the combined counting efficiency. Therefore, maintaining a stable range of tSIE values for sample counting is important. </w:t>
      </w:r>
    </w:p>
    <w:p w:rsidR="00685623" w:rsidRDefault="00685623" w:rsidP="00BB6BFA">
      <w:r>
        <w:t>The radiochemical separation and purification of lead</w:t>
      </w:r>
      <w:r w:rsidR="00930FD3">
        <w:t xml:space="preserve"> required before analysis</w:t>
      </w:r>
      <w:r>
        <w:t xml:space="preserve"> will limit the potential for </w:t>
      </w:r>
      <w:r w:rsidR="00930FD3">
        <w:t xml:space="preserve">various </w:t>
      </w:r>
      <w:r>
        <w:t xml:space="preserve">quenching agents to be introduced to samples and will  therefore limit the potential </w:t>
      </w:r>
      <w:r w:rsidR="00930FD3">
        <w:t>for variability</w:t>
      </w:r>
      <w:r>
        <w:t xml:space="preserve"> of quenching. </w:t>
      </w:r>
      <w:r w:rsidR="002707F9">
        <w:t>When evaporating the 9 M HCl solution from the sample vials in preparation for counting, care should be taken to ensure complete evaporation as any residual acid will increase quench. S</w:t>
      </w:r>
      <w:r>
        <w:t xml:space="preserve">amples should be </w:t>
      </w:r>
      <w:r w:rsidR="002707F9">
        <w:t xml:space="preserve">also be </w:t>
      </w:r>
      <w:r>
        <w:t>free of colour</w:t>
      </w:r>
      <w:r w:rsidR="002707F9">
        <w:t>, if colo</w:t>
      </w:r>
      <w:r w:rsidR="009A1CA3">
        <w:t>u</w:t>
      </w:r>
      <w:r w:rsidR="002707F9">
        <w:t>r is noticed the samples may be treated with concentrated HCl and HNO</w:t>
      </w:r>
      <w:r w:rsidR="002707F9" w:rsidRPr="002707F9">
        <w:rPr>
          <w:snapToGrid w:val="0"/>
          <w:color w:val="000000"/>
          <w:position w:val="-6"/>
          <w:sz w:val="16"/>
          <w:szCs w:val="0"/>
          <w:u w:color="000000"/>
        </w:rPr>
        <w:t>3</w:t>
      </w:r>
      <w:r w:rsidR="002707F9">
        <w:t xml:space="preserve"> with addition of 35% H</w:t>
      </w:r>
      <w:r w:rsidR="002707F9" w:rsidRPr="002707F9">
        <w:rPr>
          <w:snapToGrid w:val="0"/>
          <w:color w:val="000000"/>
          <w:position w:val="-6"/>
          <w:sz w:val="16"/>
          <w:szCs w:val="0"/>
          <w:u w:color="000000"/>
        </w:rPr>
        <w:t>2</w:t>
      </w:r>
      <w:r w:rsidR="002707F9">
        <w:t>O</w:t>
      </w:r>
      <w:r w:rsidR="002707F9" w:rsidRPr="002707F9">
        <w:rPr>
          <w:snapToGrid w:val="0"/>
          <w:color w:val="000000"/>
          <w:position w:val="-6"/>
          <w:sz w:val="16"/>
          <w:szCs w:val="0"/>
          <w:u w:color="000000"/>
        </w:rPr>
        <w:t>2</w:t>
      </w:r>
      <w:r w:rsidR="002707F9">
        <w:t xml:space="preserve"> until the sample is completely colourless (see </w:t>
      </w:r>
      <w:r w:rsidR="00930FD3">
        <w:t xml:space="preserve">Appendix </w:t>
      </w:r>
      <w:r w:rsidR="002707F9">
        <w:t xml:space="preserve">1 for a standard operating </w:t>
      </w:r>
      <w:r w:rsidR="009A1CA3">
        <w:t>procedure</w:t>
      </w:r>
      <w:r w:rsidR="002707F9">
        <w:t xml:space="preserve"> for the method which is to be incorporated into the EnRad procedures manual (Medley</w:t>
      </w:r>
      <w:r w:rsidR="00DC231E">
        <w:t xml:space="preserve"> &amp; Evans</w:t>
      </w:r>
      <w:r w:rsidR="002707F9">
        <w:t xml:space="preserve"> 2015).</w:t>
      </w:r>
    </w:p>
    <w:p w:rsidR="006E782E" w:rsidRDefault="009B488D" w:rsidP="00BB6BFA">
      <w:r>
        <w:t xml:space="preserve">The tSIE values in the </w:t>
      </w:r>
      <w:r w:rsidR="006E782E">
        <w:t xml:space="preserve">freshly prepared </w:t>
      </w:r>
      <w:r>
        <w:t xml:space="preserve">standards </w:t>
      </w:r>
      <w:r w:rsidR="006E782E">
        <w:t>used</w:t>
      </w:r>
      <w:r>
        <w:t xml:space="preserve"> for optimisation of this method ranged from </w:t>
      </w:r>
      <w:r w:rsidR="006E782E">
        <w:t xml:space="preserve">365–450, with values in this range having no discernible difference on the combined counting efficiency. </w:t>
      </w:r>
    </w:p>
    <w:p w:rsidR="009B488D" w:rsidRDefault="006E782E" w:rsidP="00BB6BFA">
      <w:r>
        <w:t xml:space="preserve">For the aged standards a decrease in tSIE over time was observed (see </w:t>
      </w:r>
      <w:r w:rsidRPr="00983083">
        <w:t xml:space="preserve">figure </w:t>
      </w:r>
      <w:r w:rsidR="000A29F3" w:rsidRPr="00983083">
        <w:t>24</w:t>
      </w:r>
      <w:r w:rsidRPr="00983083">
        <w:t>).</w:t>
      </w:r>
    </w:p>
    <w:p w:rsidR="00FF7A46" w:rsidRDefault="00E1501B" w:rsidP="00E16D48">
      <w:pPr>
        <w:jc w:val="center"/>
        <w:rPr>
          <w:rFonts w:ascii="Arial" w:hAnsi="Arial"/>
          <w:b/>
          <w:sz w:val="18"/>
        </w:rPr>
      </w:pPr>
      <w:r w:rsidRPr="00E1501B">
        <w:rPr>
          <w:noProof/>
          <w:lang w:eastAsia="en-AU"/>
        </w:rPr>
        <w:drawing>
          <wp:inline distT="0" distB="0" distL="0" distR="0" wp14:anchorId="7A519B71" wp14:editId="7A519B72">
            <wp:extent cx="5274310" cy="4211751"/>
            <wp:effectExtent l="19050" t="0" r="2540" b="0"/>
            <wp:docPr id="4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0" cstate="print"/>
                    <a:srcRect/>
                    <a:stretch>
                      <a:fillRect/>
                    </a:stretch>
                  </pic:blipFill>
                  <pic:spPr bwMode="auto">
                    <a:xfrm>
                      <a:off x="0" y="0"/>
                      <a:ext cx="5274310" cy="4211751"/>
                    </a:xfrm>
                    <a:prstGeom prst="rect">
                      <a:avLst/>
                    </a:prstGeom>
                    <a:noFill/>
                    <a:ln w="9525">
                      <a:noFill/>
                      <a:miter lim="800000"/>
                      <a:headEnd/>
                      <a:tailEnd/>
                    </a:ln>
                  </pic:spPr>
                </pic:pic>
              </a:graphicData>
            </a:graphic>
          </wp:inline>
        </w:drawing>
      </w:r>
    </w:p>
    <w:p w:rsidR="00664A85" w:rsidRPr="00053E06" w:rsidRDefault="00664A85" w:rsidP="00E16D48">
      <w:pPr>
        <w:jc w:val="center"/>
        <w:rPr>
          <w:rFonts w:ascii="Arial" w:hAnsi="Arial"/>
          <w:sz w:val="18"/>
        </w:rPr>
      </w:pPr>
      <w:r w:rsidRPr="00053E06">
        <w:rPr>
          <w:rFonts w:ascii="Arial" w:hAnsi="Arial"/>
          <w:b/>
          <w:sz w:val="18"/>
        </w:rPr>
        <w:t xml:space="preserve">Figure </w:t>
      </w:r>
      <w:r w:rsidR="000A29F3" w:rsidRPr="00053E06">
        <w:rPr>
          <w:rFonts w:ascii="Arial" w:hAnsi="Arial"/>
          <w:b/>
          <w:sz w:val="18"/>
        </w:rPr>
        <w:t>24</w:t>
      </w:r>
      <w:r w:rsidR="000A29F3" w:rsidRPr="00983083">
        <w:rPr>
          <w:rFonts w:ascii="Arial" w:hAnsi="Arial"/>
          <w:sz w:val="18"/>
        </w:rPr>
        <w:t xml:space="preserve">  </w:t>
      </w:r>
      <w:r w:rsidRPr="00983083">
        <w:rPr>
          <w:rFonts w:ascii="Arial" w:hAnsi="Arial"/>
          <w:sz w:val="18"/>
        </w:rPr>
        <w:t>Average</w:t>
      </w:r>
      <w:r>
        <w:rPr>
          <w:rFonts w:ascii="Arial" w:hAnsi="Arial"/>
          <w:sz w:val="18"/>
        </w:rPr>
        <w:t xml:space="preserve"> decrease in tSIE (increase in quench) relative to the number of days since cocktail preparation for 2 sets of 3 aged standards. Exponential decay functions have been fitted to data from each set of standards.</w:t>
      </w:r>
      <w:r w:rsidR="00E16D48">
        <w:rPr>
          <w:rFonts w:ascii="Arial" w:hAnsi="Arial"/>
          <w:sz w:val="18"/>
        </w:rPr>
        <w:t xml:space="preserve"> The mean tSIE (solid line)</w:t>
      </w:r>
      <w:r w:rsidR="00E16D48" w:rsidRPr="00E16D48">
        <w:rPr>
          <w:rFonts w:ascii="Arial" w:hAnsi="Arial"/>
          <w:sz w:val="18"/>
        </w:rPr>
        <w:t xml:space="preserve"> </w:t>
      </w:r>
      <w:r w:rsidR="00E16D48">
        <w:rPr>
          <w:rFonts w:ascii="Arial" w:hAnsi="Arial"/>
          <w:sz w:val="18"/>
        </w:rPr>
        <w:t>and two times the standard deviation (dashed lines) for all freshly prepared standards is included to highlight the relative decrease in the aged standards.</w:t>
      </w:r>
    </w:p>
    <w:p w:rsidR="00664A85" w:rsidRDefault="00664A85" w:rsidP="00BB6BFA">
      <w:r>
        <w:t>The decrease in efficiency measured across the optimised count window</w:t>
      </w:r>
      <w:r w:rsidR="00930FD3">
        <w:t xml:space="preserve"> (</w:t>
      </w:r>
      <w:r w:rsidR="005F3CC5">
        <w:t>11–330</w:t>
      </w:r>
      <w:r w:rsidR="00930FD3">
        <w:t xml:space="preserve"> keV)</w:t>
      </w:r>
      <w:r>
        <w:t xml:space="preserve"> for the aged standards</w:t>
      </w:r>
      <w:r w:rsidR="0005363A">
        <w:t xml:space="preserve"> may be a result of the increase in quench</w:t>
      </w:r>
      <w:r w:rsidR="00930FD3">
        <w:t xml:space="preserve"> (ie</w:t>
      </w:r>
      <w:r w:rsidR="005F3CC5">
        <w:t xml:space="preserve"> –</w:t>
      </w:r>
      <w:r w:rsidR="00930FD3">
        <w:t xml:space="preserve"> decrease in the tSIE value)</w:t>
      </w:r>
      <w:r w:rsidR="0005363A">
        <w:t xml:space="preserve">, though, as previously mentioned, the data showing that the efficiency in the </w:t>
      </w:r>
      <w:r w:rsidR="0005363A" w:rsidRPr="0005363A">
        <w:rPr>
          <w:snapToGrid w:val="0"/>
          <w:color w:val="000000"/>
          <w:position w:val="6"/>
          <w:sz w:val="16"/>
          <w:szCs w:val="0"/>
          <w:u w:color="000000"/>
        </w:rPr>
        <w:t>210</w:t>
      </w:r>
      <w:r w:rsidR="0005363A">
        <w:t>Pb count window is unaffected suggests an alternative explanation</w:t>
      </w:r>
      <w:r w:rsidR="00651428">
        <w:t xml:space="preserve"> as increased quench would likely result in a reduced spectral endpoint for the </w:t>
      </w:r>
      <w:r w:rsidR="00651428" w:rsidRPr="000A29F3">
        <w:rPr>
          <w:snapToGrid w:val="0"/>
          <w:color w:val="000000"/>
          <w:position w:val="6"/>
          <w:sz w:val="16"/>
          <w:szCs w:val="0"/>
          <w:u w:color="000000"/>
        </w:rPr>
        <w:t>210</w:t>
      </w:r>
      <w:r w:rsidR="00651428">
        <w:t>Pb peak (Passo and Cook, 1996)</w:t>
      </w:r>
      <w:r w:rsidR="0005363A">
        <w:t>.</w:t>
      </w:r>
    </w:p>
    <w:p w:rsidR="0005363A" w:rsidRDefault="003632B8" w:rsidP="00BB6BFA">
      <w:r>
        <w:t xml:space="preserve">The complexity of the optimisation techniques for this method limited the possibility of assessing the effect of quench in relation to DBB timing, AC timing, count window selection and the relative stage of ingrowth of </w:t>
      </w:r>
      <w:r w:rsidRPr="003632B8">
        <w:rPr>
          <w:snapToGrid w:val="0"/>
          <w:color w:val="000000"/>
          <w:position w:val="6"/>
          <w:sz w:val="16"/>
          <w:szCs w:val="0"/>
          <w:u w:color="000000"/>
        </w:rPr>
        <w:t>210</w:t>
      </w:r>
      <w:r>
        <w:t xml:space="preserve">Bi and </w:t>
      </w:r>
      <w:r w:rsidRPr="003632B8">
        <w:rPr>
          <w:snapToGrid w:val="0"/>
          <w:color w:val="000000"/>
          <w:position w:val="6"/>
          <w:sz w:val="16"/>
          <w:szCs w:val="0"/>
          <w:u w:color="000000"/>
        </w:rPr>
        <w:t>210</w:t>
      </w:r>
      <w:r>
        <w:t xml:space="preserve">Po. </w:t>
      </w:r>
      <w:r w:rsidR="00A67117">
        <w:t>All but one of t</w:t>
      </w:r>
      <w:r>
        <w:t>he freshwater mussel samples showed initial tSIE values within</w:t>
      </w:r>
      <w:r w:rsidR="00A67117">
        <w:t xml:space="preserve"> </w:t>
      </w:r>
      <w:r>
        <w:t xml:space="preserve">the same range as for </w:t>
      </w:r>
      <w:r w:rsidR="00A67117">
        <w:t xml:space="preserve">the </w:t>
      </w:r>
      <w:r>
        <w:t xml:space="preserve">standards  </w:t>
      </w:r>
      <w:r w:rsidR="00A67117">
        <w:t xml:space="preserve">(one value of </w:t>
      </w:r>
      <w:r w:rsidR="00651428">
        <w:t xml:space="preserve">283 </w:t>
      </w:r>
      <w:r w:rsidR="00A67117">
        <w:t>was observed). These values decreased over time, with no apparent effect on the counting efficiency other than that observed previously for the aged standards (</w:t>
      </w:r>
      <w:r w:rsidR="00A67117" w:rsidRPr="00983083">
        <w:t xml:space="preserve">figure </w:t>
      </w:r>
      <w:r w:rsidR="000A29F3" w:rsidRPr="00983083">
        <w:t>25</w:t>
      </w:r>
      <w:r w:rsidR="00A67117" w:rsidRPr="00983083">
        <w:t>).</w:t>
      </w:r>
    </w:p>
    <w:p w:rsidR="00A67117" w:rsidRDefault="00210752" w:rsidP="00BB6BFA">
      <w:r w:rsidRPr="00210752">
        <w:rPr>
          <w:noProof/>
          <w:lang w:eastAsia="en-AU"/>
        </w:rPr>
        <w:drawing>
          <wp:inline distT="0" distB="0" distL="0" distR="0" wp14:anchorId="7A519B73" wp14:editId="7A519B74">
            <wp:extent cx="5274310" cy="4088757"/>
            <wp:effectExtent l="19050" t="0" r="254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cstate="print"/>
                    <a:srcRect/>
                    <a:stretch>
                      <a:fillRect/>
                    </a:stretch>
                  </pic:blipFill>
                  <pic:spPr bwMode="auto">
                    <a:xfrm>
                      <a:off x="0" y="0"/>
                      <a:ext cx="5274310" cy="4088757"/>
                    </a:xfrm>
                    <a:prstGeom prst="rect">
                      <a:avLst/>
                    </a:prstGeom>
                    <a:noFill/>
                    <a:ln w="9525">
                      <a:noFill/>
                      <a:miter lim="800000"/>
                      <a:headEnd/>
                      <a:tailEnd/>
                    </a:ln>
                  </pic:spPr>
                </pic:pic>
              </a:graphicData>
            </a:graphic>
          </wp:inline>
        </w:drawing>
      </w:r>
    </w:p>
    <w:p w:rsidR="00A67117" w:rsidRPr="00053E06" w:rsidRDefault="00C846BD" w:rsidP="00053E06">
      <w:pPr>
        <w:jc w:val="center"/>
        <w:rPr>
          <w:rFonts w:ascii="Arial" w:hAnsi="Arial"/>
          <w:sz w:val="18"/>
        </w:rPr>
      </w:pPr>
      <w:r w:rsidRPr="00053E06">
        <w:rPr>
          <w:rFonts w:ascii="Arial" w:hAnsi="Arial"/>
          <w:b/>
          <w:sz w:val="18"/>
        </w:rPr>
        <w:t xml:space="preserve">Figure </w:t>
      </w:r>
      <w:r w:rsidR="000A29F3" w:rsidRPr="00053E06">
        <w:rPr>
          <w:rFonts w:ascii="Arial" w:hAnsi="Arial"/>
          <w:b/>
          <w:sz w:val="18"/>
        </w:rPr>
        <w:t>25</w:t>
      </w:r>
      <w:r w:rsidR="000A29F3" w:rsidRPr="00983083">
        <w:rPr>
          <w:rFonts w:ascii="Arial" w:hAnsi="Arial"/>
          <w:sz w:val="18"/>
        </w:rPr>
        <w:t xml:space="preserve">  </w:t>
      </w:r>
      <w:r w:rsidRPr="00983083">
        <w:rPr>
          <w:rFonts w:ascii="Arial" w:hAnsi="Arial"/>
          <w:sz w:val="18"/>
        </w:rPr>
        <w:t>tSIE</w:t>
      </w:r>
      <w:r>
        <w:rPr>
          <w:rFonts w:ascii="Arial" w:hAnsi="Arial"/>
          <w:sz w:val="18"/>
        </w:rPr>
        <w:t xml:space="preserve"> relative to the </w:t>
      </w:r>
      <w:r w:rsidR="006C2E3A" w:rsidRPr="00053E06">
        <w:rPr>
          <w:rFonts w:ascii="Arial" w:hAnsi="Arial"/>
          <w:sz w:val="18"/>
        </w:rPr>
        <w:t>number of days since cocktail preparation</w:t>
      </w:r>
      <w:r>
        <w:rPr>
          <w:rFonts w:ascii="Arial" w:hAnsi="Arial"/>
          <w:sz w:val="18"/>
        </w:rPr>
        <w:t xml:space="preserve"> for </w:t>
      </w:r>
      <w:r w:rsidR="001A4A79">
        <w:rPr>
          <w:rFonts w:ascii="Arial" w:hAnsi="Arial"/>
          <w:sz w:val="18"/>
        </w:rPr>
        <w:t>4 mussels each counted 4 times up to 157 days after initial sample preparation.</w:t>
      </w:r>
    </w:p>
    <w:p w:rsidR="00651428" w:rsidRDefault="00987881" w:rsidP="00987881">
      <w:r>
        <w:t xml:space="preserve">The lowest tSIE value recorded for the freshwater mussel samples was 283, counted 133 days after initial preparation. As such, for samples with tSIE values of 283 or higher, quenching effects are not expected to have a noticeable effect on the </w:t>
      </w:r>
      <w:r w:rsidR="00A813A7">
        <w:t xml:space="preserve">relative </w:t>
      </w:r>
      <w:r>
        <w:t>efficiency.</w:t>
      </w:r>
      <w:r w:rsidR="00A813A7">
        <w:t xml:space="preserve"> For samples with tSIE values below 283</w:t>
      </w:r>
      <w:r>
        <w:t xml:space="preserve"> </w:t>
      </w:r>
      <w:r w:rsidR="00A813A7">
        <w:t xml:space="preserve">caution should be exercised as the relative efficiency predicted may be higher than the actual efficiency for the measurement. </w:t>
      </w:r>
      <w:r w:rsidR="00651428">
        <w:t xml:space="preserve">Several steps can be taken to </w:t>
      </w:r>
      <w:r>
        <w:t xml:space="preserve">aid in the assessment of the potential effects of stronger quench, reflected by lower tSIE values, </w:t>
      </w:r>
      <w:r w:rsidR="00651428">
        <w:t xml:space="preserve">and these </w:t>
      </w:r>
      <w:r>
        <w:t>should be included as part of the ongoing quality control system when this method is introduced</w:t>
      </w:r>
      <w:r w:rsidR="00922688">
        <w:t xml:space="preserve"> </w:t>
      </w:r>
      <w:r>
        <w:t xml:space="preserve">to the radiochemistry laboratory for routine analysis. </w:t>
      </w:r>
      <w:r w:rsidR="00651428">
        <w:t>These steps are:</w:t>
      </w:r>
    </w:p>
    <w:p w:rsidR="00651428" w:rsidRDefault="00513D18" w:rsidP="00651428">
      <w:pPr>
        <w:pStyle w:val="bulletlist1"/>
      </w:pPr>
      <w:r>
        <w:t>t</w:t>
      </w:r>
      <w:r w:rsidR="00651428">
        <w:t>he use of certified reference materials (for example NIST seaweed SRM 4359)</w:t>
      </w:r>
    </w:p>
    <w:p w:rsidR="00651428" w:rsidRDefault="00513D18" w:rsidP="00651428">
      <w:pPr>
        <w:pStyle w:val="bulletlist1"/>
      </w:pPr>
      <w:r>
        <w:t>a</w:t>
      </w:r>
      <w:r w:rsidR="00651428">
        <w:t xml:space="preserve">fter initial counting, samples with high quench can be spiked with a calibrated </w:t>
      </w:r>
      <w:r w:rsidR="00651428" w:rsidRPr="000A29F3">
        <w:rPr>
          <w:snapToGrid w:val="0"/>
          <w:color w:val="000000"/>
          <w:position w:val="6"/>
          <w:sz w:val="16"/>
          <w:szCs w:val="0"/>
          <w:u w:color="000000"/>
        </w:rPr>
        <w:t>210</w:t>
      </w:r>
      <w:r w:rsidR="00651428">
        <w:t>Pb solution and any difference in expected activity measured can be checked</w:t>
      </w:r>
    </w:p>
    <w:p w:rsidR="000A562A" w:rsidRDefault="00513D18" w:rsidP="00651428">
      <w:pPr>
        <w:pStyle w:val="bulletlist1"/>
      </w:pPr>
      <w:r>
        <w:t>r</w:t>
      </w:r>
      <w:r w:rsidR="00651428">
        <w:t xml:space="preserve">e-counting highly quenched samples using the Automatic Efficiency Compensation (AEC) </w:t>
      </w:r>
      <w:r w:rsidR="000A562A">
        <w:t>function of the TriCarb 3100TR which can adjust the observed spectral endpoint of the quenched samples</w:t>
      </w:r>
    </w:p>
    <w:p w:rsidR="00987881" w:rsidRDefault="00513D18" w:rsidP="00651428">
      <w:pPr>
        <w:pStyle w:val="bulletlist1"/>
      </w:pPr>
      <w:r>
        <w:t>r</w:t>
      </w:r>
      <w:r w:rsidR="000A562A">
        <w:t>ecording the peak shifts in quenched samples to improve count window optimisation for highly quenched samples</w:t>
      </w:r>
      <w:r>
        <w:t>.</w:t>
      </w:r>
    </w:p>
    <w:p w:rsidR="00940584" w:rsidRDefault="00940584" w:rsidP="00940584">
      <w:pPr>
        <w:pStyle w:val="bulletlist1"/>
        <w:numPr>
          <w:ilvl w:val="0"/>
          <w:numId w:val="0"/>
        </w:numPr>
        <w:ind w:left="357" w:hanging="357"/>
      </w:pPr>
    </w:p>
    <w:p w:rsidR="00940584" w:rsidRDefault="00940584" w:rsidP="00940584">
      <w:pPr>
        <w:pStyle w:val="bulletlist1"/>
        <w:numPr>
          <w:ilvl w:val="0"/>
          <w:numId w:val="0"/>
        </w:numPr>
        <w:ind w:left="357" w:hanging="357"/>
      </w:pPr>
    </w:p>
    <w:p w:rsidR="00940584" w:rsidRDefault="00940584" w:rsidP="00940584">
      <w:pPr>
        <w:pStyle w:val="bulletlist1"/>
        <w:numPr>
          <w:ilvl w:val="0"/>
          <w:numId w:val="0"/>
        </w:numPr>
        <w:ind w:left="357" w:hanging="357"/>
      </w:pPr>
    </w:p>
    <w:p w:rsidR="00FC3309" w:rsidRDefault="00451D73" w:rsidP="00451D73">
      <w:pPr>
        <w:pStyle w:val="Heading2"/>
      </w:pPr>
      <w:bookmarkStart w:id="50" w:name="_Toc467491572"/>
      <w:r>
        <w:t xml:space="preserve">5.  </w:t>
      </w:r>
      <w:r w:rsidR="00711AF9">
        <w:t xml:space="preserve">Summary and </w:t>
      </w:r>
      <w:r w:rsidR="008A719E">
        <w:t>Discussion</w:t>
      </w:r>
      <w:bookmarkEnd w:id="50"/>
    </w:p>
    <w:p w:rsidR="00711AF9" w:rsidRDefault="00FF60B6" w:rsidP="00C6117E">
      <w:r>
        <w:t xml:space="preserve">Development of a new technique for the measurement of </w:t>
      </w:r>
      <w:r w:rsidRPr="005C0082">
        <w:rPr>
          <w:snapToGrid w:val="0"/>
          <w:color w:val="000000"/>
          <w:position w:val="6"/>
          <w:sz w:val="16"/>
          <w:szCs w:val="0"/>
          <w:u w:color="000000"/>
        </w:rPr>
        <w:t>210</w:t>
      </w:r>
      <w:r>
        <w:t xml:space="preserve">Pb in environmental samples </w:t>
      </w:r>
      <w:r w:rsidR="00C6117E">
        <w:t xml:space="preserve">in the </w:t>
      </w:r>
      <w:r w:rsidR="00C6117E">
        <w:rPr>
          <w:b/>
          <w:i/>
          <w:sz w:val="26"/>
        </w:rPr>
        <w:t>eriss</w:t>
      </w:r>
      <w:r w:rsidR="00C6117E">
        <w:t xml:space="preserve"> radiochemistry laboratory via LSC was undertaken for 2 main reasons</w:t>
      </w:r>
      <w:r w:rsidR="00711AF9">
        <w:t xml:space="preserve">: </w:t>
      </w:r>
    </w:p>
    <w:p w:rsidR="00DA7A77" w:rsidRDefault="00C6117E">
      <w:pPr>
        <w:pStyle w:val="ListParagraph"/>
        <w:numPr>
          <w:ilvl w:val="0"/>
          <w:numId w:val="20"/>
        </w:numPr>
      </w:pPr>
      <w:r>
        <w:t xml:space="preserve">To reduce separation chemistry and turnaround times for analysis as compared to the previous technique developed by Martin &amp; Hancock (2004) and </w:t>
      </w:r>
    </w:p>
    <w:p w:rsidR="00DA7A77" w:rsidRDefault="00C6117E">
      <w:pPr>
        <w:pStyle w:val="ListParagraph"/>
        <w:numPr>
          <w:ilvl w:val="0"/>
          <w:numId w:val="20"/>
        </w:numPr>
      </w:pPr>
      <w:r>
        <w:t xml:space="preserve">because there were no suitable published methods that met the requirements of </w:t>
      </w:r>
      <w:r w:rsidR="00711AF9">
        <w:t xml:space="preserve">the </w:t>
      </w:r>
      <w:r w:rsidR="00D92477">
        <w:t>environmental radioactivity</w:t>
      </w:r>
      <w:r w:rsidR="00711AF9">
        <w:t xml:space="preserve"> </w:t>
      </w:r>
      <w:r>
        <w:t xml:space="preserve">research programs. </w:t>
      </w:r>
    </w:p>
    <w:p w:rsidR="00C6117E" w:rsidRDefault="00C6117E" w:rsidP="00711AF9">
      <w:r>
        <w:t xml:space="preserve">The requirements were a minimum detection limit of </w:t>
      </w:r>
      <w:r w:rsidR="00694B96">
        <w:t>4</w:t>
      </w:r>
      <w:r>
        <w:t xml:space="preserve"> mBq, reduced turnaround times</w:t>
      </w:r>
      <w:r w:rsidR="00EA049F">
        <w:t>, s</w:t>
      </w:r>
      <w:r>
        <w:t xml:space="preserve">table performance for different samples </w:t>
      </w:r>
      <w:r w:rsidR="00EA049F">
        <w:t>and t</w:t>
      </w:r>
      <w:r>
        <w:t>he ability to store samples for longer periods after collection prior to analysis</w:t>
      </w:r>
      <w:r w:rsidR="00EA7643">
        <w:rPr>
          <w:rStyle w:val="FootnoteReference"/>
        </w:rPr>
        <w:footnoteReference w:id="1"/>
      </w:r>
      <w:r>
        <w:t xml:space="preserve"> (2–3 months).</w:t>
      </w:r>
      <w:r w:rsidR="00482950">
        <w:t xml:space="preserve"> D</w:t>
      </w:r>
      <w:r w:rsidR="00EA049F">
        <w:t>esirable outcome</w:t>
      </w:r>
      <w:r w:rsidR="00482950">
        <w:t>s were</w:t>
      </w:r>
      <w:r w:rsidR="00EA049F">
        <w:t xml:space="preserve"> </w:t>
      </w:r>
      <w:r w:rsidR="00482950">
        <w:t xml:space="preserve">also </w:t>
      </w:r>
      <w:r w:rsidR="00EA049F">
        <w:t>compatibility</w:t>
      </w:r>
      <w:r w:rsidR="00482950">
        <w:t>,</w:t>
      </w:r>
      <w:r w:rsidR="00EA049F">
        <w:t xml:space="preserve"> with the current chemical separation technique </w:t>
      </w:r>
      <w:r w:rsidR="00482950">
        <w:t xml:space="preserve">used for </w:t>
      </w:r>
      <w:r w:rsidR="00482950" w:rsidRPr="00711AF9">
        <w:rPr>
          <w:snapToGrid w:val="0"/>
          <w:color w:val="000000"/>
          <w:position w:val="6"/>
          <w:sz w:val="16"/>
          <w:szCs w:val="0"/>
          <w:u w:color="000000"/>
        </w:rPr>
        <w:t>210</w:t>
      </w:r>
      <w:r w:rsidR="00482950">
        <w:t xml:space="preserve">Pb (Martin &amp; Hancock 2004), and with the </w:t>
      </w:r>
      <w:r w:rsidR="009A1CA3">
        <w:t>scintillation</w:t>
      </w:r>
      <w:r w:rsidR="00482950">
        <w:t xml:space="preserve"> cocktail UGAB which is currently used in </w:t>
      </w:r>
      <w:r w:rsidR="00FE7392">
        <w:t xml:space="preserve">the </w:t>
      </w:r>
      <w:r w:rsidR="00D92477">
        <w:t>environmental radioactivity</w:t>
      </w:r>
      <w:r w:rsidR="00FE7392">
        <w:t xml:space="preserve"> </w:t>
      </w:r>
      <w:r w:rsidR="00482950">
        <w:t xml:space="preserve">laboratory for another technique. </w:t>
      </w:r>
      <w:r w:rsidR="00EA049F">
        <w:t>All of these requirements</w:t>
      </w:r>
      <w:r w:rsidR="00482950">
        <w:t>/outcomes</w:t>
      </w:r>
      <w:r w:rsidR="00EA049F">
        <w:t xml:space="preserve"> have been </w:t>
      </w:r>
      <w:r w:rsidR="00482950">
        <w:t>achieved</w:t>
      </w:r>
      <w:r w:rsidR="00EA049F">
        <w:t xml:space="preserve"> with the method presented in this study.</w:t>
      </w:r>
    </w:p>
    <w:p w:rsidR="005A3F68" w:rsidRDefault="00EA049F" w:rsidP="005A3F68">
      <w:r>
        <w:t xml:space="preserve">Achieving the low limit of detection for the method was a particular focus as the instrument available for method development (a Tri-Carb 3100 TR) </w:t>
      </w:r>
      <w:r w:rsidR="00482950">
        <w:t>is</w:t>
      </w:r>
      <w:r>
        <w:t xml:space="preserve"> not set up for very low-level counting. Optimisation of the </w:t>
      </w:r>
      <w:r w:rsidR="00482950">
        <w:t xml:space="preserve">time resolved settings, delay before burst (DBB) and </w:t>
      </w:r>
      <w:r w:rsidR="00416B53">
        <w:t>anti-coincidence</w:t>
      </w:r>
      <w:r w:rsidR="00482950">
        <w:t xml:space="preserve"> timing (AC), of the instrument were undertaken with an optimum DBB setting of 600 ns found. There was no significant difference found from varying the AC timing, and a setting of 50 ns was selected</w:t>
      </w:r>
      <w:r w:rsidR="00694B96">
        <w:t xml:space="preserve"> as a </w:t>
      </w:r>
      <w:r w:rsidR="009A1CA3">
        <w:t>suitable</w:t>
      </w:r>
      <w:r w:rsidR="00694B96">
        <w:t xml:space="preserve"> setting for routine analysis. Count windows were optimised using the figure of merit parameter and 3 optimum windows </w:t>
      </w:r>
      <w:r w:rsidR="00FE7392">
        <w:t xml:space="preserve">suitable for different times after separation </w:t>
      </w:r>
      <w:r w:rsidR="00694B96">
        <w:t>were found. A window at 11–22 keV is optimum up to 10 days after scintillation cocktail preparation, with a detection limit of 11 mBq per sample. A window at 11–330 keV  was found to be optimum from 11 days to ~250 days, with detection limits de</w:t>
      </w:r>
      <w:r w:rsidR="009A7E9B">
        <w:t>creasing over time but below 4 mBq from 11 days for a 2 day count time</w:t>
      </w:r>
      <w:r w:rsidR="000029C6">
        <w:t>, slightly lower detection limits of ~3 mBq can be achieved with the 173</w:t>
      </w:r>
      <w:r w:rsidR="00F327B0">
        <w:t xml:space="preserve">–330 keV window </w:t>
      </w:r>
      <w:r w:rsidR="000029C6">
        <w:t>after 300 days</w:t>
      </w:r>
      <w:r w:rsidR="009A7E9B">
        <w:t>.</w:t>
      </w:r>
      <w:r w:rsidR="00101076">
        <w:t xml:space="preserve"> </w:t>
      </w:r>
      <w:r w:rsidR="005A3F68">
        <w:t xml:space="preserve">Efficiencies of </w:t>
      </w:r>
      <w:r w:rsidR="00D456DD">
        <w:t xml:space="preserve">73% for </w:t>
      </w:r>
      <w:r w:rsidR="00D456DD" w:rsidRPr="005C0082">
        <w:rPr>
          <w:snapToGrid w:val="0"/>
          <w:color w:val="000000"/>
          <w:position w:val="6"/>
          <w:sz w:val="16"/>
          <w:szCs w:val="0"/>
          <w:u w:color="000000"/>
        </w:rPr>
        <w:t>210</w:t>
      </w:r>
      <w:r w:rsidR="00D456DD">
        <w:t xml:space="preserve">Pb and 85% for </w:t>
      </w:r>
      <w:r w:rsidR="00D456DD" w:rsidRPr="005C0082">
        <w:rPr>
          <w:snapToGrid w:val="0"/>
          <w:color w:val="000000"/>
          <w:position w:val="6"/>
          <w:sz w:val="16"/>
          <w:szCs w:val="0"/>
          <w:u w:color="000000"/>
        </w:rPr>
        <w:t>210</w:t>
      </w:r>
      <w:r w:rsidR="00D456DD">
        <w:t>Bi</w:t>
      </w:r>
      <w:r w:rsidR="005A3F68">
        <w:t xml:space="preserve"> were achieved. This compares to </w:t>
      </w:r>
      <w:r w:rsidR="00FF60B6">
        <w:t xml:space="preserve">65.7% for </w:t>
      </w:r>
      <w:r w:rsidR="00FF60B6" w:rsidRPr="00C30224">
        <w:rPr>
          <w:snapToGrid w:val="0"/>
          <w:color w:val="000000"/>
          <w:position w:val="6"/>
          <w:sz w:val="16"/>
          <w:szCs w:val="0"/>
          <w:u w:color="000000"/>
        </w:rPr>
        <w:t>210</w:t>
      </w:r>
      <w:r w:rsidR="00FF60B6">
        <w:t xml:space="preserve">Pb and 14.7% for </w:t>
      </w:r>
      <w:r w:rsidR="00FF60B6" w:rsidRPr="00C30224">
        <w:rPr>
          <w:snapToGrid w:val="0"/>
          <w:color w:val="000000"/>
          <w:position w:val="6"/>
          <w:sz w:val="16"/>
          <w:szCs w:val="0"/>
          <w:u w:color="000000"/>
        </w:rPr>
        <w:t>210</w:t>
      </w:r>
      <w:r w:rsidR="00FF60B6">
        <w:t xml:space="preserve">Bi from Blanco et al (2004). Kim et al (2001) </w:t>
      </w:r>
      <w:r w:rsidR="005A3F68">
        <w:t xml:space="preserve">achieved </w:t>
      </w:r>
      <w:r w:rsidR="00FF60B6">
        <w:t>73%</w:t>
      </w:r>
      <w:r w:rsidR="005A3F68">
        <w:t xml:space="preserve"> </w:t>
      </w:r>
      <w:r w:rsidR="00D456DD">
        <w:t xml:space="preserve">for </w:t>
      </w:r>
      <w:r w:rsidR="00D456DD" w:rsidRPr="005C0082">
        <w:rPr>
          <w:snapToGrid w:val="0"/>
          <w:color w:val="000000"/>
          <w:position w:val="6"/>
          <w:sz w:val="16"/>
          <w:szCs w:val="0"/>
          <w:u w:color="000000"/>
        </w:rPr>
        <w:t>210</w:t>
      </w:r>
      <w:r w:rsidR="00D456DD">
        <w:t>Pb in the beta window</w:t>
      </w:r>
      <w:r w:rsidR="005A3F68">
        <w:t xml:space="preserve"> using gross </w:t>
      </w:r>
      <w:r w:rsidR="00992E8E">
        <w:t xml:space="preserve">α/β </w:t>
      </w:r>
      <w:r w:rsidR="005A3F68">
        <w:t xml:space="preserve"> discrimination to also measure </w:t>
      </w:r>
      <w:r w:rsidR="005A3F68" w:rsidRPr="00C30224">
        <w:rPr>
          <w:snapToGrid w:val="0"/>
          <w:color w:val="000000"/>
          <w:position w:val="6"/>
          <w:sz w:val="16"/>
          <w:szCs w:val="0"/>
          <w:u w:color="000000"/>
        </w:rPr>
        <w:t>226</w:t>
      </w:r>
      <w:r w:rsidR="005A3F68">
        <w:t>Ra</w:t>
      </w:r>
      <w:r w:rsidR="00D456DD">
        <w:t xml:space="preserve">. </w:t>
      </w:r>
      <w:r w:rsidR="001D698B">
        <w:t xml:space="preserve">Biggin et al (2002) achieved efficiencies of </w:t>
      </w:r>
      <w:r w:rsidR="005A3F68">
        <w:t>9</w:t>
      </w:r>
      <w:r w:rsidR="001D698B">
        <w:t>2</w:t>
      </w:r>
      <w:r w:rsidR="005A3F68">
        <w:t xml:space="preserve">% for </w:t>
      </w:r>
      <w:r w:rsidR="00C30224" w:rsidRPr="00C30224">
        <w:rPr>
          <w:snapToGrid w:val="0"/>
          <w:color w:val="000000"/>
          <w:position w:val="6"/>
          <w:sz w:val="16"/>
          <w:szCs w:val="0"/>
          <w:u w:color="000000"/>
        </w:rPr>
        <w:t>210</w:t>
      </w:r>
      <w:r w:rsidR="00C30224">
        <w:t xml:space="preserve">Pb </w:t>
      </w:r>
      <w:r w:rsidR="005A3F68">
        <w:t>and 8</w:t>
      </w:r>
      <w:r w:rsidR="001D698B">
        <w:t>9</w:t>
      </w:r>
      <w:r w:rsidR="005A3F68">
        <w:t xml:space="preserve">% for </w:t>
      </w:r>
      <w:r w:rsidR="005A3F68" w:rsidRPr="00094AF9">
        <w:rPr>
          <w:snapToGrid w:val="0"/>
          <w:color w:val="000000"/>
          <w:position w:val="6"/>
          <w:sz w:val="16"/>
          <w:szCs w:val="0"/>
          <w:u w:color="000000"/>
        </w:rPr>
        <w:t>210</w:t>
      </w:r>
      <w:r w:rsidR="005A3F68">
        <w:t xml:space="preserve">Bi using </w:t>
      </w:r>
      <w:r>
        <w:t xml:space="preserve">a more recent model of </w:t>
      </w:r>
      <w:r w:rsidR="005A3F68">
        <w:t xml:space="preserve">the Tri-Carb </w:t>
      </w:r>
      <w:r>
        <w:t xml:space="preserve">series (a </w:t>
      </w:r>
      <w:r w:rsidR="005A3F68">
        <w:t>3170 TR/SL</w:t>
      </w:r>
      <w:r>
        <w:t>)</w:t>
      </w:r>
      <w:r w:rsidR="005A3F68">
        <w:t xml:space="preserve"> with </w:t>
      </w:r>
      <w:r w:rsidR="001D698B">
        <w:t xml:space="preserve">a </w:t>
      </w:r>
      <w:r w:rsidR="005A3F68">
        <w:t>BGO guard</w:t>
      </w:r>
      <w:r w:rsidR="001D698B">
        <w:t>. Biggin et al (2002) optimised the DBB timing setting and</w:t>
      </w:r>
      <w:r w:rsidR="00FF60B6">
        <w:t xml:space="preserve">, as in this study, </w:t>
      </w:r>
      <w:r w:rsidR="001D698B">
        <w:t xml:space="preserve">found </w:t>
      </w:r>
      <w:r w:rsidR="00FF60B6">
        <w:t>the</w:t>
      </w:r>
      <w:r w:rsidR="001D698B">
        <w:t xml:space="preserve"> optimum value </w:t>
      </w:r>
      <w:r w:rsidR="00FF60B6">
        <w:t>to be</w:t>
      </w:r>
      <w:r w:rsidR="001D698B">
        <w:t xml:space="preserve"> </w:t>
      </w:r>
      <w:r w:rsidR="005A3F68">
        <w:t>600</w:t>
      </w:r>
      <w:r w:rsidR="001D698B">
        <w:t xml:space="preserve"> ns, though the count windows were not optimised and the higher efficiencies can be explained in part by the use of a 0–40 keV window for </w:t>
      </w:r>
      <w:r w:rsidR="001D698B" w:rsidRPr="005C0082">
        <w:rPr>
          <w:snapToGrid w:val="0"/>
          <w:color w:val="000000"/>
          <w:position w:val="6"/>
          <w:sz w:val="16"/>
          <w:szCs w:val="0"/>
          <w:u w:color="000000"/>
        </w:rPr>
        <w:t>210</w:t>
      </w:r>
      <w:r w:rsidR="001D698B">
        <w:t xml:space="preserve">Pb and the full 0–2000 keV window for </w:t>
      </w:r>
      <w:r w:rsidR="001D698B" w:rsidRPr="005C0082">
        <w:rPr>
          <w:snapToGrid w:val="0"/>
          <w:color w:val="000000"/>
          <w:position w:val="6"/>
          <w:sz w:val="16"/>
          <w:szCs w:val="0"/>
          <w:u w:color="000000"/>
        </w:rPr>
        <w:t>210</w:t>
      </w:r>
      <w:r w:rsidR="001D698B">
        <w:t>Bi</w:t>
      </w:r>
      <w:r w:rsidR="005A3F68">
        <w:t>.</w:t>
      </w:r>
      <w:r w:rsidR="00FF60B6">
        <w:t xml:space="preserve"> As the instrument used in this study does not have a BGO guard to reduce the background, optimisation of the count windows was critical to ensuring the lowest possible limits of detection.</w:t>
      </w:r>
    </w:p>
    <w:p w:rsidR="004B0B0F" w:rsidRDefault="00FF60B6" w:rsidP="005A3F68">
      <w:r>
        <w:t xml:space="preserve">This report presents a suitable method for low-level analysis of </w:t>
      </w:r>
      <w:r w:rsidRPr="005C0082">
        <w:rPr>
          <w:snapToGrid w:val="0"/>
          <w:color w:val="000000"/>
          <w:position w:val="6"/>
          <w:sz w:val="16"/>
          <w:szCs w:val="0"/>
          <w:u w:color="000000"/>
        </w:rPr>
        <w:t>210</w:t>
      </w:r>
      <w:r>
        <w:t xml:space="preserve">Pb, with reduced handling times and radiochemical separation techniques required compared to the previous method (Martin &amp; Hancock 2004). With an </w:t>
      </w:r>
      <w:r w:rsidRPr="00EC5420">
        <w:rPr>
          <w:i/>
        </w:rPr>
        <w:t>L</w:t>
      </w:r>
      <w:r w:rsidRPr="00EC5420">
        <w:rPr>
          <w:i/>
          <w:snapToGrid w:val="0"/>
          <w:color w:val="000000"/>
          <w:position w:val="-6"/>
          <w:sz w:val="16"/>
          <w:szCs w:val="0"/>
          <w:u w:color="000000"/>
        </w:rPr>
        <w:t>D</w:t>
      </w:r>
      <w:r>
        <w:t xml:space="preserve"> of 54 mBq for a 100 minute count time the method is also suitable for rapid analysis of </w:t>
      </w:r>
      <w:r w:rsidRPr="005C0082">
        <w:rPr>
          <w:snapToGrid w:val="0"/>
          <w:color w:val="000000"/>
          <w:position w:val="6"/>
          <w:sz w:val="16"/>
          <w:szCs w:val="0"/>
          <w:u w:color="000000"/>
        </w:rPr>
        <w:t>210</w:t>
      </w:r>
      <w:r>
        <w:t>Pb in radiological emergency situations</w:t>
      </w:r>
      <w:r w:rsidR="005C642A">
        <w:t xml:space="preserve">. </w:t>
      </w:r>
    </w:p>
    <w:p w:rsidR="005C642A" w:rsidRDefault="00D63F46" w:rsidP="005A3F68">
      <w:r>
        <w:t xml:space="preserve">New </w:t>
      </w:r>
      <w:r w:rsidR="005C642A">
        <w:t>laboratory methods</w:t>
      </w:r>
      <w:r>
        <w:t xml:space="preserve"> detailing </w:t>
      </w:r>
      <w:r w:rsidRPr="00D63F46">
        <w:rPr>
          <w:snapToGrid w:val="0"/>
          <w:color w:val="000000"/>
          <w:position w:val="6"/>
          <w:sz w:val="16"/>
          <w:szCs w:val="0"/>
          <w:u w:color="000000"/>
        </w:rPr>
        <w:t>210</w:t>
      </w:r>
      <w:r>
        <w:t xml:space="preserve">Pb measurement techniques that have </w:t>
      </w:r>
      <w:r w:rsidR="00416B53">
        <w:t>been introduced</w:t>
      </w:r>
      <w:r>
        <w:t xml:space="preserve"> in this report are included in Appendix 1 and are also included in the </w:t>
      </w:r>
      <w:r w:rsidR="005C642A">
        <w:t>radiochemistry laboratory procedures manual</w:t>
      </w:r>
      <w:r>
        <w:t>.</w:t>
      </w:r>
    </w:p>
    <w:p w:rsidR="003D14DC" w:rsidRDefault="003D14DC" w:rsidP="005A3F68"/>
    <w:p w:rsidR="008A719E" w:rsidRDefault="00451D73" w:rsidP="00451D73">
      <w:pPr>
        <w:pStyle w:val="Heading2"/>
      </w:pPr>
      <w:bookmarkStart w:id="51" w:name="_Toc467491573"/>
      <w:r>
        <w:t xml:space="preserve">6.  </w:t>
      </w:r>
      <w:r w:rsidR="008A719E">
        <w:t>References</w:t>
      </w:r>
      <w:bookmarkEnd w:id="51"/>
    </w:p>
    <w:p w:rsidR="00B90630" w:rsidRDefault="00B90630" w:rsidP="007E7644">
      <w:pPr>
        <w:pStyle w:val="referencelist1"/>
      </w:pPr>
      <w:r>
        <w:t xml:space="preserve">Amr MA, Al-Saad KA &amp; Helal AI 2010. Ultra-trace measurements of </w:t>
      </w:r>
      <w:r>
        <w:rPr>
          <w:position w:val="5"/>
          <w:sz w:val="15"/>
        </w:rPr>
        <w:t>210</w:t>
      </w:r>
      <w:r>
        <w:t>Pb in natural occurring radioactive materials by ICP-MS</w:t>
      </w:r>
      <w:r w:rsidR="00B82D4B">
        <w:t xml:space="preserve">. </w:t>
      </w:r>
      <w:r w:rsidR="00B82D4B" w:rsidRPr="00B82D4B">
        <w:rPr>
          <w:i/>
        </w:rPr>
        <w:t>Nuclear Instruments and Methods in Physics Research A</w:t>
      </w:r>
      <w:r w:rsidR="00B82D4B">
        <w:t>. 615, 237–241.</w:t>
      </w:r>
    </w:p>
    <w:p w:rsidR="005A3F68" w:rsidRDefault="007E7644" w:rsidP="007E7644">
      <w:pPr>
        <w:pStyle w:val="referencelist1"/>
      </w:pPr>
      <w:r>
        <w:t>Benedik</w:t>
      </w:r>
      <w:r w:rsidR="005A3F68">
        <w:t xml:space="preserve"> L</w:t>
      </w:r>
      <w:r w:rsidR="008019F5">
        <w:t xml:space="preserve"> &amp;</w:t>
      </w:r>
      <w:r>
        <w:t xml:space="preserve"> Vrecek</w:t>
      </w:r>
      <w:r w:rsidR="005A3F68">
        <w:t xml:space="preserve"> P 2001. Determination of </w:t>
      </w:r>
      <w:r w:rsidR="005A3F68" w:rsidRPr="007E7644">
        <w:rPr>
          <w:snapToGrid w:val="0"/>
          <w:color w:val="000000"/>
          <w:position w:val="5"/>
          <w:sz w:val="15"/>
          <w:szCs w:val="0"/>
          <w:u w:color="000000"/>
        </w:rPr>
        <w:t>210</w:t>
      </w:r>
      <w:r w:rsidR="005A3F68">
        <w:t xml:space="preserve">Pb and </w:t>
      </w:r>
      <w:r w:rsidR="005A3F68" w:rsidRPr="007E7644">
        <w:rPr>
          <w:snapToGrid w:val="0"/>
          <w:color w:val="000000"/>
          <w:position w:val="5"/>
          <w:sz w:val="15"/>
          <w:szCs w:val="0"/>
          <w:u w:color="000000"/>
        </w:rPr>
        <w:t>210</w:t>
      </w:r>
      <w:r w:rsidR="005A3F68">
        <w:t>Po</w:t>
      </w:r>
      <w:r>
        <w:t xml:space="preserve"> in environmental samples. </w:t>
      </w:r>
      <w:r w:rsidRPr="007E7644">
        <w:rPr>
          <w:i/>
        </w:rPr>
        <w:t>Acta</w:t>
      </w:r>
      <w:r w:rsidR="005A3F68" w:rsidRPr="007E7644">
        <w:rPr>
          <w:i/>
        </w:rPr>
        <w:t xml:space="preserve"> Chim</w:t>
      </w:r>
      <w:r w:rsidRPr="007E7644">
        <w:rPr>
          <w:i/>
        </w:rPr>
        <w:t>ica</w:t>
      </w:r>
      <w:r w:rsidR="005A3F68" w:rsidRPr="007E7644">
        <w:rPr>
          <w:i/>
        </w:rPr>
        <w:t xml:space="preserve"> Slov</w:t>
      </w:r>
      <w:r w:rsidRPr="007E7644">
        <w:rPr>
          <w:i/>
        </w:rPr>
        <w:t>enica</w:t>
      </w:r>
      <w:r>
        <w:t>.</w:t>
      </w:r>
      <w:r w:rsidR="005A3F68">
        <w:t xml:space="preserve"> 48, 199–213. </w:t>
      </w:r>
    </w:p>
    <w:p w:rsidR="005A3F68" w:rsidRDefault="007E7644" w:rsidP="007E7644">
      <w:pPr>
        <w:pStyle w:val="referencelist1"/>
      </w:pPr>
      <w:r>
        <w:t>Biggin CD, Cook</w:t>
      </w:r>
      <w:r w:rsidR="005A3F68">
        <w:t xml:space="preserve"> GT, MacKenzie AB</w:t>
      </w:r>
      <w:r w:rsidR="008019F5">
        <w:t xml:space="preserve"> &amp;</w:t>
      </w:r>
      <w:r w:rsidR="005A3F68">
        <w:t xml:space="preserve"> Pates JM 2002. Time-Efficient Method for the Determination of </w:t>
      </w:r>
      <w:r w:rsidRPr="007E7644">
        <w:rPr>
          <w:snapToGrid w:val="0"/>
          <w:color w:val="000000"/>
          <w:position w:val="5"/>
          <w:sz w:val="15"/>
          <w:szCs w:val="0"/>
          <w:u w:color="000000"/>
        </w:rPr>
        <w:t>210</w:t>
      </w:r>
      <w:r>
        <w:t>Pb</w:t>
      </w:r>
      <w:r w:rsidR="005A3F68">
        <w:t xml:space="preserve">, </w:t>
      </w:r>
      <w:r w:rsidR="005A3F68" w:rsidRPr="007E7644">
        <w:rPr>
          <w:snapToGrid w:val="0"/>
          <w:color w:val="000000"/>
          <w:position w:val="5"/>
          <w:sz w:val="15"/>
          <w:szCs w:val="0"/>
          <w:u w:color="000000"/>
        </w:rPr>
        <w:t>210</w:t>
      </w:r>
      <w:r w:rsidR="005A3F68">
        <w:t xml:space="preserve">Bi, and </w:t>
      </w:r>
      <w:r w:rsidRPr="007E7644">
        <w:rPr>
          <w:snapToGrid w:val="0"/>
          <w:color w:val="000000"/>
          <w:position w:val="5"/>
          <w:sz w:val="15"/>
          <w:szCs w:val="0"/>
          <w:u w:color="000000"/>
        </w:rPr>
        <w:t>210</w:t>
      </w:r>
      <w:r>
        <w:t xml:space="preserve">Po </w:t>
      </w:r>
      <w:r w:rsidR="005A3F68">
        <w:t xml:space="preserve">Activities in Seawater Using Liquid Scintillation Spectrometry. </w:t>
      </w:r>
      <w:r w:rsidR="005A3F68" w:rsidRPr="007E7644">
        <w:rPr>
          <w:i/>
        </w:rPr>
        <w:t>Anal</w:t>
      </w:r>
      <w:r w:rsidRPr="007E7644">
        <w:rPr>
          <w:i/>
        </w:rPr>
        <w:t xml:space="preserve">ytical </w:t>
      </w:r>
      <w:r w:rsidR="005A3F68" w:rsidRPr="007E7644">
        <w:rPr>
          <w:i/>
        </w:rPr>
        <w:t>Chem</w:t>
      </w:r>
      <w:r w:rsidRPr="007E7644">
        <w:rPr>
          <w:i/>
        </w:rPr>
        <w:t>istry</w:t>
      </w:r>
      <w:r>
        <w:t>.</w:t>
      </w:r>
      <w:r w:rsidR="005A3F68">
        <w:t xml:space="preserve"> 74, 671–677.</w:t>
      </w:r>
    </w:p>
    <w:p w:rsidR="005A3F68" w:rsidRDefault="005A3F68" w:rsidP="007E7644">
      <w:pPr>
        <w:pStyle w:val="referencelist1"/>
      </w:pPr>
      <w:r>
        <w:t>Blanco P, Lozano JC, Gómez Escobar V</w:t>
      </w:r>
      <w:r w:rsidR="008019F5">
        <w:t xml:space="preserve"> &amp;</w:t>
      </w:r>
      <w:r>
        <w:t xml:space="preserve"> Vera Tomé F 2004. A simple method for </w:t>
      </w:r>
      <w:r w:rsidR="007E7644" w:rsidRPr="007E7644">
        <w:rPr>
          <w:snapToGrid w:val="0"/>
          <w:color w:val="000000"/>
          <w:position w:val="5"/>
          <w:sz w:val="15"/>
          <w:szCs w:val="0"/>
          <w:u w:color="000000"/>
        </w:rPr>
        <w:t>210</w:t>
      </w:r>
      <w:r w:rsidR="007E7644">
        <w:t xml:space="preserve">Pb </w:t>
      </w:r>
      <w:r>
        <w:t xml:space="preserve">determination in geological samples by liquid scintillation counting. </w:t>
      </w:r>
      <w:r w:rsidRPr="00993121">
        <w:rPr>
          <w:i/>
        </w:rPr>
        <w:t>Applied Radiation and Isotopes</w:t>
      </w:r>
      <w:r w:rsidR="00993121">
        <w:t xml:space="preserve">. </w:t>
      </w:r>
      <w:r>
        <w:t>60, 83–88.</w:t>
      </w:r>
    </w:p>
    <w:p w:rsidR="005A3F68" w:rsidRDefault="005A3F68" w:rsidP="007E7644">
      <w:pPr>
        <w:pStyle w:val="referencelist1"/>
      </w:pPr>
      <w:r>
        <w:t>Currie LA 1968. Limits for Qualitative Detection and Quantitative Determination: Application to Radiochemistry</w:t>
      </w:r>
      <w:r w:rsidR="00993121">
        <w:t>.</w:t>
      </w:r>
      <w:r w:rsidR="00993121" w:rsidRPr="00993121">
        <w:rPr>
          <w:i/>
        </w:rPr>
        <w:t xml:space="preserve"> </w:t>
      </w:r>
      <w:r w:rsidR="00993121" w:rsidRPr="007E7644">
        <w:rPr>
          <w:i/>
        </w:rPr>
        <w:t>Analytical Chemistry</w:t>
      </w:r>
      <w:r>
        <w:t>. 40, 586–593.</w:t>
      </w:r>
    </w:p>
    <w:p w:rsidR="0093149F" w:rsidRDefault="006338A5" w:rsidP="00704687">
      <w:pPr>
        <w:pStyle w:val="referencelist1"/>
      </w:pPr>
      <w:r w:rsidRPr="00E81837">
        <w:t>Esparon A &amp; Pfitzner J</w:t>
      </w:r>
      <w:r>
        <w:t xml:space="preserve"> 2010. Visual gamma: </w:t>
      </w:r>
      <w:r w:rsidRPr="00E81837">
        <w:rPr>
          <w:b/>
          <w:i/>
          <w:sz w:val="26"/>
          <w:szCs w:val="26"/>
        </w:rPr>
        <w:t>eriss</w:t>
      </w:r>
      <w:r w:rsidRPr="004E2917">
        <w:t xml:space="preserve"> </w:t>
      </w:r>
      <w:r>
        <w:t>g</w:t>
      </w:r>
      <w:r w:rsidRPr="004E2917">
        <w:t xml:space="preserve">amma </w:t>
      </w:r>
      <w:r>
        <w:t>a</w:t>
      </w:r>
      <w:r w:rsidRPr="004E2917">
        <w:t xml:space="preserve">nalysis </w:t>
      </w:r>
      <w:r>
        <w:t>t</w:t>
      </w:r>
      <w:r w:rsidRPr="004E2917">
        <w:t xml:space="preserve">echnical </w:t>
      </w:r>
      <w:r>
        <w:t>m</w:t>
      </w:r>
      <w:r w:rsidRPr="004E2917">
        <w:t>anual</w:t>
      </w:r>
      <w:r>
        <w:t xml:space="preserve">. </w:t>
      </w:r>
      <w:r w:rsidRPr="00F1226A">
        <w:rPr>
          <w:spacing w:val="-2"/>
          <w:szCs w:val="22"/>
          <w:lang w:eastAsia="en-AU"/>
        </w:rPr>
        <w:t>Internal Report</w:t>
      </w:r>
      <w:r w:rsidRPr="00F1226A">
        <w:rPr>
          <w:spacing w:val="-2"/>
          <w:lang w:eastAsia="en-AU"/>
        </w:rPr>
        <w:t xml:space="preserve"> 5</w:t>
      </w:r>
      <w:r>
        <w:rPr>
          <w:spacing w:val="-2"/>
          <w:lang w:eastAsia="en-AU"/>
        </w:rPr>
        <w:t>39</w:t>
      </w:r>
      <w:r w:rsidRPr="00F1226A">
        <w:rPr>
          <w:spacing w:val="-2"/>
          <w:szCs w:val="22"/>
          <w:lang w:eastAsia="en-AU"/>
        </w:rPr>
        <w:t xml:space="preserve">, </w:t>
      </w:r>
      <w:r>
        <w:rPr>
          <w:spacing w:val="-2"/>
          <w:szCs w:val="22"/>
          <w:lang w:eastAsia="en-AU"/>
        </w:rPr>
        <w:t>December</w:t>
      </w:r>
      <w:r w:rsidRPr="00F1226A">
        <w:rPr>
          <w:spacing w:val="-2"/>
          <w:szCs w:val="22"/>
          <w:lang w:eastAsia="en-AU"/>
        </w:rPr>
        <w:t>, Supervising Scientist, Darwin.</w:t>
      </w:r>
    </w:p>
    <w:p w:rsidR="005A3F68" w:rsidRDefault="00993121" w:rsidP="007E7644">
      <w:pPr>
        <w:pStyle w:val="referencelist1"/>
      </w:pPr>
      <w:r>
        <w:t>Feng</w:t>
      </w:r>
      <w:r w:rsidR="008019F5">
        <w:t xml:space="preserve"> X-g, He Q-g, Wang J-c &amp;</w:t>
      </w:r>
      <w:r w:rsidR="005A3F68">
        <w:t xml:space="preserve"> Chen J 2012. The long-term stability on basic performances of a diisopropylnaphthalene-based liquid scintillation cocktail. </w:t>
      </w:r>
      <w:r w:rsidRPr="00993121">
        <w:rPr>
          <w:i/>
        </w:rPr>
        <w:t>Applied Radiation and Isotopes</w:t>
      </w:r>
      <w:r w:rsidR="005A3F68">
        <w:t>. 70, 1536–1540.</w:t>
      </w:r>
    </w:p>
    <w:p w:rsidR="005A3F68" w:rsidRDefault="005A3F68" w:rsidP="007E7644">
      <w:pPr>
        <w:pStyle w:val="referencelist1"/>
      </w:pPr>
      <w:r>
        <w:t>Garcı́</w:t>
      </w:r>
      <w:r w:rsidRPr="007E7644">
        <w:t>a-Orellana I</w:t>
      </w:r>
      <w:r w:rsidR="008019F5">
        <w:t xml:space="preserve"> &amp;</w:t>
      </w:r>
      <w:r w:rsidRPr="007E7644">
        <w:t xml:space="preserve"> Garcı</w:t>
      </w:r>
      <w:r>
        <w:t>́</w:t>
      </w:r>
      <w:r w:rsidR="00993121">
        <w:t>a-León M</w:t>
      </w:r>
      <w:r w:rsidRPr="007E7644">
        <w:t xml:space="preserve"> 2002. An easy method to determine </w:t>
      </w:r>
      <w:r w:rsidR="007E7644" w:rsidRPr="007E7644">
        <w:rPr>
          <w:snapToGrid w:val="0"/>
          <w:color w:val="000000"/>
          <w:position w:val="5"/>
          <w:sz w:val="15"/>
          <w:szCs w:val="0"/>
          <w:u w:color="000000"/>
        </w:rPr>
        <w:t>210</w:t>
      </w:r>
      <w:r w:rsidR="007E7644">
        <w:t xml:space="preserve">Po </w:t>
      </w:r>
      <w:r w:rsidRPr="007E7644">
        <w:t xml:space="preserve">and </w:t>
      </w:r>
      <w:r w:rsidR="007E7644" w:rsidRPr="007E7644">
        <w:rPr>
          <w:snapToGrid w:val="0"/>
          <w:color w:val="000000"/>
          <w:position w:val="5"/>
          <w:sz w:val="15"/>
          <w:szCs w:val="0"/>
          <w:u w:color="000000"/>
        </w:rPr>
        <w:t>210</w:t>
      </w:r>
      <w:r w:rsidR="007E7644">
        <w:t xml:space="preserve">Pb </w:t>
      </w:r>
      <w:r w:rsidRPr="007E7644">
        <w:t xml:space="preserve">by alpha spectrometry in marine environmental samples. </w:t>
      </w:r>
      <w:r w:rsidR="00993121" w:rsidRPr="00993121">
        <w:rPr>
          <w:i/>
        </w:rPr>
        <w:t>Applied Radiation and Isotopes</w:t>
      </w:r>
      <w:r w:rsidRPr="007E7644">
        <w:t>. 56, 633–6</w:t>
      </w:r>
      <w:r>
        <w:t>36.</w:t>
      </w:r>
    </w:p>
    <w:p w:rsidR="009D3A03" w:rsidRDefault="009D3A03" w:rsidP="00E211F7">
      <w:pPr>
        <w:pStyle w:val="referencelist1"/>
      </w:pPr>
      <w:r>
        <w:t>Holmes, I., 2004. Alpha-spectrometric analysis of environmental samples – spreadsheet approach. IAEA TECDOC-1401, IAEA, Vienna, 141</w:t>
      </w:r>
      <w:r w:rsidRPr="007E7644">
        <w:t>–</w:t>
      </w:r>
      <w:r>
        <w:t>148.</w:t>
      </w:r>
    </w:p>
    <w:p w:rsidR="00E211F7" w:rsidRDefault="00E211F7" w:rsidP="00E211F7">
      <w:pPr>
        <w:pStyle w:val="referencelist1"/>
      </w:pPr>
      <w:r w:rsidRPr="00C37FB1">
        <w:t xml:space="preserve">Jia, G., Belli, M., Blasi, M., Marchetti, A., Rosamilia, S., Sansone, U., 2000. </w:t>
      </w:r>
      <w:r w:rsidRPr="00E211F7">
        <w:rPr>
          <w:snapToGrid w:val="0"/>
          <w:color w:val="000000"/>
          <w:position w:val="5"/>
          <w:sz w:val="15"/>
          <w:szCs w:val="0"/>
          <w:u w:color="000000"/>
        </w:rPr>
        <w:t>210</w:t>
      </w:r>
      <w:r w:rsidRPr="00C37FB1">
        <w:t xml:space="preserve">Pb and </w:t>
      </w:r>
      <w:r w:rsidRPr="00E211F7">
        <w:rPr>
          <w:snapToGrid w:val="0"/>
          <w:color w:val="000000"/>
          <w:position w:val="5"/>
          <w:sz w:val="15"/>
          <w:szCs w:val="0"/>
          <w:u w:color="000000"/>
        </w:rPr>
        <w:t>210</w:t>
      </w:r>
      <w:r w:rsidRPr="00C37FB1">
        <w:t xml:space="preserve">Po determination in environmental samples. </w:t>
      </w:r>
      <w:r w:rsidRPr="00E211F7">
        <w:rPr>
          <w:i/>
        </w:rPr>
        <w:t>Applied Radiation and Isotopes</w:t>
      </w:r>
      <w:r w:rsidRPr="00C37FB1">
        <w:t xml:space="preserve"> 53, 115</w:t>
      </w:r>
      <w:r w:rsidRPr="007E7644">
        <w:t>–</w:t>
      </w:r>
      <w:r w:rsidRPr="00C37FB1">
        <w:t>120.</w:t>
      </w:r>
    </w:p>
    <w:p w:rsidR="002E6995" w:rsidRDefault="002E6995" w:rsidP="002E6995">
      <w:pPr>
        <w:pStyle w:val="referencelist1"/>
      </w:pPr>
      <w:r>
        <w:t>Johannsen LY, 2008.</w:t>
      </w:r>
      <w:r w:rsidRPr="002E6995">
        <w:t xml:space="preserve"> </w:t>
      </w:r>
      <w:r>
        <w:t xml:space="preserve">Determination of Pb-210 and Po-210 in aqueous environmental samples. PhD thesis, </w:t>
      </w:r>
      <w:r w:rsidRPr="002E6995">
        <w:t>Gottfried Wilhelm Leibniz Universität Hannover</w:t>
      </w:r>
      <w:r>
        <w:t>.</w:t>
      </w:r>
    </w:p>
    <w:p w:rsidR="005A3F68" w:rsidRDefault="005A3F68" w:rsidP="007E7644">
      <w:pPr>
        <w:pStyle w:val="referencelist1"/>
      </w:pPr>
      <w:r>
        <w:t>Kim Y-J, Kim C-K</w:t>
      </w:r>
      <w:r w:rsidR="008019F5">
        <w:t xml:space="preserve"> &amp;</w:t>
      </w:r>
      <w:r>
        <w:t xml:space="preserve"> Lee J-I 2001. Simultaneous determination of </w:t>
      </w:r>
      <w:r w:rsidRPr="007E7644">
        <w:rPr>
          <w:snapToGrid w:val="0"/>
          <w:color w:val="000000"/>
          <w:position w:val="5"/>
          <w:sz w:val="15"/>
          <w:szCs w:val="0"/>
          <w:u w:color="000000"/>
        </w:rPr>
        <w:t>226</w:t>
      </w:r>
      <w:r>
        <w:t xml:space="preserve">Ra and </w:t>
      </w:r>
      <w:r w:rsidR="007E7644" w:rsidRPr="007E7644">
        <w:rPr>
          <w:snapToGrid w:val="0"/>
          <w:color w:val="000000"/>
          <w:position w:val="5"/>
          <w:sz w:val="15"/>
          <w:szCs w:val="0"/>
          <w:u w:color="000000"/>
        </w:rPr>
        <w:t>210</w:t>
      </w:r>
      <w:r w:rsidR="007E7644">
        <w:t xml:space="preserve">Pb </w:t>
      </w:r>
      <w:r>
        <w:t xml:space="preserve">in groundwater and soil samples by using the liquid scintillation counter – suspension gel method. </w:t>
      </w:r>
      <w:r w:rsidR="00993121" w:rsidRPr="00993121">
        <w:rPr>
          <w:i/>
        </w:rPr>
        <w:t>Applied Radiation and Isotopes</w:t>
      </w:r>
      <w:r>
        <w:t>. 54, 275–281.</w:t>
      </w:r>
    </w:p>
    <w:p w:rsidR="00F546B6" w:rsidRDefault="00F546B6" w:rsidP="007E7644">
      <w:pPr>
        <w:pStyle w:val="referencelist1"/>
      </w:pPr>
      <w:r w:rsidRPr="00F546B6">
        <w:t xml:space="preserve">Kragten, J., 1994. Tutorial review. Calculating standard deviations and confidence intervals with a universally applicable spreadsheet technique. </w:t>
      </w:r>
      <w:r w:rsidRPr="00F546B6">
        <w:rPr>
          <w:i/>
        </w:rPr>
        <w:t>Analyst</w:t>
      </w:r>
      <w:r w:rsidRPr="00F546B6">
        <w:t xml:space="preserve"> 119, 2161</w:t>
      </w:r>
      <w:r w:rsidRPr="004670A3">
        <w:t>–</w:t>
      </w:r>
      <w:r w:rsidRPr="00F546B6">
        <w:t>2165.</w:t>
      </w:r>
    </w:p>
    <w:p w:rsidR="005A3F68" w:rsidRDefault="005A3F68" w:rsidP="007E7644">
      <w:pPr>
        <w:pStyle w:val="referencelist1"/>
      </w:pPr>
      <w:r>
        <w:t>L’Annunziata M 2012. Handbook of Radioactivity Analysis, third ed. Elsevier, New York</w:t>
      </w:r>
    </w:p>
    <w:p w:rsidR="003A50D0" w:rsidRDefault="003A50D0" w:rsidP="004670A3">
      <w:pPr>
        <w:pStyle w:val="referencelist1"/>
      </w:pPr>
      <w:r>
        <w:t xml:space="preserve">Lariviere D, Taylor VF, Evans RD &amp; Cornett RJ 2006. </w:t>
      </w:r>
      <w:r w:rsidRPr="004670A3">
        <w:t>Radionuclide determination in environmental samples by inductively coupled plasma mass spectrometry</w:t>
      </w:r>
      <w:r w:rsidR="004670A3" w:rsidRPr="004670A3">
        <w:t xml:space="preserve">. </w:t>
      </w:r>
      <w:r w:rsidR="004670A3" w:rsidRPr="004670A3">
        <w:rPr>
          <w:i/>
        </w:rPr>
        <w:t>Spectrochimica Acta Part B: Atomic Spectroscopy</w:t>
      </w:r>
      <w:r w:rsidR="004670A3" w:rsidRPr="004670A3">
        <w:t>. 61(8), 877–904.</w:t>
      </w:r>
    </w:p>
    <w:p w:rsidR="00282AE7" w:rsidRPr="00853568" w:rsidRDefault="00282AE7" w:rsidP="00282AE7">
      <w:pPr>
        <w:pStyle w:val="referencelist1"/>
      </w:pPr>
      <w:r w:rsidRPr="00282AE7">
        <w:t xml:space="preserve">LNHB, 2013 Laboratoire National Henri Becquerel. </w:t>
      </w:r>
      <w:r w:rsidRPr="00853568">
        <w:t>Decay Data Evaluation Project. http://www.nucleide.org/DDEP_WG/Nuclides. Accessed 04 Sep 2013.</w:t>
      </w:r>
    </w:p>
    <w:p w:rsidR="005A3F68" w:rsidRDefault="005A3F68" w:rsidP="007E7644">
      <w:pPr>
        <w:pStyle w:val="referencelist1"/>
      </w:pPr>
      <w:r>
        <w:t>Marten R 1992. Procedures for routine analysis of naturally occurring radionuclides in environmental samples by gamma-ray spectrometry with HPGe detectors. Internal report 76, Supervising Scientist for the Alligator Rivers Region, Canberra. Unpublished paper.</w:t>
      </w:r>
    </w:p>
    <w:p w:rsidR="005A3F68" w:rsidRDefault="005A3F68" w:rsidP="007E7644">
      <w:pPr>
        <w:pStyle w:val="referencelist1"/>
      </w:pPr>
      <w:r>
        <w:t>Martin</w:t>
      </w:r>
      <w:r w:rsidR="008019F5">
        <w:t xml:space="preserve"> </w:t>
      </w:r>
      <w:r>
        <w:t>P</w:t>
      </w:r>
      <w:r w:rsidR="008019F5">
        <w:t xml:space="preserve"> &amp;</w:t>
      </w:r>
      <w:r>
        <w:t xml:space="preserve"> Hancock GJ 2004. Routine analysis of naturally occurring radionuclides in environmental samples by alpha-particle spectrometry. Supervising Scientist Report 180, Supervising Scientist, Darwin NT.</w:t>
      </w:r>
    </w:p>
    <w:p w:rsidR="00477147" w:rsidRDefault="00477147" w:rsidP="00477147">
      <w:pPr>
        <w:pStyle w:val="referencelist1"/>
      </w:pPr>
      <w:r>
        <w:t>Packard Instrument Compnay</w:t>
      </w:r>
      <w:r w:rsidRPr="00477147">
        <w:t xml:space="preserve"> 1992</w:t>
      </w:r>
      <w:r>
        <w:t xml:space="preserve">. </w:t>
      </w:r>
      <w:r w:rsidRPr="00477147">
        <w:t>High throughput screening of samples containing</w:t>
      </w:r>
      <w:r>
        <w:t xml:space="preserve"> </w:t>
      </w:r>
      <w:r w:rsidRPr="00477147">
        <w:t>alpha and beta radionuclides: An overview of methods. Alpha Beta Application</w:t>
      </w:r>
      <w:r>
        <w:t xml:space="preserve"> </w:t>
      </w:r>
      <w:r w:rsidRPr="00477147">
        <w:t>Note ABA-005. Packard Instrument Comp</w:t>
      </w:r>
      <w:r>
        <w:t>any</w:t>
      </w:r>
      <w:r w:rsidRPr="00477147">
        <w:t xml:space="preserve"> Meriden, CT</w:t>
      </w:r>
      <w:r>
        <w:t>.</w:t>
      </w:r>
    </w:p>
    <w:p w:rsidR="00E3115D" w:rsidRPr="00E3115D" w:rsidRDefault="009057C1" w:rsidP="00E3115D">
      <w:pPr>
        <w:pStyle w:val="referencelist1"/>
        <w:jc w:val="left"/>
        <w:rPr>
          <w:rStyle w:val="Hyperlink"/>
        </w:rPr>
      </w:pPr>
      <w:r>
        <w:t xml:space="preserve">Packard Instrument Compnay 2015. The effect of quench on quantitating </w:t>
      </w:r>
      <w:r w:rsidR="00E3115D">
        <w:t xml:space="preserve">alpha radionuclides by liquid scintillation counting, alpha/beta, ABA-003. PerkinElmer </w:t>
      </w:r>
      <w:r w:rsidR="00E3115D" w:rsidRPr="002F2DD1">
        <w:t>TR-LSC™ Application Note</w:t>
      </w:r>
      <w:r w:rsidR="00E3115D">
        <w:t xml:space="preserve"> </w:t>
      </w:r>
      <w:hyperlink r:id="rId52" w:history="1">
        <w:r w:rsidR="00E3115D" w:rsidRPr="00BA1CF5">
          <w:rPr>
            <w:rStyle w:val="Hyperlink"/>
          </w:rPr>
          <w:t>http://www.perkinelmer.com/pdfs/downloads/app_quenchquantalpharadionucl.pdf. accessed 12/11/2015</w:t>
        </w:r>
      </w:hyperlink>
      <w:r w:rsidR="00E3115D">
        <w:rPr>
          <w:rStyle w:val="Hyperlink"/>
        </w:rPr>
        <w:t>. accessed: 12/11/2015.</w:t>
      </w:r>
    </w:p>
    <w:p w:rsidR="00DE1B95" w:rsidRDefault="00DE1B95" w:rsidP="00704687">
      <w:pPr>
        <w:pStyle w:val="referencelist1"/>
        <w:jc w:val="left"/>
      </w:pPr>
      <w:r>
        <w:t>Passo J</w:t>
      </w:r>
      <w:r w:rsidR="002F2DD1">
        <w:t xml:space="preserve">R, 2015. Time Resolved Liquid Scintillation Counting: (TR-LSC™) for Environmental 3H Analysis. PerkinElmer </w:t>
      </w:r>
      <w:r w:rsidR="002F2DD1" w:rsidRPr="002F2DD1">
        <w:t>TR-LSC™ Application Note</w:t>
      </w:r>
      <w:r w:rsidR="002F2DD1">
        <w:t xml:space="preserve"> </w:t>
      </w:r>
      <w:hyperlink r:id="rId53" w:history="1">
        <w:r w:rsidR="00E3115D" w:rsidRPr="00BA1CF5">
          <w:rPr>
            <w:rStyle w:val="Hyperlink"/>
          </w:rPr>
          <w:t>http://www.perkinelmer.com/pdfs/downloads/app_trlsctimeresolvedliquidscintcounting.pdf</w:t>
        </w:r>
      </w:hyperlink>
      <w:r w:rsidR="002F2DD1">
        <w:t xml:space="preserve">. accessed: 21/10/2015.  </w:t>
      </w:r>
    </w:p>
    <w:p w:rsidR="0024738A" w:rsidRDefault="0024738A" w:rsidP="0024738A">
      <w:pPr>
        <w:pStyle w:val="referencelist1"/>
      </w:pPr>
      <w:r>
        <w:t>Passo Jr., C.J., Cook, G.T., 1996. Handbook of Environmental Liquid Scintillation Spectrometry. A Compilation of Theory and Methods. Packard Instrument Company, Meriden, USA.</w:t>
      </w:r>
    </w:p>
    <w:p w:rsidR="005A3F68" w:rsidRDefault="005A3F68" w:rsidP="007E7644">
      <w:pPr>
        <w:pStyle w:val="referencelist1"/>
      </w:pPr>
      <w:r>
        <w:t>PerkinElmer 2001. Counting Solutions LSC Technical Tips (2002) Counting Aqueous Samples by LSC. PerkinElmer. CS-005.</w:t>
      </w:r>
    </w:p>
    <w:p w:rsidR="005A3F68" w:rsidRDefault="003C6A23" w:rsidP="003C6A23">
      <w:pPr>
        <w:pStyle w:val="referencelist1"/>
      </w:pPr>
      <w:r w:rsidRPr="003C6A23">
        <w:t>Supervising Scientist 2013. Annual Report 2012–13. Supervising Scientist, Darwin.</w:t>
      </w:r>
    </w:p>
    <w:p w:rsidR="003C6A23" w:rsidRPr="005A3F68" w:rsidRDefault="003C6A23" w:rsidP="003C6A23">
      <w:pPr>
        <w:pStyle w:val="referencelist1"/>
      </w:pPr>
      <w:r w:rsidRPr="003C6A23">
        <w:t>Supervising Scientist 201</w:t>
      </w:r>
      <w:r>
        <w:t>4</w:t>
      </w:r>
      <w:r w:rsidRPr="003C6A23">
        <w:t>. Annual Report 201</w:t>
      </w:r>
      <w:r>
        <w:t>3</w:t>
      </w:r>
      <w:r w:rsidRPr="003C6A23">
        <w:t>–1</w:t>
      </w:r>
      <w:r>
        <w:t>4</w:t>
      </w:r>
      <w:r w:rsidRPr="003C6A23">
        <w:t>. Supervising Scientist, Darwin.</w:t>
      </w:r>
    </w:p>
    <w:p w:rsidR="00451D73" w:rsidRDefault="00451D73">
      <w:pPr>
        <w:spacing w:after="0" w:line="240" w:lineRule="auto"/>
        <w:jc w:val="left"/>
        <w:rPr>
          <w:rFonts w:ascii="Arial" w:hAnsi="Arial"/>
          <w:b/>
          <w:sz w:val="36"/>
        </w:rPr>
      </w:pPr>
      <w:r>
        <w:br w:type="page"/>
      </w:r>
    </w:p>
    <w:p w:rsidR="00EC47D5" w:rsidRDefault="008A719E" w:rsidP="008A719E">
      <w:pPr>
        <w:pStyle w:val="Heading1"/>
      </w:pPr>
      <w:r>
        <w:t>Appendix 1</w:t>
      </w:r>
      <w:r w:rsidR="00D81F0D">
        <w:t xml:space="preserve">  Laboratory Methods</w:t>
      </w:r>
    </w:p>
    <w:p w:rsidR="00B27C70" w:rsidRDefault="00B27C70" w:rsidP="00B27C70">
      <w:pPr>
        <w:sectPr w:rsidR="00B27C70" w:rsidSect="00D92477">
          <w:headerReference w:type="even" r:id="rId54"/>
          <w:footerReference w:type="even" r:id="rId55"/>
          <w:footerReference w:type="default" r:id="rId56"/>
          <w:headerReference w:type="first" r:id="rId57"/>
          <w:footerReference w:type="first" r:id="rId58"/>
          <w:pgSz w:w="11906" w:h="16838" w:code="9"/>
          <w:pgMar w:top="993" w:right="1800" w:bottom="993" w:left="1800" w:header="1080" w:footer="835" w:gutter="0"/>
          <w:cols w:space="360"/>
          <w:noEndnote/>
        </w:sectPr>
      </w:pPr>
    </w:p>
    <w:p w:rsidR="00B27C70" w:rsidRDefault="00B27C70" w:rsidP="00C56125">
      <w:pPr>
        <w:pStyle w:val="Heading2"/>
      </w:pPr>
      <w:r>
        <w:t xml:space="preserve">LSC01 – Liquid Scintillation Counting for </w:t>
      </w:r>
      <w:r w:rsidRPr="0013380D">
        <w:rPr>
          <w:snapToGrid w:val="0"/>
          <w:color w:val="000000"/>
          <w:position w:val="7"/>
          <w:sz w:val="19"/>
          <w:szCs w:val="0"/>
          <w:u w:color="000000"/>
        </w:rPr>
        <w:t>210</w:t>
      </w:r>
      <w:r>
        <w:t xml:space="preserve">Pb </w:t>
      </w:r>
    </w:p>
    <w:p w:rsidR="00B27C70" w:rsidRDefault="00B27C70" w:rsidP="00C56125">
      <w:pPr>
        <w:pStyle w:val="Heading3"/>
      </w:pPr>
      <w:r>
        <w:t>1.</w:t>
      </w:r>
      <w:r>
        <w:tab/>
        <w:t>Purpose/</w:t>
      </w:r>
      <w:r w:rsidRPr="00797341">
        <w:t xml:space="preserve"> </w:t>
      </w:r>
      <w:r>
        <w:t>Scope</w:t>
      </w:r>
    </w:p>
    <w:p w:rsidR="00B27C70" w:rsidRDefault="00B27C70" w:rsidP="00797341">
      <w:r>
        <w:t xml:space="preserve">This procedure is used for the counting of sources for prepared for LSC determination of </w:t>
      </w:r>
      <w:r w:rsidRPr="0013380D">
        <w:rPr>
          <w:snapToGrid w:val="0"/>
          <w:color w:val="000000"/>
          <w:position w:val="5"/>
          <w:sz w:val="15"/>
          <w:szCs w:val="0"/>
          <w:u w:color="000000"/>
        </w:rPr>
        <w:t>210</w:t>
      </w:r>
      <w:r>
        <w:t xml:space="preserve">Pb. This procedure follows from procedure </w:t>
      </w:r>
      <w:r w:rsidRPr="005B1318">
        <w:rPr>
          <w:bdr w:val="single" w:sz="4" w:space="0" w:color="auto" w:shadow="1"/>
          <w:shd w:val="clear" w:color="auto" w:fill="E0E0E0"/>
        </w:rPr>
        <w:t>RLR</w:t>
      </w:r>
      <w:r>
        <w:rPr>
          <w:bdr w:val="single" w:sz="4" w:space="0" w:color="auto" w:shadow="1"/>
          <w:shd w:val="clear" w:color="auto" w:fill="E0E0E0"/>
        </w:rPr>
        <w:t>12</w:t>
      </w:r>
      <w:r>
        <w:t xml:space="preserve">, starting after the completion of step 11 in section 3.2 Analytical Procedure. </w:t>
      </w:r>
    </w:p>
    <w:p w:rsidR="00B27C70" w:rsidRDefault="00B27C70" w:rsidP="0063497C">
      <w:pPr>
        <w:pStyle w:val="Heading4"/>
      </w:pPr>
      <w:r>
        <w:t>1.2 Considerations prior to starting</w:t>
      </w:r>
    </w:p>
    <w:p w:rsidR="00B27C70" w:rsidRDefault="00B27C70" w:rsidP="00283561">
      <w:r>
        <w:t xml:space="preserve">The detection limits for </w:t>
      </w:r>
      <w:r w:rsidRPr="0057431F">
        <w:rPr>
          <w:snapToGrid w:val="0"/>
          <w:color w:val="000000"/>
          <w:position w:val="5"/>
          <w:sz w:val="15"/>
          <w:szCs w:val="0"/>
          <w:u w:color="000000"/>
        </w:rPr>
        <w:t>210</w:t>
      </w:r>
      <w:r>
        <w:t xml:space="preserve">Pb determination via LSC are dependent on the relative stage of ingrowth of the daughter products </w:t>
      </w:r>
      <w:r w:rsidRPr="0057431F">
        <w:rPr>
          <w:snapToGrid w:val="0"/>
          <w:color w:val="000000"/>
          <w:position w:val="5"/>
          <w:sz w:val="15"/>
          <w:szCs w:val="0"/>
          <w:u w:color="000000"/>
        </w:rPr>
        <w:t>210</w:t>
      </w:r>
      <w:r>
        <w:t xml:space="preserve">Bi and </w:t>
      </w:r>
      <w:r w:rsidRPr="0057431F">
        <w:rPr>
          <w:snapToGrid w:val="0"/>
          <w:color w:val="000000"/>
          <w:position w:val="5"/>
          <w:sz w:val="15"/>
          <w:szCs w:val="0"/>
          <w:u w:color="000000"/>
        </w:rPr>
        <w:t>210</w:t>
      </w:r>
      <w:r>
        <w:t xml:space="preserve">Po. Where rapid determination of </w:t>
      </w:r>
      <w:r w:rsidRPr="0057431F">
        <w:rPr>
          <w:snapToGrid w:val="0"/>
          <w:color w:val="000000"/>
          <w:position w:val="5"/>
          <w:sz w:val="15"/>
          <w:szCs w:val="0"/>
          <w:u w:color="000000"/>
        </w:rPr>
        <w:t>210</w:t>
      </w:r>
      <w:r>
        <w:t>Pb is required this method can be utilised immediately after chemical separation of Pb, with an adjusted count time. For samples where a lower detection limit is required a longer count time can be used (6 ks) and a minimum of 25 days should be allowed after separation before preparation of sources for LSC; the lowest detection limits can be achieved 33 days or more after separation of Pb.</w:t>
      </w:r>
    </w:p>
    <w:p w:rsidR="00B27C70" w:rsidRDefault="00B27C70" w:rsidP="00C56125">
      <w:pPr>
        <w:pStyle w:val="Heading3"/>
      </w:pPr>
      <w:r>
        <w:t>2.</w:t>
      </w:r>
      <w:r>
        <w:tab/>
        <w:t>Risks/Responsibilities</w:t>
      </w:r>
    </w:p>
    <w:p w:rsidR="00B27C70" w:rsidRDefault="00B27C70" w:rsidP="00C56125">
      <w:r>
        <w:t xml:space="preserve">Strong acids are used in the preparation of sources for </w:t>
      </w:r>
      <w:r w:rsidRPr="005216D6">
        <w:rPr>
          <w:snapToGrid w:val="0"/>
          <w:color w:val="000000"/>
          <w:position w:val="5"/>
          <w:sz w:val="15"/>
          <w:szCs w:val="0"/>
          <w:u w:color="000000"/>
        </w:rPr>
        <w:t>210</w:t>
      </w:r>
      <w:r>
        <w:t>Pb analysis via LSC, though these are thoroughly mixed with a scintillation cocktail when prepared for counting. The emulsion formed is very stable and poses a low risk to staff.</w:t>
      </w:r>
    </w:p>
    <w:p w:rsidR="00B27C70" w:rsidRDefault="00B27C70" w:rsidP="00797341">
      <w:pPr>
        <w:pStyle w:val="Heading4"/>
      </w:pPr>
      <w:r>
        <w:t>2.1 PPE</w:t>
      </w:r>
    </w:p>
    <w:p w:rsidR="00B27C70" w:rsidRDefault="00B27C70" w:rsidP="00377540">
      <w:pPr>
        <w:tabs>
          <w:tab w:val="left" w:pos="5295"/>
          <w:tab w:val="left" w:pos="5550"/>
        </w:tabs>
        <w:jc w:val="left"/>
      </w:pPr>
      <w:r>
        <w:t xml:space="preserve">Minimum PPE is required in all laboratories. No specific PPE is required when handling sources prepared for LSC once they are ready for counting – care should be taken and gloves used if necessary due to leakage or spillage of the scintillant cocktail. </w:t>
      </w:r>
    </w:p>
    <w:p w:rsidR="00B27C70" w:rsidRDefault="00B27C70" w:rsidP="0063497C">
      <w:pPr>
        <w:pStyle w:val="Heading4"/>
      </w:pPr>
      <w:r>
        <w:t>2.2 Other considerations</w:t>
      </w:r>
    </w:p>
    <w:p w:rsidR="00B27C70" w:rsidRDefault="00B27C70" w:rsidP="0063497C">
      <w:r>
        <w:t xml:space="preserve">Any waste organic chemicals (ie – UGAB) generated must be stored in a designated container for the storage of this waste. The designated container must be registered in the most recent ‘Time sensitive chemical and organic waste register’, and a required disposal date recorded (by default this is 12 months unless otherwise specified) in this logbook. </w:t>
      </w:r>
    </w:p>
    <w:p w:rsidR="00B27C70" w:rsidRPr="0063497C" w:rsidRDefault="00B27C70" w:rsidP="0063497C">
      <w:r>
        <w:t>Disposal dates (again the default is 12 months) must also be recorded for samples prepared with UGAB, this is recorded in the “</w:t>
      </w:r>
      <w:r w:rsidRPr="00E62EC8">
        <w:t xml:space="preserve">LSC </w:t>
      </w:r>
      <w:r w:rsidRPr="00E62EC8">
        <w:rPr>
          <w:snapToGrid w:val="0"/>
          <w:color w:val="000000"/>
          <w:position w:val="5"/>
          <w:sz w:val="15"/>
          <w:szCs w:val="0"/>
          <w:u w:color="000000"/>
        </w:rPr>
        <w:t>210</w:t>
      </w:r>
      <w:r w:rsidRPr="00E62EC8">
        <w:t>Pb – Method batch log</w:t>
      </w:r>
      <w:r>
        <w:t>” logbook (form S6).</w:t>
      </w:r>
    </w:p>
    <w:p w:rsidR="00B27C70" w:rsidRDefault="00B27C70" w:rsidP="0057431F">
      <w:pPr>
        <w:pStyle w:val="Heading3"/>
      </w:pPr>
      <w:r>
        <w:t>3.</w:t>
      </w:r>
      <w:r>
        <w:tab/>
        <w:t>Procedure</w:t>
      </w:r>
    </w:p>
    <w:p w:rsidR="00B27C70" w:rsidRDefault="00B27C70" w:rsidP="009F4DC2">
      <w:pPr>
        <w:pStyle w:val="Heading4"/>
      </w:pPr>
      <w:r>
        <w:t>3.1 Equipment/Apparatus preparation</w:t>
      </w:r>
    </w:p>
    <w:p w:rsidR="00B27C70" w:rsidRDefault="00B27C70" w:rsidP="00160F28">
      <w:pPr>
        <w:jc w:val="left"/>
      </w:pPr>
      <w:r>
        <w:t>TriCarb 3100TR liquid scintillation counter (TriCarb)</w:t>
      </w:r>
      <w:r>
        <w:br/>
        <w:t xml:space="preserve">Racks for use in the TriCarb </w:t>
      </w:r>
    </w:p>
    <w:p w:rsidR="00B27C70" w:rsidRDefault="00B27C70" w:rsidP="009F4DC2">
      <w:pPr>
        <w:pStyle w:val="Heading4"/>
      </w:pPr>
      <w:r>
        <w:t>3.2 Counting Procedure</w:t>
      </w:r>
    </w:p>
    <w:p w:rsidR="00B27C70" w:rsidRDefault="00B27C70" w:rsidP="00B27C70">
      <w:pPr>
        <w:pStyle w:val="numberlist1"/>
        <w:numPr>
          <w:ilvl w:val="0"/>
          <w:numId w:val="21"/>
        </w:numPr>
        <w:tabs>
          <w:tab w:val="clear" w:pos="720"/>
          <w:tab w:val="num" w:pos="1080"/>
        </w:tabs>
        <w:ind w:left="360"/>
      </w:pPr>
      <w:r>
        <w:t>Select a rack and a protocol flag to use for counting, attach the protocol flag to the rack (see the reference manual – PerkinElmer, 2004 – for details)</w:t>
      </w:r>
    </w:p>
    <w:p w:rsidR="00B27C70" w:rsidRDefault="00B27C70" w:rsidP="00B27C70">
      <w:pPr>
        <w:pStyle w:val="numberlist1"/>
        <w:numPr>
          <w:ilvl w:val="0"/>
          <w:numId w:val="21"/>
        </w:numPr>
        <w:tabs>
          <w:tab w:val="clear" w:pos="720"/>
          <w:tab w:val="num" w:pos="1080"/>
        </w:tabs>
        <w:ind w:left="360"/>
      </w:pPr>
      <w:r>
        <w:t>Place all samples in the rack and note the position of each sample on the rack, the counting order is from left to right</w:t>
      </w:r>
    </w:p>
    <w:p w:rsidR="00B27C70" w:rsidRDefault="00B27C70" w:rsidP="00B27C70">
      <w:pPr>
        <w:pStyle w:val="numberlist1"/>
        <w:numPr>
          <w:ilvl w:val="0"/>
          <w:numId w:val="21"/>
        </w:numPr>
        <w:tabs>
          <w:tab w:val="clear" w:pos="720"/>
          <w:tab w:val="num" w:pos="1080"/>
        </w:tabs>
        <w:ind w:left="360"/>
      </w:pPr>
      <w:r>
        <w:t>Push the protocol flag to the left as far as it will go to ensure the rack is recognised as requirng counting then close the lid on the TriCarb</w:t>
      </w:r>
    </w:p>
    <w:p w:rsidR="00B27C70" w:rsidRDefault="00B27C70" w:rsidP="00B27C70">
      <w:pPr>
        <w:pStyle w:val="numberlist1"/>
        <w:numPr>
          <w:ilvl w:val="0"/>
          <w:numId w:val="21"/>
        </w:numPr>
        <w:tabs>
          <w:tab w:val="clear" w:pos="720"/>
          <w:tab w:val="num" w:pos="1080"/>
        </w:tabs>
        <w:ind w:left="360"/>
      </w:pPr>
      <w:r>
        <w:t>Open the QuantaSmart program on the computer attached to the LSC (the LSC computer), the homescreen will look similar to the dispay shown in Figure 1, depending on the source being counted at the time</w:t>
      </w:r>
    </w:p>
    <w:p w:rsidR="00B27C70" w:rsidRDefault="00B27C70" w:rsidP="00A03E1C">
      <w:pPr>
        <w:pStyle w:val="numberlist1"/>
        <w:numPr>
          <w:ilvl w:val="0"/>
          <w:numId w:val="0"/>
        </w:numPr>
      </w:pPr>
      <w:r>
        <w:rPr>
          <w:noProof/>
          <w:lang w:eastAsia="en-AU"/>
        </w:rPr>
        <w:drawing>
          <wp:inline distT="0" distB="0" distL="0" distR="0" wp14:anchorId="05F9B433" wp14:editId="05F9B434">
            <wp:extent cx="5314950" cy="3990975"/>
            <wp:effectExtent l="19050" t="19050" r="19050" b="28575"/>
            <wp:docPr id="2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9" cstate="print"/>
                    <a:srcRect/>
                    <a:stretch>
                      <a:fillRect/>
                    </a:stretch>
                  </pic:blipFill>
                  <pic:spPr bwMode="auto">
                    <a:xfrm>
                      <a:off x="0" y="0"/>
                      <a:ext cx="5314950" cy="3990975"/>
                    </a:xfrm>
                    <a:prstGeom prst="rect">
                      <a:avLst/>
                    </a:prstGeom>
                    <a:noFill/>
                    <a:ln>
                      <a:solidFill>
                        <a:schemeClr val="tx1">
                          <a:lumMod val="65000"/>
                          <a:lumOff val="35000"/>
                        </a:schemeClr>
                      </a:solidFill>
                    </a:ln>
                  </pic:spPr>
                </pic:pic>
              </a:graphicData>
            </a:graphic>
          </wp:inline>
        </w:drawing>
      </w:r>
    </w:p>
    <w:p w:rsidR="00B27C70" w:rsidRDefault="00B27C70" w:rsidP="00A03E1C">
      <w:pPr>
        <w:pStyle w:val="figurecaption"/>
      </w:pPr>
      <w:r w:rsidRPr="00A03E1C">
        <w:rPr>
          <w:b/>
        </w:rPr>
        <w:t>Figure 1</w:t>
      </w:r>
      <w:r>
        <w:t xml:space="preserve">  Home page screen for the QuantaSmart program on the TriCarb</w:t>
      </w:r>
    </w:p>
    <w:p w:rsidR="00B27C70" w:rsidRDefault="00B27C70" w:rsidP="00B27C70">
      <w:pPr>
        <w:pStyle w:val="numberlist1"/>
        <w:tabs>
          <w:tab w:val="clear" w:pos="357"/>
          <w:tab w:val="clear" w:pos="720"/>
          <w:tab w:val="num" w:pos="360"/>
        </w:tabs>
        <w:ind w:left="360"/>
      </w:pPr>
      <w:r>
        <w:t>Slect the flag number for the rack that is being used, in this example flag 13 is used (figure 2a), then right click to bring up a dialog box and select ‘Associate Assay’ (figure 2b). A new dialog box will appear, scroll through to select the assay to be used then click on ‘Open’. For this method there are 2 assays set up for routine analysis, these are ‘Post-Sep DBB600 AC50 – 1500 minute count.lsa’ and ‘Post-Sep DBB600 AC50 – 6000 minute count.lsa’. These 2 assays use the same count conditions but different count times – counting for approximately 1 day or 4 days. In this example the assay with a 1500 minute count time is selected (figure 2c).</w:t>
      </w:r>
    </w:p>
    <w:p w:rsidR="00B27C70" w:rsidRDefault="00B27C70" w:rsidP="00B27C70">
      <w:pPr>
        <w:pStyle w:val="numberlist1"/>
        <w:tabs>
          <w:tab w:val="clear" w:pos="357"/>
          <w:tab w:val="clear" w:pos="720"/>
          <w:tab w:val="num" w:pos="360"/>
        </w:tabs>
        <w:ind w:left="360"/>
      </w:pPr>
      <w:r>
        <w:t>Once the assay is associated with the selected flag the program will open a ‘Data Paths’ dialog box on the home screen (figure 3). From this screen select your User ID from the dropdown list and enter an additional header for the assay if desired (for routine analysis the ‘Additional header field is left blank), then click ‘OK’.</w:t>
      </w:r>
    </w:p>
    <w:tbl>
      <w:tblPr>
        <w:tblStyle w:val="TableGrid"/>
        <w:tblW w:w="110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6"/>
        <w:gridCol w:w="6846"/>
      </w:tblGrid>
      <w:tr w:rsidR="00B27C70" w:rsidTr="007A6DE0">
        <w:trPr>
          <w:jc w:val="center"/>
        </w:trPr>
        <w:tc>
          <w:tcPr>
            <w:tcW w:w="4176" w:type="dxa"/>
            <w:vMerge w:val="restart"/>
          </w:tcPr>
          <w:p w:rsidR="00B27C70" w:rsidRDefault="00B27C70" w:rsidP="00913BED">
            <w:pPr>
              <w:pStyle w:val="numberlist1"/>
              <w:numPr>
                <w:ilvl w:val="0"/>
                <w:numId w:val="0"/>
              </w:numPr>
            </w:pPr>
            <w:r>
              <w:rPr>
                <w:noProof/>
                <w:lang w:eastAsia="en-AU"/>
              </w:rPr>
              <w:drawing>
                <wp:inline distT="0" distB="0" distL="0" distR="0" wp14:anchorId="05F9B435" wp14:editId="05F9B436">
                  <wp:extent cx="2476500" cy="4638675"/>
                  <wp:effectExtent l="19050" t="19050" r="19050" b="28575"/>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0" cstate="print"/>
                          <a:srcRect/>
                          <a:stretch>
                            <a:fillRect/>
                          </a:stretch>
                        </pic:blipFill>
                        <pic:spPr bwMode="auto">
                          <a:xfrm>
                            <a:off x="0" y="0"/>
                            <a:ext cx="2476500" cy="4638675"/>
                          </a:xfrm>
                          <a:prstGeom prst="rect">
                            <a:avLst/>
                          </a:prstGeom>
                          <a:noFill/>
                          <a:ln>
                            <a:solidFill>
                              <a:schemeClr val="tx1">
                                <a:lumMod val="50000"/>
                                <a:lumOff val="50000"/>
                              </a:schemeClr>
                            </a:solidFill>
                          </a:ln>
                        </pic:spPr>
                      </pic:pic>
                    </a:graphicData>
                  </a:graphic>
                </wp:inline>
              </w:drawing>
            </w:r>
          </w:p>
          <w:p w:rsidR="00B27C70" w:rsidRDefault="00B27C70" w:rsidP="008C1A8E">
            <w:pPr>
              <w:pStyle w:val="figurecaption"/>
            </w:pPr>
            <w:r w:rsidRPr="008C1A8E">
              <w:rPr>
                <w:b/>
              </w:rPr>
              <w:t>Figure 2a</w:t>
            </w:r>
          </w:p>
        </w:tc>
        <w:tc>
          <w:tcPr>
            <w:tcW w:w="6846" w:type="dxa"/>
          </w:tcPr>
          <w:p w:rsidR="00B27C70" w:rsidRDefault="00B27C70" w:rsidP="00C862B9">
            <w:pPr>
              <w:pStyle w:val="numberlist1"/>
              <w:numPr>
                <w:ilvl w:val="0"/>
                <w:numId w:val="0"/>
              </w:numPr>
              <w:jc w:val="center"/>
            </w:pPr>
            <w:r>
              <w:rPr>
                <w:noProof/>
                <w:lang w:eastAsia="en-AU"/>
              </w:rPr>
              <w:drawing>
                <wp:inline distT="0" distB="0" distL="0" distR="0" wp14:anchorId="05F9B437" wp14:editId="05F9B438">
                  <wp:extent cx="2695575" cy="2428875"/>
                  <wp:effectExtent l="19050" t="19050" r="28575" b="28575"/>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1" cstate="print"/>
                          <a:srcRect/>
                          <a:stretch>
                            <a:fillRect/>
                          </a:stretch>
                        </pic:blipFill>
                        <pic:spPr bwMode="auto">
                          <a:xfrm>
                            <a:off x="0" y="0"/>
                            <a:ext cx="2695575" cy="2428875"/>
                          </a:xfrm>
                          <a:prstGeom prst="rect">
                            <a:avLst/>
                          </a:prstGeom>
                          <a:noFill/>
                          <a:ln>
                            <a:solidFill>
                              <a:schemeClr val="tx1">
                                <a:lumMod val="50000"/>
                                <a:lumOff val="50000"/>
                              </a:schemeClr>
                            </a:solidFill>
                          </a:ln>
                        </pic:spPr>
                      </pic:pic>
                    </a:graphicData>
                  </a:graphic>
                </wp:inline>
              </w:drawing>
            </w:r>
          </w:p>
          <w:p w:rsidR="00B27C70" w:rsidRPr="008C1A8E" w:rsidRDefault="00B27C70" w:rsidP="008C1A8E">
            <w:pPr>
              <w:pStyle w:val="figurecaption"/>
              <w:rPr>
                <w:b/>
              </w:rPr>
            </w:pPr>
            <w:r w:rsidRPr="008C1A8E">
              <w:rPr>
                <w:b/>
              </w:rPr>
              <w:t>Figure 2b</w:t>
            </w:r>
          </w:p>
        </w:tc>
      </w:tr>
      <w:tr w:rsidR="00B27C70" w:rsidTr="007A6DE0">
        <w:trPr>
          <w:jc w:val="center"/>
        </w:trPr>
        <w:tc>
          <w:tcPr>
            <w:tcW w:w="4176" w:type="dxa"/>
            <w:vMerge/>
          </w:tcPr>
          <w:p w:rsidR="00B27C70" w:rsidRDefault="00B27C70" w:rsidP="00913BED">
            <w:pPr>
              <w:pStyle w:val="numberlist1"/>
              <w:numPr>
                <w:ilvl w:val="0"/>
                <w:numId w:val="0"/>
              </w:numPr>
            </w:pPr>
          </w:p>
        </w:tc>
        <w:tc>
          <w:tcPr>
            <w:tcW w:w="6846" w:type="dxa"/>
          </w:tcPr>
          <w:p w:rsidR="00B27C70" w:rsidRDefault="00B27C70" w:rsidP="00913BED">
            <w:pPr>
              <w:pStyle w:val="numberlist1"/>
              <w:numPr>
                <w:ilvl w:val="0"/>
                <w:numId w:val="0"/>
              </w:numPr>
            </w:pPr>
            <w:r>
              <w:rPr>
                <w:noProof/>
                <w:lang w:eastAsia="en-AU"/>
              </w:rPr>
              <w:drawing>
                <wp:inline distT="0" distB="0" distL="0" distR="0" wp14:anchorId="05F9B439" wp14:editId="05F9B43A">
                  <wp:extent cx="4162425" cy="2695575"/>
                  <wp:effectExtent l="19050" t="19050" r="28575" b="28575"/>
                  <wp:docPr id="4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2" cstate="print"/>
                          <a:srcRect/>
                          <a:stretch>
                            <a:fillRect/>
                          </a:stretch>
                        </pic:blipFill>
                        <pic:spPr bwMode="auto">
                          <a:xfrm>
                            <a:off x="0" y="0"/>
                            <a:ext cx="4162425" cy="2695575"/>
                          </a:xfrm>
                          <a:prstGeom prst="rect">
                            <a:avLst/>
                          </a:prstGeom>
                          <a:noFill/>
                          <a:ln>
                            <a:solidFill>
                              <a:schemeClr val="tx1">
                                <a:lumMod val="65000"/>
                                <a:lumOff val="35000"/>
                              </a:schemeClr>
                            </a:solidFill>
                          </a:ln>
                        </pic:spPr>
                      </pic:pic>
                    </a:graphicData>
                  </a:graphic>
                </wp:inline>
              </w:drawing>
            </w:r>
          </w:p>
          <w:p w:rsidR="00B27C70" w:rsidRDefault="00B27C70" w:rsidP="008C1A8E">
            <w:pPr>
              <w:pStyle w:val="figurecaption"/>
            </w:pPr>
            <w:r w:rsidRPr="008C1A8E">
              <w:rPr>
                <w:b/>
              </w:rPr>
              <w:t>Figure 2c</w:t>
            </w:r>
          </w:p>
        </w:tc>
      </w:tr>
    </w:tbl>
    <w:p w:rsidR="00B27C70" w:rsidRDefault="00B27C70" w:rsidP="00913BED">
      <w:pPr>
        <w:pStyle w:val="figurecaption"/>
      </w:pPr>
      <w:r w:rsidRPr="00913BED">
        <w:rPr>
          <w:b/>
        </w:rPr>
        <w:t>Figure</w:t>
      </w:r>
      <w:r>
        <w:rPr>
          <w:b/>
        </w:rPr>
        <w:t>s</w:t>
      </w:r>
      <w:r w:rsidRPr="00913BED">
        <w:rPr>
          <w:b/>
        </w:rPr>
        <w:t xml:space="preserve"> 2</w:t>
      </w:r>
      <w:r>
        <w:rPr>
          <w:b/>
        </w:rPr>
        <w:t>a to 2c</w:t>
      </w:r>
      <w:r>
        <w:t xml:space="preserve"> Selecting the flag for counting and associating an assay </w:t>
      </w:r>
    </w:p>
    <w:p w:rsidR="00B27C70" w:rsidRDefault="00B27C70" w:rsidP="007A6DE0">
      <w:pPr>
        <w:pStyle w:val="numberlist1"/>
        <w:numPr>
          <w:ilvl w:val="0"/>
          <w:numId w:val="0"/>
        </w:numPr>
        <w:jc w:val="center"/>
      </w:pPr>
      <w:r w:rsidRPr="007A6DE0">
        <w:rPr>
          <w:noProof/>
          <w:lang w:eastAsia="en-AU"/>
        </w:rPr>
        <w:drawing>
          <wp:inline distT="0" distB="0" distL="0" distR="0" wp14:anchorId="05F9B43B" wp14:editId="05F9B43C">
            <wp:extent cx="4343400" cy="3086100"/>
            <wp:effectExtent l="19050" t="19050" r="19050" b="19050"/>
            <wp:docPr id="4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3" cstate="print"/>
                    <a:srcRect/>
                    <a:stretch>
                      <a:fillRect/>
                    </a:stretch>
                  </pic:blipFill>
                  <pic:spPr bwMode="auto">
                    <a:xfrm>
                      <a:off x="0" y="0"/>
                      <a:ext cx="4343400" cy="3086100"/>
                    </a:xfrm>
                    <a:prstGeom prst="rect">
                      <a:avLst/>
                    </a:prstGeom>
                    <a:noFill/>
                    <a:ln>
                      <a:solidFill>
                        <a:schemeClr val="tx1">
                          <a:lumMod val="65000"/>
                          <a:lumOff val="35000"/>
                        </a:schemeClr>
                      </a:solidFill>
                    </a:ln>
                  </pic:spPr>
                </pic:pic>
              </a:graphicData>
            </a:graphic>
          </wp:inline>
        </w:drawing>
      </w:r>
    </w:p>
    <w:p w:rsidR="00B27C70" w:rsidRDefault="00B27C70" w:rsidP="007A6DE0">
      <w:pPr>
        <w:pStyle w:val="figurecaption"/>
      </w:pPr>
      <w:r w:rsidRPr="00913BED">
        <w:rPr>
          <w:b/>
        </w:rPr>
        <w:t>Figure</w:t>
      </w:r>
      <w:r>
        <w:rPr>
          <w:b/>
        </w:rPr>
        <w:t xml:space="preserve"> 3</w:t>
      </w:r>
      <w:r>
        <w:t xml:space="preserve">  Enter User ID details and additional information abou the assay </w:t>
      </w:r>
    </w:p>
    <w:p w:rsidR="00B27C70" w:rsidRDefault="00B27C70" w:rsidP="00B27C70">
      <w:pPr>
        <w:pStyle w:val="numberlist1"/>
        <w:tabs>
          <w:tab w:val="clear" w:pos="357"/>
          <w:tab w:val="clear" w:pos="720"/>
          <w:tab w:val="num" w:pos="360"/>
        </w:tabs>
        <w:ind w:left="360"/>
      </w:pPr>
      <w:r>
        <w:t>Once the assay is associated with the selected flag and the User ID is entered the program will return to the home screen (figure 1). Double click on the selected flag (eg – flag 13), to open the Assay Definition tab (figure 5). Note that if the assay is currently in use (ie – there are samples being counted using that protocol) a dialog box will appear stating that only changes to ‘Count Time a 2 Sigma%’ (figure 4) – select OK if this is acceptable, if not, a new assay will need to be created.</w:t>
      </w:r>
    </w:p>
    <w:p w:rsidR="00B27C70" w:rsidRDefault="00B27C70" w:rsidP="00CD33CB">
      <w:pPr>
        <w:pStyle w:val="numberlist1"/>
        <w:numPr>
          <w:ilvl w:val="0"/>
          <w:numId w:val="0"/>
        </w:numPr>
      </w:pPr>
    </w:p>
    <w:p w:rsidR="00B27C70" w:rsidRDefault="00B27C70" w:rsidP="00954CD2">
      <w:pPr>
        <w:pStyle w:val="numberlist1"/>
        <w:numPr>
          <w:ilvl w:val="0"/>
          <w:numId w:val="0"/>
        </w:numPr>
        <w:jc w:val="center"/>
      </w:pPr>
      <w:r>
        <w:rPr>
          <w:noProof/>
          <w:lang w:eastAsia="en-AU"/>
        </w:rPr>
        <w:drawing>
          <wp:inline distT="0" distB="0" distL="0" distR="0" wp14:anchorId="05F9B43D" wp14:editId="05F9B43E">
            <wp:extent cx="3714750" cy="1343025"/>
            <wp:effectExtent l="19050" t="19050" r="19050" b="28575"/>
            <wp:docPr id="4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4" cstate="print"/>
                    <a:srcRect/>
                    <a:stretch>
                      <a:fillRect/>
                    </a:stretch>
                  </pic:blipFill>
                  <pic:spPr bwMode="auto">
                    <a:xfrm>
                      <a:off x="0" y="0"/>
                      <a:ext cx="3714750" cy="1343025"/>
                    </a:xfrm>
                    <a:prstGeom prst="rect">
                      <a:avLst/>
                    </a:prstGeom>
                    <a:noFill/>
                    <a:ln>
                      <a:solidFill>
                        <a:schemeClr val="tx1">
                          <a:lumMod val="65000"/>
                          <a:lumOff val="35000"/>
                        </a:schemeClr>
                      </a:solidFill>
                    </a:ln>
                  </pic:spPr>
                </pic:pic>
              </a:graphicData>
            </a:graphic>
          </wp:inline>
        </w:drawing>
      </w:r>
    </w:p>
    <w:p w:rsidR="00B27C70" w:rsidRDefault="00B27C70" w:rsidP="00954CD2">
      <w:pPr>
        <w:pStyle w:val="figurecaption"/>
      </w:pPr>
      <w:r w:rsidRPr="00913BED">
        <w:rPr>
          <w:b/>
        </w:rPr>
        <w:t>Figure</w:t>
      </w:r>
      <w:r>
        <w:rPr>
          <w:b/>
        </w:rPr>
        <w:t xml:space="preserve"> 4</w:t>
      </w:r>
      <w:r>
        <w:t xml:space="preserve">  Dialog box information when an assay currently in use is opened</w:t>
      </w:r>
    </w:p>
    <w:p w:rsidR="00B27C70" w:rsidRDefault="00B27C70" w:rsidP="007A6DE0">
      <w:pPr>
        <w:pStyle w:val="numberlist1"/>
        <w:numPr>
          <w:ilvl w:val="0"/>
          <w:numId w:val="0"/>
        </w:numPr>
      </w:pPr>
      <w:r>
        <w:rPr>
          <w:noProof/>
          <w:lang w:eastAsia="en-AU"/>
        </w:rPr>
        <w:drawing>
          <wp:inline distT="0" distB="0" distL="0" distR="0" wp14:anchorId="05F9B43F" wp14:editId="05F9B440">
            <wp:extent cx="5314950" cy="4581525"/>
            <wp:effectExtent l="19050" t="19050" r="19050" b="28575"/>
            <wp:docPr id="4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5" cstate="print"/>
                    <a:srcRect/>
                    <a:stretch>
                      <a:fillRect/>
                    </a:stretch>
                  </pic:blipFill>
                  <pic:spPr bwMode="auto">
                    <a:xfrm>
                      <a:off x="0" y="0"/>
                      <a:ext cx="5314950" cy="4581525"/>
                    </a:xfrm>
                    <a:prstGeom prst="rect">
                      <a:avLst/>
                    </a:prstGeom>
                    <a:noFill/>
                    <a:ln>
                      <a:solidFill>
                        <a:schemeClr val="tx1">
                          <a:lumMod val="65000"/>
                          <a:lumOff val="35000"/>
                        </a:schemeClr>
                      </a:solidFill>
                    </a:ln>
                  </pic:spPr>
                </pic:pic>
              </a:graphicData>
            </a:graphic>
          </wp:inline>
        </w:drawing>
      </w:r>
    </w:p>
    <w:p w:rsidR="00B27C70" w:rsidRDefault="00B27C70" w:rsidP="00954CD2">
      <w:pPr>
        <w:pStyle w:val="figurecaption"/>
      </w:pPr>
      <w:r w:rsidRPr="00913BED">
        <w:rPr>
          <w:b/>
        </w:rPr>
        <w:t>Figure</w:t>
      </w:r>
      <w:r>
        <w:rPr>
          <w:b/>
        </w:rPr>
        <w:t xml:space="preserve"> 5</w:t>
      </w:r>
      <w:r>
        <w:t xml:space="preserve">  Dialog box information when an assay currently in use is opened</w:t>
      </w:r>
    </w:p>
    <w:p w:rsidR="00B27C70" w:rsidRDefault="00B27C70" w:rsidP="00B27C70">
      <w:pPr>
        <w:pStyle w:val="numberlist1"/>
        <w:tabs>
          <w:tab w:val="clear" w:pos="357"/>
          <w:tab w:val="clear" w:pos="720"/>
          <w:tab w:val="num" w:pos="360"/>
        </w:tabs>
        <w:ind w:left="360"/>
      </w:pPr>
      <w:r>
        <w:t>Enter in further details in the Assay description text box in the Assay Parameters tab if required</w:t>
      </w:r>
    </w:p>
    <w:p w:rsidR="00B27C70" w:rsidRDefault="00B27C70" w:rsidP="00B27C70">
      <w:pPr>
        <w:pStyle w:val="numberlist1"/>
        <w:tabs>
          <w:tab w:val="clear" w:pos="357"/>
          <w:tab w:val="clear" w:pos="720"/>
          <w:tab w:val="num" w:pos="360"/>
        </w:tabs>
        <w:ind w:left="360"/>
      </w:pPr>
      <w:r>
        <w:t>Open the Worklist tab (figure 6) and enter in details of the samples to be counted</w:t>
      </w:r>
    </w:p>
    <w:p w:rsidR="00B27C70" w:rsidRDefault="00B27C70" w:rsidP="00B27C70">
      <w:pPr>
        <w:pStyle w:val="numberlist1"/>
        <w:numPr>
          <w:ilvl w:val="1"/>
          <w:numId w:val="3"/>
        </w:numPr>
        <w:tabs>
          <w:tab w:val="clear" w:pos="357"/>
        </w:tabs>
      </w:pPr>
      <w:r>
        <w:t xml:space="preserve">The PID is the flag number (eg – 13 or 25) </w:t>
      </w:r>
    </w:p>
    <w:p w:rsidR="00B27C70" w:rsidRDefault="00B27C70" w:rsidP="00B27C70">
      <w:pPr>
        <w:pStyle w:val="numberlist1"/>
        <w:numPr>
          <w:ilvl w:val="1"/>
          <w:numId w:val="3"/>
        </w:numPr>
        <w:tabs>
          <w:tab w:val="clear" w:pos="357"/>
        </w:tabs>
      </w:pPr>
      <w:r>
        <w:t>The sample number is the position in the rack – number 1 is the sample position on the far left of the rack</w:t>
      </w:r>
    </w:p>
    <w:p w:rsidR="00B27C70" w:rsidRPr="00D714B4" w:rsidRDefault="00B27C70" w:rsidP="00B27C70">
      <w:pPr>
        <w:pStyle w:val="numberlist1"/>
        <w:numPr>
          <w:ilvl w:val="1"/>
          <w:numId w:val="3"/>
        </w:numPr>
        <w:tabs>
          <w:tab w:val="clear" w:pos="357"/>
        </w:tabs>
      </w:pPr>
      <w:r>
        <w:t xml:space="preserve">Sample Name is the unique 7 digit code assigned to the count source by method </w:t>
      </w:r>
      <w:r w:rsidRPr="00D714B4">
        <w:rPr>
          <w:bdr w:val="single" w:sz="4" w:space="0" w:color="auto" w:shadow="1"/>
          <w:shd w:val="clear" w:color="auto" w:fill="E0E0E0"/>
        </w:rPr>
        <w:t>ASA07</w:t>
      </w:r>
      <w:r>
        <w:t xml:space="preserve"> plus the count number, eg – LSC0024.02 is the second count for a source with count source ID LSC0024.</w:t>
      </w:r>
    </w:p>
    <w:p w:rsidR="00B27C70" w:rsidRDefault="00B27C70" w:rsidP="00D714B4">
      <w:pPr>
        <w:pStyle w:val="numberlist1"/>
        <w:numPr>
          <w:ilvl w:val="0"/>
          <w:numId w:val="0"/>
        </w:numPr>
        <w:ind w:left="360" w:hanging="360"/>
      </w:pPr>
      <w:r w:rsidRPr="00D714B4">
        <w:rPr>
          <w:b/>
        </w:rPr>
        <w:t xml:space="preserve">NOTE: </w:t>
      </w:r>
      <w:r>
        <w:t>For routine analysis changes should only be made to the Assay description text box in the Assay Parameters tab and the sample details in Worklist tab.</w:t>
      </w:r>
    </w:p>
    <w:p w:rsidR="00B27C70" w:rsidRDefault="00B27C70" w:rsidP="00D714B4">
      <w:pPr>
        <w:pStyle w:val="numberlist1"/>
        <w:numPr>
          <w:ilvl w:val="0"/>
          <w:numId w:val="0"/>
        </w:numPr>
      </w:pPr>
      <w:r w:rsidRPr="003E62AD">
        <w:rPr>
          <w:noProof/>
          <w:lang w:eastAsia="en-AU"/>
        </w:rPr>
        <w:drawing>
          <wp:inline distT="0" distB="0" distL="0" distR="0" wp14:anchorId="05F9B441" wp14:editId="05F9B442">
            <wp:extent cx="5274310" cy="4535784"/>
            <wp:effectExtent l="19050" t="0" r="254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6" cstate="print"/>
                    <a:srcRect/>
                    <a:stretch>
                      <a:fillRect/>
                    </a:stretch>
                  </pic:blipFill>
                  <pic:spPr bwMode="auto">
                    <a:xfrm>
                      <a:off x="0" y="0"/>
                      <a:ext cx="5274310" cy="4535784"/>
                    </a:xfrm>
                    <a:prstGeom prst="rect">
                      <a:avLst/>
                    </a:prstGeom>
                    <a:noFill/>
                    <a:ln w="9525">
                      <a:noFill/>
                      <a:miter lim="800000"/>
                      <a:headEnd/>
                      <a:tailEnd/>
                    </a:ln>
                  </pic:spPr>
                </pic:pic>
              </a:graphicData>
            </a:graphic>
          </wp:inline>
        </w:drawing>
      </w:r>
    </w:p>
    <w:p w:rsidR="00B27C70" w:rsidRDefault="00B27C70" w:rsidP="00D714B4">
      <w:pPr>
        <w:pStyle w:val="figurecaption"/>
      </w:pPr>
      <w:r w:rsidRPr="00913BED">
        <w:rPr>
          <w:b/>
        </w:rPr>
        <w:t>Figure</w:t>
      </w:r>
      <w:r>
        <w:rPr>
          <w:b/>
        </w:rPr>
        <w:t xml:space="preserve"> 6</w:t>
      </w:r>
      <w:r>
        <w:t xml:space="preserve">  Worklist tab for entering sample details</w:t>
      </w:r>
    </w:p>
    <w:p w:rsidR="00B27C70" w:rsidRDefault="00B27C70" w:rsidP="00B27C70">
      <w:pPr>
        <w:pStyle w:val="numberlist1"/>
        <w:tabs>
          <w:tab w:val="clear" w:pos="357"/>
          <w:tab w:val="clear" w:pos="720"/>
          <w:tab w:val="num" w:pos="360"/>
        </w:tabs>
        <w:ind w:left="360"/>
      </w:pPr>
      <w:r>
        <w:t xml:space="preserve">Select ‘Apply’ then select ‘OK’ from the buttons at the bottom of the Assay Definition tab (highlighted in figure 7), after selecting ‘OK’ the program will return to the home screen. </w:t>
      </w:r>
      <w:r w:rsidRPr="003263F2">
        <w:rPr>
          <w:b/>
        </w:rPr>
        <w:t>NOTE</w:t>
      </w:r>
      <w:r>
        <w:t>: If ‘Apply’ is not selected first then any changes made will not be saved</w:t>
      </w:r>
    </w:p>
    <w:p w:rsidR="00B27C70" w:rsidRDefault="00B27C70" w:rsidP="003263F2">
      <w:pPr>
        <w:pStyle w:val="numberlist1"/>
        <w:numPr>
          <w:ilvl w:val="0"/>
          <w:numId w:val="0"/>
        </w:numPr>
        <w:jc w:val="center"/>
      </w:pPr>
      <w:r>
        <w:rPr>
          <w:noProof/>
          <w:lang w:eastAsia="en-AU"/>
        </w:rPr>
        <w:drawing>
          <wp:inline distT="0" distB="0" distL="0" distR="0" wp14:anchorId="05F9B443" wp14:editId="05F9B444">
            <wp:extent cx="3943350" cy="390525"/>
            <wp:effectExtent l="19050" t="19050" r="19050" b="28575"/>
            <wp:docPr id="4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7" cstate="print"/>
                    <a:srcRect/>
                    <a:stretch>
                      <a:fillRect/>
                    </a:stretch>
                  </pic:blipFill>
                  <pic:spPr bwMode="auto">
                    <a:xfrm>
                      <a:off x="0" y="0"/>
                      <a:ext cx="3943350" cy="390525"/>
                    </a:xfrm>
                    <a:prstGeom prst="rect">
                      <a:avLst/>
                    </a:prstGeom>
                    <a:noFill/>
                    <a:ln>
                      <a:solidFill>
                        <a:schemeClr val="tx1">
                          <a:lumMod val="65000"/>
                          <a:lumOff val="35000"/>
                        </a:schemeClr>
                      </a:solidFill>
                    </a:ln>
                  </pic:spPr>
                </pic:pic>
              </a:graphicData>
            </a:graphic>
          </wp:inline>
        </w:drawing>
      </w:r>
    </w:p>
    <w:p w:rsidR="00B27C70" w:rsidRDefault="00B27C70" w:rsidP="007223F3">
      <w:pPr>
        <w:pStyle w:val="figurecaption"/>
      </w:pPr>
      <w:r w:rsidRPr="00913BED">
        <w:rPr>
          <w:b/>
        </w:rPr>
        <w:t>Figure</w:t>
      </w:r>
      <w:r>
        <w:rPr>
          <w:b/>
        </w:rPr>
        <w:t xml:space="preserve"> 7</w:t>
      </w:r>
      <w:r>
        <w:t xml:space="preserve">  The ‘Apply’ and ‘OK’ buttons at the bottom of the Assay Definition tab</w:t>
      </w:r>
    </w:p>
    <w:p w:rsidR="00B27C70" w:rsidRDefault="00B27C70" w:rsidP="00B27C70">
      <w:pPr>
        <w:pStyle w:val="numberlist1"/>
        <w:tabs>
          <w:tab w:val="clear" w:pos="357"/>
          <w:tab w:val="clear" w:pos="720"/>
          <w:tab w:val="num" w:pos="360"/>
        </w:tabs>
        <w:ind w:left="360"/>
      </w:pPr>
      <w:r>
        <w:t>Start counting the selected flag by selecting the green flagg button at the top left of the home screen (figure 1). When the green flag is selected, all protocols with the flag protocol pushed to the left will be counted in order. The SNC (Standardisation/Normalisation/Calibration) standards will automatically be counted if it has been more than 35 hours since they were last counted, these should not be removed from the LSC if it can be avoided.</w:t>
      </w:r>
    </w:p>
    <w:p w:rsidR="00B27C70" w:rsidRDefault="00B27C70" w:rsidP="00B27C70">
      <w:pPr>
        <w:pStyle w:val="numberlist1"/>
        <w:tabs>
          <w:tab w:val="clear" w:pos="357"/>
          <w:tab w:val="clear" w:pos="720"/>
          <w:tab w:val="num" w:pos="360"/>
        </w:tabs>
        <w:ind w:left="360"/>
      </w:pPr>
      <w:r>
        <w:t xml:space="preserve">When counting has finished use method </w:t>
      </w:r>
      <w:r w:rsidRPr="00061AC9">
        <w:rPr>
          <w:bdr w:val="single" w:sz="4" w:space="0" w:color="auto" w:shadow="1"/>
          <w:shd w:val="clear" w:color="auto" w:fill="E0E0E0"/>
        </w:rPr>
        <w:t>CRR</w:t>
      </w:r>
      <w:r>
        <w:rPr>
          <w:bdr w:val="single" w:sz="4" w:space="0" w:color="auto" w:shadow="1"/>
          <w:shd w:val="clear" w:color="auto" w:fill="E0E0E0"/>
        </w:rPr>
        <w:t>05</w:t>
      </w:r>
      <w:r>
        <w:t xml:space="preserve"> to calculate the activity concentration of </w:t>
      </w:r>
      <w:r w:rsidRPr="00061AC9">
        <w:rPr>
          <w:color w:val="000000"/>
          <w:position w:val="5"/>
          <w:sz w:val="15"/>
          <w:szCs w:val="0"/>
          <w:u w:color="000000"/>
        </w:rPr>
        <w:t>210</w:t>
      </w:r>
      <w:r>
        <w:t>Pb in the sample</w:t>
      </w:r>
    </w:p>
    <w:p w:rsidR="00B27C70" w:rsidRDefault="00B27C70" w:rsidP="00A420C1">
      <w:pPr>
        <w:pStyle w:val="Heading4"/>
      </w:pPr>
      <w:r>
        <w:t xml:space="preserve">3.3  Disposal of organic waste </w:t>
      </w:r>
    </w:p>
    <w:p w:rsidR="00B27C70" w:rsidRDefault="00B27C70" w:rsidP="002A2532">
      <w:r>
        <w:t xml:space="preserve">Holding times for samples or standards prepared for </w:t>
      </w:r>
      <w:r w:rsidRPr="00A420C1">
        <w:rPr>
          <w:color w:val="000000"/>
          <w:position w:val="5"/>
          <w:sz w:val="15"/>
          <w:szCs w:val="0"/>
          <w:u w:color="000000"/>
        </w:rPr>
        <w:t>210</w:t>
      </w:r>
      <w:r>
        <w:t xml:space="preserve">Pb analysis via LSC are routinely 12 months after the preparation date unless otherwise specified. The disposal date is recorded in the ‘LSC </w:t>
      </w:r>
      <w:r w:rsidRPr="005439FC">
        <w:rPr>
          <w:snapToGrid w:val="0"/>
          <w:color w:val="000000"/>
          <w:position w:val="5"/>
          <w:sz w:val="15"/>
          <w:szCs w:val="0"/>
          <w:u w:color="000000"/>
        </w:rPr>
        <w:t>210</w:t>
      </w:r>
      <w:r>
        <w:t xml:space="preserve">Pb – Method batch log’ logbook (form S6), including all blanks. When the disposal date is approaching follow this method to prepare the samples for disposal. </w:t>
      </w:r>
      <w:r w:rsidRPr="006C2B79">
        <w:t xml:space="preserve">Prior to combining any potentially radioactive organic waste, refer to the Radiation Safety Officer </w:t>
      </w:r>
      <w:r>
        <w:t>for</w:t>
      </w:r>
      <w:r w:rsidRPr="006C2B79">
        <w:t xml:space="preserve"> advice </w:t>
      </w:r>
      <w:r>
        <w:t>on</w:t>
      </w:r>
      <w:r w:rsidRPr="006C2B79">
        <w:t xml:space="preserve"> disposal</w:t>
      </w:r>
      <w:r>
        <w:t>.</w:t>
      </w:r>
    </w:p>
    <w:p w:rsidR="00B27C70" w:rsidRDefault="00B27C70" w:rsidP="00B27C70">
      <w:pPr>
        <w:pStyle w:val="numberlist1"/>
        <w:numPr>
          <w:ilvl w:val="0"/>
          <w:numId w:val="22"/>
        </w:numPr>
        <w:tabs>
          <w:tab w:val="clear" w:pos="357"/>
          <w:tab w:val="clear" w:pos="720"/>
          <w:tab w:val="num" w:pos="360"/>
        </w:tabs>
        <w:ind w:left="360"/>
      </w:pPr>
      <w:r>
        <w:t>Locate a pre-labelled glass bottle (if available) by checking the ‘</w:t>
      </w:r>
      <w:r w:rsidRPr="0003583C">
        <w:t>Time Sensitive Chemical and Organic Waste Register</w:t>
      </w:r>
      <w:r>
        <w:t>’</w:t>
      </w:r>
      <w:r w:rsidRPr="0003583C">
        <w:t xml:space="preserve"> </w:t>
      </w:r>
      <w:r>
        <w:t>(form L7). For a current LSC waste disposal container. If unavailable, prepare a new pre-labelled glass bottle using the label ‘</w:t>
      </w:r>
      <w:r w:rsidRPr="000023D6">
        <w:t>LSC Acid-OrganicWaste (UGAB, Ethanol, Hydrochloric and Phosphoric acids)</w:t>
      </w:r>
      <w:r>
        <w:t>’, located on SPIRE at:</w:t>
      </w:r>
    </w:p>
    <w:p w:rsidR="00B27C70" w:rsidRDefault="00B27C70" w:rsidP="000023D6">
      <w:pPr>
        <w:pStyle w:val="numberlist1"/>
        <w:numPr>
          <w:ilvl w:val="0"/>
          <w:numId w:val="0"/>
        </w:numPr>
        <w:ind w:left="360"/>
      </w:pPr>
      <w:r>
        <w:t xml:space="preserve">Supervising Scientist\Management and Administration\Laboratory and Sample Management\Manuals and Procedures\EnRad – Procedure Manual – Current Procedures and Signs </w:t>
      </w:r>
    </w:p>
    <w:p w:rsidR="00B27C70" w:rsidRDefault="00B27C70" w:rsidP="000023D6">
      <w:pPr>
        <w:pStyle w:val="numberlist1"/>
        <w:numPr>
          <w:ilvl w:val="0"/>
          <w:numId w:val="0"/>
        </w:numPr>
        <w:ind w:left="360"/>
      </w:pPr>
      <w:r>
        <w:t>For newly prepared waste bottles the disposal date to be recorded in the ‘</w:t>
      </w:r>
      <w:r w:rsidRPr="0003583C">
        <w:t>Time Sensitive Chemical and Organic Waste Register</w:t>
      </w:r>
      <w:r>
        <w:t>’</w:t>
      </w:r>
      <w:r w:rsidRPr="0003583C">
        <w:t xml:space="preserve"> </w:t>
      </w:r>
      <w:r>
        <w:t>should be the earliest disposal date of any sample that is combined in the bottle. Bottles prepared for disposal of waste from this method (</w:t>
      </w:r>
      <w:r w:rsidRPr="000B19F9">
        <w:rPr>
          <w:bdr w:val="single" w:sz="4" w:space="0" w:color="auto" w:shadow="1"/>
          <w:shd w:val="clear" w:color="auto" w:fill="E0E0E0"/>
        </w:rPr>
        <w:t>LSC01</w:t>
      </w:r>
      <w:r>
        <w:t xml:space="preserve">) are also suitable for waste generated from method </w:t>
      </w:r>
      <w:r w:rsidRPr="000B19F9">
        <w:rPr>
          <w:bdr w:val="single" w:sz="4" w:space="0" w:color="auto" w:shadow="1"/>
          <w:shd w:val="clear" w:color="auto" w:fill="E0E0E0"/>
        </w:rPr>
        <w:t>LSC02</w:t>
      </w:r>
      <w:r>
        <w:t>.</w:t>
      </w:r>
    </w:p>
    <w:p w:rsidR="00B27C70" w:rsidRDefault="00B27C70" w:rsidP="00B27C70">
      <w:pPr>
        <w:pStyle w:val="numberlist1"/>
        <w:tabs>
          <w:tab w:val="clear" w:pos="357"/>
          <w:tab w:val="clear" w:pos="720"/>
          <w:tab w:val="num" w:pos="360"/>
        </w:tabs>
        <w:ind w:left="360"/>
      </w:pPr>
      <w:r>
        <w:t xml:space="preserve">In the pre-labelled glass Winchester empty the contents of the LSC vial. </w:t>
      </w:r>
    </w:p>
    <w:p w:rsidR="00B27C70" w:rsidRDefault="00B27C70" w:rsidP="00B27C70">
      <w:pPr>
        <w:pStyle w:val="numberlist1"/>
        <w:numPr>
          <w:ilvl w:val="0"/>
          <w:numId w:val="22"/>
        </w:numPr>
        <w:tabs>
          <w:tab w:val="clear" w:pos="357"/>
          <w:tab w:val="clear" w:pos="720"/>
          <w:tab w:val="num" w:pos="360"/>
        </w:tabs>
        <w:ind w:left="360"/>
      </w:pPr>
      <w:r>
        <w:t>Triple rinse the vial with 60% Ethanol and empty the rinses into the pre-labelled glass bottle</w:t>
      </w:r>
    </w:p>
    <w:p w:rsidR="00B27C70" w:rsidRDefault="00B27C70" w:rsidP="00B27C70">
      <w:pPr>
        <w:pStyle w:val="numberlist1"/>
        <w:numPr>
          <w:ilvl w:val="0"/>
          <w:numId w:val="22"/>
        </w:numPr>
        <w:tabs>
          <w:tab w:val="clear" w:pos="357"/>
          <w:tab w:val="clear" w:pos="720"/>
          <w:tab w:val="num" w:pos="360"/>
        </w:tabs>
        <w:ind w:left="360"/>
      </w:pPr>
      <w:r>
        <w:t>Combine as many samples as will reasonable be able to fit into the labelled bottle</w:t>
      </w:r>
    </w:p>
    <w:p w:rsidR="00B27C70" w:rsidRDefault="00B27C70" w:rsidP="00B27C70">
      <w:pPr>
        <w:pStyle w:val="numberlist1"/>
        <w:numPr>
          <w:ilvl w:val="0"/>
          <w:numId w:val="22"/>
        </w:numPr>
        <w:tabs>
          <w:tab w:val="clear" w:pos="357"/>
          <w:tab w:val="clear" w:pos="720"/>
          <w:tab w:val="num" w:pos="360"/>
        </w:tabs>
        <w:ind w:left="360"/>
      </w:pPr>
      <w:r>
        <w:t>Arrange for disposal of the combined organic waste via a licensed chemical waste disposal contractor</w:t>
      </w:r>
    </w:p>
    <w:p w:rsidR="00B27C70" w:rsidRDefault="00B27C70" w:rsidP="00C56125">
      <w:pPr>
        <w:pStyle w:val="Heading3"/>
      </w:pPr>
      <w:r>
        <w:t>5.</w:t>
      </w:r>
      <w:r>
        <w:tab/>
        <w:t>References</w:t>
      </w:r>
    </w:p>
    <w:p w:rsidR="00B27C70" w:rsidRDefault="00B27C70" w:rsidP="00483941">
      <w:pPr>
        <w:pStyle w:val="referencelist1"/>
      </w:pPr>
      <w:r>
        <w:t>PerkinElmer 2004. QuantaSmart</w:t>
      </w:r>
      <w:r w:rsidRPr="00483941">
        <w:rPr>
          <w:snapToGrid w:val="0"/>
          <w:color w:val="000000"/>
          <w:position w:val="5"/>
          <w:sz w:val="15"/>
          <w:szCs w:val="0"/>
          <w:u w:color="000000"/>
        </w:rPr>
        <w:t>TM</w:t>
      </w:r>
      <w:r>
        <w:t xml:space="preserve"> for the TriCarb Liquid Scintillation. PerkinElmer. Reference Manual.</w:t>
      </w:r>
    </w:p>
    <w:p w:rsidR="00B27C70" w:rsidRDefault="00B27C70" w:rsidP="00C56125">
      <w:pPr>
        <w:pStyle w:val="Heading3"/>
      </w:pPr>
      <w:r>
        <w:t xml:space="preserve">6. </w:t>
      </w:r>
      <w:r>
        <w:tab/>
        <w:t xml:space="preserve">Definitions </w:t>
      </w:r>
    </w:p>
    <w:p w:rsidR="00B27C70" w:rsidRDefault="00B27C70" w:rsidP="00C56125">
      <w:r>
        <w:t>LSC</w:t>
      </w:r>
      <w:r>
        <w:tab/>
        <w:t>Liquid Scintillation Counting/Counter</w:t>
      </w:r>
    </w:p>
    <w:p w:rsidR="00B27C70" w:rsidRDefault="00B27C70" w:rsidP="00C56125">
      <w:r>
        <w:t>SOP</w:t>
      </w:r>
      <w:r>
        <w:tab/>
        <w:t>Standard Operating Procedure</w:t>
      </w:r>
    </w:p>
    <w:p w:rsidR="00B27C70" w:rsidRDefault="00B27C70">
      <w:pPr>
        <w:spacing w:after="0" w:line="240" w:lineRule="auto"/>
        <w:jc w:val="left"/>
      </w:pPr>
    </w:p>
    <w:p w:rsidR="00B27C70" w:rsidRPr="00B27C70" w:rsidRDefault="00B27C70" w:rsidP="00B27C70"/>
    <w:p w:rsidR="0093149F" w:rsidRDefault="0093149F"/>
    <w:sectPr w:rsidR="0093149F" w:rsidSect="00B27C70">
      <w:headerReference w:type="default" r:id="rId68"/>
      <w:pgSz w:w="11906" w:h="16838" w:code="9"/>
      <w:pgMar w:top="993" w:right="1800" w:bottom="993" w:left="1800" w:header="1080" w:footer="835" w:gutter="0"/>
      <w:pgNumType w:start="1"/>
      <w:cols w:space="3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1C8D" w:rsidRDefault="00991C8D">
      <w:r>
        <w:separator/>
      </w:r>
    </w:p>
  </w:endnote>
  <w:endnote w:type="continuationSeparator" w:id="0">
    <w:p w:rsidR="00991C8D" w:rsidRDefault="00991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B68" w:rsidRDefault="001E1B68">
    <w:pPr>
      <w:pStyle w:val="Footer"/>
    </w:pPr>
    <w:r>
      <w:fldChar w:fldCharType="begin"/>
    </w:r>
    <w:r>
      <w:instrText>PAGE</w:instrText>
    </w:r>
    <w:r>
      <w:fldChar w:fldCharType="separate"/>
    </w:r>
    <w:r>
      <w:rPr>
        <w:noProof/>
      </w:rPr>
      <w:t>iv</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B68" w:rsidRDefault="001E1B68">
    <w:pPr>
      <w:pStyle w:val="Footer"/>
    </w:pPr>
    <w:bookmarkStart w:id="2" w:name="_Toc513964624"/>
    <w:bookmarkEnd w:id="2"/>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B68" w:rsidRDefault="001E1B68">
    <w:pPr>
      <w:pStyle w:val="Footer"/>
    </w:pPr>
    <w:r>
      <w:fldChar w:fldCharType="begin"/>
    </w:r>
    <w:r>
      <w:instrText>PAGE</w:instrText>
    </w:r>
    <w:r>
      <w:fldChar w:fldCharType="separate"/>
    </w:r>
    <w:r>
      <w:rPr>
        <w:noProof/>
      </w:rPr>
      <w:t>ii</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B68" w:rsidRDefault="001E1B68">
    <w:pPr>
      <w:pStyle w:val="Footer"/>
    </w:pPr>
    <w:r>
      <w:fldChar w:fldCharType="begin"/>
    </w:r>
    <w:r>
      <w:instrText>PAGE</w:instrText>
    </w:r>
    <w:r>
      <w:fldChar w:fldCharType="separate"/>
    </w:r>
    <w:r w:rsidR="005E27BE">
      <w:rPr>
        <w:noProof/>
      </w:rPr>
      <w:t>iv</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B68" w:rsidRDefault="001E1B68">
    <w:pPr>
      <w:pStyle w:val="Footer"/>
    </w:pPr>
    <w:r>
      <w:fldChar w:fldCharType="begin"/>
    </w:r>
    <w:r>
      <w:instrText>PAGE</w:instrText>
    </w:r>
    <w:r>
      <w:fldChar w:fldCharType="separate"/>
    </w:r>
    <w: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B68" w:rsidRDefault="001E1B68">
    <w:pPr>
      <w:pStyle w:val="Footer"/>
    </w:pPr>
    <w:r>
      <w:fldChar w:fldCharType="begin"/>
    </w:r>
    <w:r>
      <w:instrText>PAGE</w:instrText>
    </w:r>
    <w:r>
      <w:fldChar w:fldCharType="separate"/>
    </w:r>
    <w:r w:rsidR="005E27BE">
      <w:rPr>
        <w:noProof/>
      </w:rPr>
      <w:t>19</w:t>
    </w:r>
    <w:r>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B68" w:rsidRDefault="001E1B68">
    <w:pPr>
      <w:pStyle w:val="Footer"/>
    </w:pPr>
    <w:r>
      <w:fldChar w:fldCharType="begin"/>
    </w:r>
    <w:r>
      <w:instrText>PAGE</w:instrText>
    </w:r>
    <w:r>
      <w:fldChar w:fldCharType="separate"/>
    </w:r>
    <w:r>
      <w:rPr>
        <w:noProof/>
      </w:rPr>
      <w:t>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1C8D" w:rsidRDefault="00991C8D">
      <w:r>
        <w:separator/>
      </w:r>
    </w:p>
  </w:footnote>
  <w:footnote w:type="continuationSeparator" w:id="0">
    <w:p w:rsidR="00991C8D" w:rsidRDefault="00991C8D">
      <w:r>
        <w:continuationSeparator/>
      </w:r>
    </w:p>
  </w:footnote>
  <w:footnote w:id="1">
    <w:p w:rsidR="001E1B68" w:rsidRPr="00EA7643" w:rsidRDefault="001E1B68">
      <w:pPr>
        <w:pStyle w:val="FootnoteText"/>
      </w:pPr>
      <w:r w:rsidRPr="00EA7643">
        <w:rPr>
          <w:rStyle w:val="FootnoteReference"/>
        </w:rPr>
        <w:footnoteRef/>
      </w:r>
      <w:r w:rsidRPr="00EA7643">
        <w:t xml:space="preserve"> Without this time delay as an option the dual </w:t>
      </w:r>
      <w:r w:rsidRPr="00EA7643">
        <w:rPr>
          <w:snapToGrid w:val="0"/>
          <w:position w:val="4"/>
          <w:sz w:val="12"/>
          <w:szCs w:val="0"/>
          <w:u w:color="000000"/>
        </w:rPr>
        <w:t>210</w:t>
      </w:r>
      <w:r w:rsidRPr="00EA7643">
        <w:t xml:space="preserve">Po measurement technique for </w:t>
      </w:r>
      <w:r w:rsidRPr="00EA7643">
        <w:rPr>
          <w:snapToGrid w:val="0"/>
          <w:position w:val="4"/>
          <w:sz w:val="12"/>
          <w:szCs w:val="0"/>
          <w:u w:color="000000"/>
        </w:rPr>
        <w:t>210</w:t>
      </w:r>
      <w:r w:rsidRPr="00EA7643">
        <w:t xml:space="preserve">Pb requires separation of initial </w:t>
      </w:r>
      <w:r w:rsidRPr="00EA7643">
        <w:rPr>
          <w:snapToGrid w:val="0"/>
          <w:position w:val="4"/>
          <w:sz w:val="12"/>
          <w:szCs w:val="0"/>
          <w:u w:color="000000"/>
        </w:rPr>
        <w:t>210</w:t>
      </w:r>
      <w:r w:rsidRPr="00EA7643">
        <w:t xml:space="preserve">Po soon after collection and therefore all </w:t>
      </w:r>
      <w:r w:rsidRPr="00EA7643">
        <w:rPr>
          <w:snapToGrid w:val="0"/>
          <w:position w:val="4"/>
          <w:sz w:val="12"/>
          <w:szCs w:val="0"/>
          <w:u w:color="000000"/>
        </w:rPr>
        <w:t>210</w:t>
      </w:r>
      <w:r w:rsidRPr="00EA7643">
        <w:t>Pb samples take priority over all others</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B68" w:rsidRDefault="001E1B68">
    <w:pPr>
      <w:pStyle w:val="Header"/>
      <w:jc w:val="right"/>
      <w:rPr>
        <w:smallCaps/>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7BE" w:rsidRDefault="005E27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7BE" w:rsidRDefault="005E27B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B68" w:rsidRDefault="001E1B68">
    <w:pPr>
      <w:pStyle w:val="Header"/>
      <w:jc w:val="right"/>
      <w:rPr>
        <w:smallCaps/>
        <w:sz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B68" w:rsidRDefault="00B27C70">
    <w:pPr>
      <w:pStyle w:val="Header"/>
      <w:jc w:val="right"/>
      <w:rPr>
        <w:rFonts w:ascii="Arial" w:hAnsi="Arial"/>
        <w:sz w:val="14"/>
      </w:rPr>
    </w:pPr>
    <w:fldSimple w:instr=" FILENAME \* Lower\p  \* MERGEFORMAT ">
      <w:r w:rsidR="00991C8D" w:rsidRPr="00991C8D">
        <w:rPr>
          <w:rFonts w:ascii="Arial" w:hAnsi="Arial"/>
          <w:noProof/>
          <w:sz w:val="14"/>
        </w:rPr>
        <w:t>document3</w:t>
      </w:r>
    </w:fldSimple>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23"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384"/>
      <w:gridCol w:w="3402"/>
      <w:gridCol w:w="2619"/>
      <w:gridCol w:w="1818"/>
    </w:tblGrid>
    <w:tr w:rsidR="00B27C70" w:rsidTr="00BA5294">
      <w:trPr>
        <w:trHeight w:val="360"/>
        <w:jc w:val="center"/>
      </w:trPr>
      <w:tc>
        <w:tcPr>
          <w:tcW w:w="4786" w:type="dxa"/>
          <w:gridSpan w:val="2"/>
          <w:vMerge w:val="restart"/>
          <w:vAlign w:val="center"/>
        </w:tcPr>
        <w:p w:rsidR="00B27C70" w:rsidRPr="00C56125" w:rsidRDefault="00B27C70" w:rsidP="00B27C70">
          <w:pPr>
            <w:pStyle w:val="Header"/>
            <w:jc w:val="center"/>
            <w:rPr>
              <w:rFonts w:ascii="Arial" w:hAnsi="Arial" w:cs="Arial"/>
              <w:sz w:val="18"/>
              <w:szCs w:val="18"/>
            </w:rPr>
          </w:pPr>
          <w:r>
            <w:rPr>
              <w:noProof/>
              <w:lang w:eastAsia="en-AU"/>
            </w:rPr>
            <w:drawing>
              <wp:inline distT="0" distB="0" distL="0" distR="0" wp14:anchorId="2766A055" wp14:editId="2721972D">
                <wp:extent cx="2784754" cy="809625"/>
                <wp:effectExtent l="0" t="0" r="0" b="0"/>
                <wp:docPr id="5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_SSD_inline_nospace.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84754" cy="809625"/>
                        </a:xfrm>
                        <a:prstGeom prst="rect">
                          <a:avLst/>
                        </a:prstGeom>
                        <a:noFill/>
                        <a:ln w="9525">
                          <a:noFill/>
                          <a:miter lim="800000"/>
                          <a:headEnd/>
                          <a:tailEnd/>
                        </a:ln>
                      </pic:spPr>
                    </pic:pic>
                  </a:graphicData>
                </a:graphic>
              </wp:inline>
            </w:drawing>
          </w:r>
        </w:p>
      </w:tc>
      <w:tc>
        <w:tcPr>
          <w:tcW w:w="2619" w:type="dxa"/>
          <w:vAlign w:val="center"/>
        </w:tcPr>
        <w:p w:rsidR="00B27C70" w:rsidRDefault="00B27C70" w:rsidP="00B27C70">
          <w:pPr>
            <w:pStyle w:val="Header"/>
            <w:rPr>
              <w:rFonts w:ascii="Arial" w:hAnsi="Arial" w:cs="Arial"/>
              <w:b/>
              <w:bCs/>
              <w:sz w:val="18"/>
              <w:szCs w:val="18"/>
            </w:rPr>
          </w:pPr>
          <w:r>
            <w:rPr>
              <w:rFonts w:ascii="Arial" w:hAnsi="Arial" w:cs="Arial"/>
              <w:b/>
              <w:bCs/>
              <w:sz w:val="18"/>
              <w:szCs w:val="18"/>
            </w:rPr>
            <w:t>SOP #</w:t>
          </w:r>
        </w:p>
      </w:tc>
      <w:tc>
        <w:tcPr>
          <w:tcW w:w="1818" w:type="dxa"/>
          <w:vAlign w:val="center"/>
        </w:tcPr>
        <w:p w:rsidR="00B27C70" w:rsidRDefault="00B27C70" w:rsidP="00B27C70">
          <w:pPr>
            <w:pStyle w:val="Header"/>
            <w:rPr>
              <w:rFonts w:ascii="Arial" w:hAnsi="Arial" w:cs="Arial"/>
              <w:sz w:val="18"/>
              <w:szCs w:val="18"/>
            </w:rPr>
          </w:pPr>
          <w:r>
            <w:rPr>
              <w:rFonts w:ascii="Arial" w:hAnsi="Arial" w:cs="Arial"/>
              <w:sz w:val="18"/>
              <w:szCs w:val="18"/>
            </w:rPr>
            <w:t>LSC01</w:t>
          </w:r>
        </w:p>
      </w:tc>
    </w:tr>
    <w:tr w:rsidR="00B27C70" w:rsidTr="00BA5294">
      <w:trPr>
        <w:trHeight w:val="360"/>
        <w:jc w:val="center"/>
      </w:trPr>
      <w:tc>
        <w:tcPr>
          <w:tcW w:w="4786" w:type="dxa"/>
          <w:gridSpan w:val="2"/>
          <w:vMerge/>
          <w:vAlign w:val="center"/>
        </w:tcPr>
        <w:p w:rsidR="00B27C70" w:rsidRDefault="00B27C70" w:rsidP="00B27C70">
          <w:pPr>
            <w:pStyle w:val="Header"/>
            <w:rPr>
              <w:rFonts w:ascii="Arial" w:hAnsi="Arial" w:cs="Arial"/>
              <w:sz w:val="18"/>
              <w:szCs w:val="18"/>
            </w:rPr>
          </w:pPr>
        </w:p>
      </w:tc>
      <w:tc>
        <w:tcPr>
          <w:tcW w:w="2619" w:type="dxa"/>
          <w:vAlign w:val="center"/>
        </w:tcPr>
        <w:p w:rsidR="00B27C70" w:rsidRDefault="00B27C70" w:rsidP="00B27C70">
          <w:pPr>
            <w:pStyle w:val="Header"/>
            <w:rPr>
              <w:rFonts w:ascii="Arial" w:hAnsi="Arial" w:cs="Arial"/>
              <w:b/>
              <w:bCs/>
              <w:sz w:val="18"/>
              <w:szCs w:val="18"/>
            </w:rPr>
          </w:pPr>
          <w:r>
            <w:rPr>
              <w:rFonts w:ascii="Arial" w:hAnsi="Arial" w:cs="Arial"/>
              <w:b/>
              <w:bCs/>
              <w:sz w:val="18"/>
              <w:szCs w:val="18"/>
            </w:rPr>
            <w:t>Version #</w:t>
          </w:r>
        </w:p>
      </w:tc>
      <w:tc>
        <w:tcPr>
          <w:tcW w:w="1818" w:type="dxa"/>
          <w:vAlign w:val="center"/>
        </w:tcPr>
        <w:p w:rsidR="00B27C70" w:rsidRDefault="00B27C70" w:rsidP="00B27C70">
          <w:pPr>
            <w:pStyle w:val="Header"/>
            <w:rPr>
              <w:rFonts w:ascii="Arial" w:hAnsi="Arial" w:cs="Arial"/>
              <w:sz w:val="18"/>
              <w:szCs w:val="18"/>
            </w:rPr>
          </w:pPr>
          <w:r>
            <w:rPr>
              <w:rFonts w:ascii="Arial" w:hAnsi="Arial" w:cs="Arial"/>
              <w:sz w:val="18"/>
              <w:szCs w:val="18"/>
            </w:rPr>
            <w:t>1</w:t>
          </w:r>
        </w:p>
      </w:tc>
    </w:tr>
    <w:tr w:rsidR="00B27C70" w:rsidTr="00BA5294">
      <w:trPr>
        <w:trHeight w:val="360"/>
        <w:jc w:val="center"/>
      </w:trPr>
      <w:tc>
        <w:tcPr>
          <w:tcW w:w="4786" w:type="dxa"/>
          <w:gridSpan w:val="2"/>
          <w:vMerge/>
          <w:vAlign w:val="center"/>
        </w:tcPr>
        <w:p w:rsidR="00B27C70" w:rsidRDefault="00B27C70" w:rsidP="00B27C70">
          <w:pPr>
            <w:pStyle w:val="Header"/>
            <w:rPr>
              <w:rFonts w:ascii="Arial" w:hAnsi="Arial" w:cs="Arial"/>
              <w:sz w:val="18"/>
              <w:szCs w:val="18"/>
            </w:rPr>
          </w:pPr>
        </w:p>
      </w:tc>
      <w:tc>
        <w:tcPr>
          <w:tcW w:w="2619" w:type="dxa"/>
          <w:vAlign w:val="center"/>
        </w:tcPr>
        <w:p w:rsidR="00B27C70" w:rsidRDefault="00B27C70" w:rsidP="00B27C70">
          <w:pPr>
            <w:pStyle w:val="Header"/>
            <w:rPr>
              <w:rFonts w:ascii="Arial" w:hAnsi="Arial" w:cs="Arial"/>
              <w:b/>
              <w:bCs/>
              <w:sz w:val="18"/>
              <w:szCs w:val="18"/>
            </w:rPr>
          </w:pPr>
          <w:r>
            <w:rPr>
              <w:rFonts w:ascii="Arial" w:hAnsi="Arial" w:cs="Arial"/>
              <w:b/>
              <w:bCs/>
              <w:sz w:val="18"/>
              <w:szCs w:val="18"/>
            </w:rPr>
            <w:t>Implementation Date</w:t>
          </w:r>
        </w:p>
      </w:tc>
      <w:tc>
        <w:tcPr>
          <w:tcW w:w="1818" w:type="dxa"/>
          <w:vAlign w:val="center"/>
        </w:tcPr>
        <w:p w:rsidR="00B27C70" w:rsidRDefault="00B27C70" w:rsidP="00B27C70">
          <w:pPr>
            <w:pStyle w:val="Header"/>
            <w:rPr>
              <w:rFonts w:ascii="Arial" w:hAnsi="Arial" w:cs="Arial"/>
              <w:sz w:val="18"/>
              <w:szCs w:val="18"/>
            </w:rPr>
          </w:pPr>
          <w:r>
            <w:rPr>
              <w:rFonts w:ascii="Arial" w:hAnsi="Arial" w:cs="Arial"/>
              <w:sz w:val="18"/>
              <w:szCs w:val="18"/>
            </w:rPr>
            <w:t>06 January 2016</w:t>
          </w:r>
        </w:p>
      </w:tc>
    </w:tr>
    <w:tr w:rsidR="00B27C70" w:rsidTr="00BA5294">
      <w:trPr>
        <w:trHeight w:val="360"/>
        <w:jc w:val="center"/>
      </w:trPr>
      <w:tc>
        <w:tcPr>
          <w:tcW w:w="1384" w:type="dxa"/>
          <w:vAlign w:val="center"/>
        </w:tcPr>
        <w:p w:rsidR="00B27C70" w:rsidRDefault="00B27C70" w:rsidP="00B27C70">
          <w:pPr>
            <w:pStyle w:val="Header"/>
            <w:rPr>
              <w:rFonts w:ascii="Arial" w:hAnsi="Arial" w:cs="Arial"/>
              <w:b/>
              <w:bCs/>
              <w:sz w:val="18"/>
              <w:szCs w:val="18"/>
            </w:rPr>
          </w:pPr>
          <w:r>
            <w:rPr>
              <w:rFonts w:ascii="Arial" w:hAnsi="Arial" w:cs="Arial"/>
              <w:b/>
              <w:bCs/>
              <w:sz w:val="18"/>
              <w:szCs w:val="18"/>
            </w:rPr>
            <w:t>Page  #</w:t>
          </w:r>
        </w:p>
      </w:tc>
      <w:tc>
        <w:tcPr>
          <w:tcW w:w="3402" w:type="dxa"/>
          <w:vAlign w:val="center"/>
        </w:tcPr>
        <w:p w:rsidR="00B27C70" w:rsidRDefault="00B27C70" w:rsidP="00B27C70">
          <w:pPr>
            <w:pStyle w:val="Header"/>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PAGE </w:instrText>
          </w:r>
          <w:r>
            <w:rPr>
              <w:rFonts w:ascii="Arial" w:hAnsi="Arial" w:cs="Arial"/>
              <w:sz w:val="18"/>
              <w:szCs w:val="18"/>
            </w:rPr>
            <w:fldChar w:fldCharType="separate"/>
          </w:r>
          <w:r w:rsidR="005E27BE">
            <w:rPr>
              <w:rFonts w:ascii="Arial" w:hAnsi="Arial" w:cs="Arial"/>
              <w:noProof/>
              <w:sz w:val="18"/>
              <w:szCs w:val="18"/>
            </w:rPr>
            <w:t>7</w:t>
          </w:r>
          <w:r>
            <w:rPr>
              <w:rFonts w:ascii="Arial" w:hAnsi="Arial" w:cs="Arial"/>
              <w:sz w:val="18"/>
              <w:szCs w:val="18"/>
            </w:rPr>
            <w:fldChar w:fldCharType="end"/>
          </w:r>
          <w:r>
            <w:rPr>
              <w:rFonts w:ascii="Arial" w:hAnsi="Arial" w:cs="Arial"/>
              <w:sz w:val="18"/>
              <w:szCs w:val="18"/>
            </w:rPr>
            <w:t xml:space="preserve"> of 7</w:t>
          </w:r>
        </w:p>
      </w:tc>
      <w:tc>
        <w:tcPr>
          <w:tcW w:w="2619" w:type="dxa"/>
          <w:vAlign w:val="center"/>
        </w:tcPr>
        <w:p w:rsidR="00B27C70" w:rsidRDefault="00B27C70" w:rsidP="00B27C70">
          <w:pPr>
            <w:pStyle w:val="Header"/>
            <w:rPr>
              <w:rFonts w:ascii="Arial" w:hAnsi="Arial" w:cs="Arial"/>
              <w:b/>
              <w:bCs/>
              <w:sz w:val="18"/>
              <w:szCs w:val="18"/>
            </w:rPr>
          </w:pPr>
          <w:r>
            <w:rPr>
              <w:rFonts w:ascii="Arial" w:hAnsi="Arial" w:cs="Arial"/>
              <w:b/>
              <w:bCs/>
              <w:sz w:val="18"/>
              <w:szCs w:val="18"/>
            </w:rPr>
            <w:t>Last Reviewed/Update Date</w:t>
          </w:r>
        </w:p>
      </w:tc>
      <w:tc>
        <w:tcPr>
          <w:tcW w:w="1818" w:type="dxa"/>
          <w:vAlign w:val="center"/>
        </w:tcPr>
        <w:p w:rsidR="00B27C70" w:rsidRDefault="00B27C70" w:rsidP="00B27C70">
          <w:pPr>
            <w:pStyle w:val="Header"/>
            <w:rPr>
              <w:rFonts w:ascii="Arial" w:hAnsi="Arial" w:cs="Arial"/>
              <w:sz w:val="18"/>
              <w:szCs w:val="18"/>
            </w:rPr>
          </w:pPr>
          <w:r>
            <w:rPr>
              <w:rFonts w:ascii="Arial" w:hAnsi="Arial" w:cs="Arial"/>
              <w:sz w:val="18"/>
              <w:szCs w:val="18"/>
            </w:rPr>
            <w:t>06 January 2016</w:t>
          </w:r>
        </w:p>
      </w:tc>
    </w:tr>
    <w:tr w:rsidR="00B27C70" w:rsidTr="00BA5294">
      <w:trPr>
        <w:trHeight w:val="360"/>
        <w:jc w:val="center"/>
      </w:trPr>
      <w:tc>
        <w:tcPr>
          <w:tcW w:w="1384" w:type="dxa"/>
          <w:vAlign w:val="center"/>
        </w:tcPr>
        <w:p w:rsidR="00B27C70" w:rsidRDefault="00B27C70" w:rsidP="00B27C70">
          <w:pPr>
            <w:pStyle w:val="Header"/>
            <w:rPr>
              <w:rFonts w:ascii="Arial" w:hAnsi="Arial" w:cs="Arial"/>
              <w:b/>
              <w:bCs/>
              <w:sz w:val="18"/>
              <w:szCs w:val="18"/>
            </w:rPr>
          </w:pPr>
          <w:r>
            <w:rPr>
              <w:rFonts w:ascii="Arial" w:hAnsi="Arial" w:cs="Arial"/>
              <w:b/>
              <w:bCs/>
              <w:sz w:val="18"/>
              <w:szCs w:val="18"/>
            </w:rPr>
            <w:t>SOP Owner</w:t>
          </w:r>
        </w:p>
      </w:tc>
      <w:tc>
        <w:tcPr>
          <w:tcW w:w="3402" w:type="dxa"/>
          <w:vAlign w:val="center"/>
        </w:tcPr>
        <w:p w:rsidR="00B27C70" w:rsidRDefault="00B27C70" w:rsidP="00B27C70">
          <w:pPr>
            <w:pStyle w:val="Header"/>
            <w:rPr>
              <w:rFonts w:ascii="Arial" w:hAnsi="Arial" w:cs="Arial"/>
              <w:sz w:val="18"/>
              <w:szCs w:val="18"/>
            </w:rPr>
          </w:pPr>
          <w:r>
            <w:rPr>
              <w:rFonts w:ascii="Arial" w:hAnsi="Arial" w:cs="Arial"/>
              <w:sz w:val="18"/>
              <w:szCs w:val="18"/>
            </w:rPr>
            <w:t>Environmental Radioactivity – P.Medley</w:t>
          </w:r>
        </w:p>
      </w:tc>
      <w:tc>
        <w:tcPr>
          <w:tcW w:w="2619" w:type="dxa"/>
          <w:vAlign w:val="center"/>
        </w:tcPr>
        <w:p w:rsidR="00B27C70" w:rsidRDefault="00B27C70" w:rsidP="00B27C70">
          <w:pPr>
            <w:pStyle w:val="Header"/>
            <w:rPr>
              <w:rFonts w:ascii="Arial" w:hAnsi="Arial" w:cs="Arial"/>
              <w:b/>
              <w:bCs/>
              <w:sz w:val="18"/>
              <w:szCs w:val="18"/>
            </w:rPr>
          </w:pPr>
          <w:r>
            <w:rPr>
              <w:rFonts w:ascii="Arial" w:hAnsi="Arial" w:cs="Arial"/>
              <w:b/>
              <w:bCs/>
              <w:sz w:val="18"/>
              <w:szCs w:val="18"/>
            </w:rPr>
            <w:t>Approval</w:t>
          </w:r>
        </w:p>
      </w:tc>
      <w:tc>
        <w:tcPr>
          <w:tcW w:w="1818" w:type="dxa"/>
          <w:vAlign w:val="center"/>
        </w:tcPr>
        <w:p w:rsidR="00B27C70" w:rsidRDefault="00B27C70" w:rsidP="00B27C70">
          <w:pPr>
            <w:pStyle w:val="Header"/>
            <w:rPr>
              <w:rFonts w:ascii="Arial" w:hAnsi="Arial" w:cs="Arial"/>
              <w:sz w:val="18"/>
              <w:szCs w:val="18"/>
            </w:rPr>
          </w:pPr>
          <w:r>
            <w:rPr>
              <w:rFonts w:ascii="Arial" w:hAnsi="Arial" w:cs="Arial"/>
              <w:sz w:val="18"/>
              <w:szCs w:val="18"/>
            </w:rPr>
            <w:t>Approved</w:t>
          </w:r>
        </w:p>
      </w:tc>
    </w:tr>
  </w:tbl>
  <w:p w:rsidR="00B27C70" w:rsidRDefault="00B27C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45ECA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FCA39D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090613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D22AC4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8C0573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B8E639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DAEA4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38AE5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6C43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238F4B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50982936"/>
    <w:multiLevelType w:val="hybridMultilevel"/>
    <w:tmpl w:val="B824CCFE"/>
    <w:lvl w:ilvl="0" w:tplc="2F704094">
      <w:start w:val="1"/>
      <w:numFmt w:val="bullet"/>
      <w:pStyle w:val="bulletlist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F4337D"/>
    <w:multiLevelType w:val="hybridMultilevel"/>
    <w:tmpl w:val="4FAC12CC"/>
    <w:lvl w:ilvl="0" w:tplc="805E3A28">
      <w:start w:val="1"/>
      <w:numFmt w:val="bullet"/>
      <w:lvlText w:val=""/>
      <w:lvlJc w:val="left"/>
      <w:pPr>
        <w:tabs>
          <w:tab w:val="num" w:pos="360"/>
        </w:tabs>
        <w:ind w:left="357" w:hanging="357"/>
      </w:pPr>
      <w:rPr>
        <w:rFonts w:ascii="Symbol" w:hAnsi="Symbol" w:hint="default"/>
      </w:rPr>
    </w:lvl>
    <w:lvl w:ilvl="1" w:tplc="A6FCB9A4">
      <w:start w:val="1"/>
      <w:numFmt w:val="bullet"/>
      <w:pStyle w:val="bulletlist2"/>
      <w:lvlText w:val="–"/>
      <w:lvlJc w:val="left"/>
      <w:pPr>
        <w:tabs>
          <w:tab w:val="num" w:pos="717"/>
        </w:tabs>
        <w:ind w:left="357" w:firstLine="0"/>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8D91A7C"/>
    <w:multiLevelType w:val="hybridMultilevel"/>
    <w:tmpl w:val="9C840ABA"/>
    <w:lvl w:ilvl="0" w:tplc="A574FC2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64B5B03"/>
    <w:multiLevelType w:val="hybridMultilevel"/>
    <w:tmpl w:val="EA161008"/>
    <w:lvl w:ilvl="0" w:tplc="3FF880CE">
      <w:start w:val="1"/>
      <w:numFmt w:val="decimal"/>
      <w:pStyle w:val="numberlist1"/>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11"/>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9"/>
  </w:num>
  <w:num w:numId="15">
    <w:abstractNumId w:val="9"/>
  </w:num>
  <w:num w:numId="16">
    <w:abstractNumId w:val="9"/>
  </w:num>
  <w:num w:numId="17">
    <w:abstractNumId w:val="9"/>
  </w:num>
  <w:num w:numId="18">
    <w:abstractNumId w:val="9"/>
  </w:num>
  <w:num w:numId="19">
    <w:abstractNumId w:val="9"/>
  </w:num>
  <w:num w:numId="20">
    <w:abstractNumId w:val="12"/>
  </w:num>
  <w:num w:numId="21">
    <w:abstractNumId w:val="13"/>
    <w:lvlOverride w:ilvl="0">
      <w:startOverride w:val="1"/>
    </w:lvlOverride>
  </w:num>
  <w:num w:numId="22">
    <w:abstractNumId w:val="13"/>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C8D"/>
    <w:rsid w:val="000029C6"/>
    <w:rsid w:val="000243E9"/>
    <w:rsid w:val="00025968"/>
    <w:rsid w:val="000265ED"/>
    <w:rsid w:val="00030301"/>
    <w:rsid w:val="000306A2"/>
    <w:rsid w:val="000339F9"/>
    <w:rsid w:val="00033C19"/>
    <w:rsid w:val="000420F6"/>
    <w:rsid w:val="000422E1"/>
    <w:rsid w:val="00053093"/>
    <w:rsid w:val="0005363A"/>
    <w:rsid w:val="00053E06"/>
    <w:rsid w:val="00056298"/>
    <w:rsid w:val="00061F39"/>
    <w:rsid w:val="00062F72"/>
    <w:rsid w:val="00066A55"/>
    <w:rsid w:val="00070D84"/>
    <w:rsid w:val="00071686"/>
    <w:rsid w:val="00071B27"/>
    <w:rsid w:val="0008167C"/>
    <w:rsid w:val="00082580"/>
    <w:rsid w:val="00085D80"/>
    <w:rsid w:val="000912E7"/>
    <w:rsid w:val="00094AF9"/>
    <w:rsid w:val="00095E28"/>
    <w:rsid w:val="000970C9"/>
    <w:rsid w:val="000A14FF"/>
    <w:rsid w:val="000A19B5"/>
    <w:rsid w:val="000A29F3"/>
    <w:rsid w:val="000A562A"/>
    <w:rsid w:val="000A7305"/>
    <w:rsid w:val="000C05E6"/>
    <w:rsid w:val="000C2731"/>
    <w:rsid w:val="000C7673"/>
    <w:rsid w:val="000D2F07"/>
    <w:rsid w:val="000E757C"/>
    <w:rsid w:val="00101076"/>
    <w:rsid w:val="00110F4D"/>
    <w:rsid w:val="001156CD"/>
    <w:rsid w:val="0011663F"/>
    <w:rsid w:val="001203C6"/>
    <w:rsid w:val="00125B68"/>
    <w:rsid w:val="001314D8"/>
    <w:rsid w:val="00136583"/>
    <w:rsid w:val="001500CF"/>
    <w:rsid w:val="00151BB9"/>
    <w:rsid w:val="0015240D"/>
    <w:rsid w:val="0015575C"/>
    <w:rsid w:val="0016710D"/>
    <w:rsid w:val="00170F5A"/>
    <w:rsid w:val="00172E50"/>
    <w:rsid w:val="00174BD4"/>
    <w:rsid w:val="001923AC"/>
    <w:rsid w:val="00196E40"/>
    <w:rsid w:val="001A4A79"/>
    <w:rsid w:val="001A7137"/>
    <w:rsid w:val="001A75A4"/>
    <w:rsid w:val="001B4F27"/>
    <w:rsid w:val="001C04F2"/>
    <w:rsid w:val="001C3336"/>
    <w:rsid w:val="001C3FE3"/>
    <w:rsid w:val="001C6AA7"/>
    <w:rsid w:val="001D6819"/>
    <w:rsid w:val="001D698B"/>
    <w:rsid w:val="001E1B68"/>
    <w:rsid w:val="001E31CF"/>
    <w:rsid w:val="001F2DF9"/>
    <w:rsid w:val="00201238"/>
    <w:rsid w:val="002052DE"/>
    <w:rsid w:val="00206F4D"/>
    <w:rsid w:val="00210752"/>
    <w:rsid w:val="002159A7"/>
    <w:rsid w:val="00216467"/>
    <w:rsid w:val="00216F55"/>
    <w:rsid w:val="00225DFD"/>
    <w:rsid w:val="00226EC7"/>
    <w:rsid w:val="00231B3E"/>
    <w:rsid w:val="00232713"/>
    <w:rsid w:val="00240087"/>
    <w:rsid w:val="002471B6"/>
    <w:rsid w:val="0024738A"/>
    <w:rsid w:val="002509FB"/>
    <w:rsid w:val="002519D1"/>
    <w:rsid w:val="00264C59"/>
    <w:rsid w:val="00266E68"/>
    <w:rsid w:val="002675C9"/>
    <w:rsid w:val="00267BEF"/>
    <w:rsid w:val="002707F9"/>
    <w:rsid w:val="00282AE7"/>
    <w:rsid w:val="00294DA0"/>
    <w:rsid w:val="00295868"/>
    <w:rsid w:val="00296EE7"/>
    <w:rsid w:val="002A0976"/>
    <w:rsid w:val="002A5036"/>
    <w:rsid w:val="002C00AF"/>
    <w:rsid w:val="002C4796"/>
    <w:rsid w:val="002C6AF8"/>
    <w:rsid w:val="002C73E1"/>
    <w:rsid w:val="002D2459"/>
    <w:rsid w:val="002D74E7"/>
    <w:rsid w:val="002E0D2D"/>
    <w:rsid w:val="002E1379"/>
    <w:rsid w:val="002E522E"/>
    <w:rsid w:val="002E6995"/>
    <w:rsid w:val="002F0122"/>
    <w:rsid w:val="002F0D98"/>
    <w:rsid w:val="002F1CF6"/>
    <w:rsid w:val="002F2AE6"/>
    <w:rsid w:val="002F2DD1"/>
    <w:rsid w:val="002F48CC"/>
    <w:rsid w:val="002F617F"/>
    <w:rsid w:val="002F794E"/>
    <w:rsid w:val="002F7E36"/>
    <w:rsid w:val="003039A7"/>
    <w:rsid w:val="00304E8D"/>
    <w:rsid w:val="003053F0"/>
    <w:rsid w:val="00324DAA"/>
    <w:rsid w:val="00332E53"/>
    <w:rsid w:val="0033452A"/>
    <w:rsid w:val="00337237"/>
    <w:rsid w:val="00345977"/>
    <w:rsid w:val="00347D64"/>
    <w:rsid w:val="0035002C"/>
    <w:rsid w:val="00351B00"/>
    <w:rsid w:val="00352BD9"/>
    <w:rsid w:val="003535B5"/>
    <w:rsid w:val="003632B8"/>
    <w:rsid w:val="00367B66"/>
    <w:rsid w:val="00371D2F"/>
    <w:rsid w:val="00386210"/>
    <w:rsid w:val="003A0998"/>
    <w:rsid w:val="003A50D0"/>
    <w:rsid w:val="003A57A4"/>
    <w:rsid w:val="003A790B"/>
    <w:rsid w:val="003C0CE0"/>
    <w:rsid w:val="003C59CB"/>
    <w:rsid w:val="003C5B91"/>
    <w:rsid w:val="003C6A23"/>
    <w:rsid w:val="003D14DC"/>
    <w:rsid w:val="003D2D19"/>
    <w:rsid w:val="003D63E9"/>
    <w:rsid w:val="003D6EBD"/>
    <w:rsid w:val="003E0B74"/>
    <w:rsid w:val="003E2C05"/>
    <w:rsid w:val="003E3770"/>
    <w:rsid w:val="003F1058"/>
    <w:rsid w:val="003F3103"/>
    <w:rsid w:val="003F37C3"/>
    <w:rsid w:val="003F3AD3"/>
    <w:rsid w:val="003F4542"/>
    <w:rsid w:val="003F6691"/>
    <w:rsid w:val="003F73FD"/>
    <w:rsid w:val="00402358"/>
    <w:rsid w:val="004024C1"/>
    <w:rsid w:val="004054EC"/>
    <w:rsid w:val="004135EC"/>
    <w:rsid w:val="004167A7"/>
    <w:rsid w:val="004169B1"/>
    <w:rsid w:val="00416B53"/>
    <w:rsid w:val="00420347"/>
    <w:rsid w:val="0042122C"/>
    <w:rsid w:val="00423A32"/>
    <w:rsid w:val="00432827"/>
    <w:rsid w:val="004333AF"/>
    <w:rsid w:val="00436199"/>
    <w:rsid w:val="004362A5"/>
    <w:rsid w:val="00443B07"/>
    <w:rsid w:val="00451D73"/>
    <w:rsid w:val="004529AB"/>
    <w:rsid w:val="00452F7B"/>
    <w:rsid w:val="004574C7"/>
    <w:rsid w:val="00463DA4"/>
    <w:rsid w:val="0046624D"/>
    <w:rsid w:val="004670A3"/>
    <w:rsid w:val="00476871"/>
    <w:rsid w:val="00477147"/>
    <w:rsid w:val="00482950"/>
    <w:rsid w:val="00491071"/>
    <w:rsid w:val="00491AA8"/>
    <w:rsid w:val="004925EF"/>
    <w:rsid w:val="004A1210"/>
    <w:rsid w:val="004A2406"/>
    <w:rsid w:val="004A4E93"/>
    <w:rsid w:val="004A611F"/>
    <w:rsid w:val="004B091E"/>
    <w:rsid w:val="004B0B0F"/>
    <w:rsid w:val="004B3078"/>
    <w:rsid w:val="004B7F40"/>
    <w:rsid w:val="004C21DD"/>
    <w:rsid w:val="004C5D4B"/>
    <w:rsid w:val="004C792C"/>
    <w:rsid w:val="004D06A2"/>
    <w:rsid w:val="004E48A1"/>
    <w:rsid w:val="004E6A3C"/>
    <w:rsid w:val="004F183E"/>
    <w:rsid w:val="004F21B4"/>
    <w:rsid w:val="00500C90"/>
    <w:rsid w:val="00505FBD"/>
    <w:rsid w:val="00513D18"/>
    <w:rsid w:val="00515C5E"/>
    <w:rsid w:val="0052098F"/>
    <w:rsid w:val="0052106C"/>
    <w:rsid w:val="00524E70"/>
    <w:rsid w:val="00535019"/>
    <w:rsid w:val="00541F99"/>
    <w:rsid w:val="00545B3E"/>
    <w:rsid w:val="00546F70"/>
    <w:rsid w:val="00565F6E"/>
    <w:rsid w:val="0057345A"/>
    <w:rsid w:val="00574C89"/>
    <w:rsid w:val="005810B8"/>
    <w:rsid w:val="005908E4"/>
    <w:rsid w:val="00591931"/>
    <w:rsid w:val="005921BA"/>
    <w:rsid w:val="00594299"/>
    <w:rsid w:val="005A3F68"/>
    <w:rsid w:val="005A67EB"/>
    <w:rsid w:val="005A7F40"/>
    <w:rsid w:val="005B2DA5"/>
    <w:rsid w:val="005B3D74"/>
    <w:rsid w:val="005C0082"/>
    <w:rsid w:val="005C642A"/>
    <w:rsid w:val="005C6B3D"/>
    <w:rsid w:val="005C7D08"/>
    <w:rsid w:val="005D2023"/>
    <w:rsid w:val="005D3B57"/>
    <w:rsid w:val="005D7317"/>
    <w:rsid w:val="005E22AA"/>
    <w:rsid w:val="005E27BE"/>
    <w:rsid w:val="005E2A0C"/>
    <w:rsid w:val="005F3A8A"/>
    <w:rsid w:val="005F3CC5"/>
    <w:rsid w:val="005F4AE5"/>
    <w:rsid w:val="005F512F"/>
    <w:rsid w:val="00605BDF"/>
    <w:rsid w:val="00605D0A"/>
    <w:rsid w:val="00613646"/>
    <w:rsid w:val="00613E70"/>
    <w:rsid w:val="00615216"/>
    <w:rsid w:val="006158C1"/>
    <w:rsid w:val="00616A14"/>
    <w:rsid w:val="006178B1"/>
    <w:rsid w:val="00621A21"/>
    <w:rsid w:val="00626562"/>
    <w:rsid w:val="0063111C"/>
    <w:rsid w:val="006338A5"/>
    <w:rsid w:val="00634075"/>
    <w:rsid w:val="006414B2"/>
    <w:rsid w:val="006442FE"/>
    <w:rsid w:val="00647ADD"/>
    <w:rsid w:val="00651428"/>
    <w:rsid w:val="0065567D"/>
    <w:rsid w:val="00656B19"/>
    <w:rsid w:val="00657282"/>
    <w:rsid w:val="00664A85"/>
    <w:rsid w:val="0067293C"/>
    <w:rsid w:val="00673F3E"/>
    <w:rsid w:val="00684812"/>
    <w:rsid w:val="006851D2"/>
    <w:rsid w:val="00685623"/>
    <w:rsid w:val="00692730"/>
    <w:rsid w:val="006930A6"/>
    <w:rsid w:val="00693D66"/>
    <w:rsid w:val="00694B96"/>
    <w:rsid w:val="00694C47"/>
    <w:rsid w:val="00695D1A"/>
    <w:rsid w:val="00695F36"/>
    <w:rsid w:val="006A374A"/>
    <w:rsid w:val="006B7A9C"/>
    <w:rsid w:val="006C2E3A"/>
    <w:rsid w:val="006D5378"/>
    <w:rsid w:val="006D6E95"/>
    <w:rsid w:val="006E35A1"/>
    <w:rsid w:val="006E56BC"/>
    <w:rsid w:val="006E6EEA"/>
    <w:rsid w:val="006E782E"/>
    <w:rsid w:val="006F71AD"/>
    <w:rsid w:val="00702076"/>
    <w:rsid w:val="00702F79"/>
    <w:rsid w:val="00704687"/>
    <w:rsid w:val="00710541"/>
    <w:rsid w:val="00710C00"/>
    <w:rsid w:val="00711AF9"/>
    <w:rsid w:val="00714307"/>
    <w:rsid w:val="007143E7"/>
    <w:rsid w:val="007156CA"/>
    <w:rsid w:val="007201B4"/>
    <w:rsid w:val="00720B6C"/>
    <w:rsid w:val="0072468A"/>
    <w:rsid w:val="00725A11"/>
    <w:rsid w:val="00726A50"/>
    <w:rsid w:val="00735BC3"/>
    <w:rsid w:val="00737ED8"/>
    <w:rsid w:val="00751F4D"/>
    <w:rsid w:val="007550D4"/>
    <w:rsid w:val="00763599"/>
    <w:rsid w:val="0076513B"/>
    <w:rsid w:val="00765CA1"/>
    <w:rsid w:val="00772ACA"/>
    <w:rsid w:val="00783B07"/>
    <w:rsid w:val="00785D98"/>
    <w:rsid w:val="007977EC"/>
    <w:rsid w:val="007A3F60"/>
    <w:rsid w:val="007A4E86"/>
    <w:rsid w:val="007B4A6B"/>
    <w:rsid w:val="007B79D6"/>
    <w:rsid w:val="007C36E0"/>
    <w:rsid w:val="007D0FAE"/>
    <w:rsid w:val="007D1ED6"/>
    <w:rsid w:val="007D2CD4"/>
    <w:rsid w:val="007D4687"/>
    <w:rsid w:val="007E646B"/>
    <w:rsid w:val="007E7644"/>
    <w:rsid w:val="007F46DA"/>
    <w:rsid w:val="007F4E6C"/>
    <w:rsid w:val="007F5C43"/>
    <w:rsid w:val="0080180A"/>
    <w:rsid w:val="008019F5"/>
    <w:rsid w:val="00810495"/>
    <w:rsid w:val="0081433E"/>
    <w:rsid w:val="00816B25"/>
    <w:rsid w:val="0082538E"/>
    <w:rsid w:val="008263C0"/>
    <w:rsid w:val="00837C19"/>
    <w:rsid w:val="00840861"/>
    <w:rsid w:val="00841E35"/>
    <w:rsid w:val="008420A1"/>
    <w:rsid w:val="00844AEB"/>
    <w:rsid w:val="00852362"/>
    <w:rsid w:val="00863A93"/>
    <w:rsid w:val="008679D0"/>
    <w:rsid w:val="00873CB1"/>
    <w:rsid w:val="00874C33"/>
    <w:rsid w:val="00884228"/>
    <w:rsid w:val="00885B0A"/>
    <w:rsid w:val="00886D43"/>
    <w:rsid w:val="00886F46"/>
    <w:rsid w:val="0088717A"/>
    <w:rsid w:val="008967BF"/>
    <w:rsid w:val="00896DE7"/>
    <w:rsid w:val="008A3846"/>
    <w:rsid w:val="008A648B"/>
    <w:rsid w:val="008A719E"/>
    <w:rsid w:val="008B3DD8"/>
    <w:rsid w:val="008B4B9C"/>
    <w:rsid w:val="008B5850"/>
    <w:rsid w:val="008C4FEF"/>
    <w:rsid w:val="008D1992"/>
    <w:rsid w:val="008F31AE"/>
    <w:rsid w:val="00903976"/>
    <w:rsid w:val="009057C1"/>
    <w:rsid w:val="00910416"/>
    <w:rsid w:val="009137DB"/>
    <w:rsid w:val="009137F1"/>
    <w:rsid w:val="00914D73"/>
    <w:rsid w:val="00922688"/>
    <w:rsid w:val="00925907"/>
    <w:rsid w:val="00926229"/>
    <w:rsid w:val="0093069A"/>
    <w:rsid w:val="00930FD3"/>
    <w:rsid w:val="0093149F"/>
    <w:rsid w:val="00933671"/>
    <w:rsid w:val="00935597"/>
    <w:rsid w:val="0093753D"/>
    <w:rsid w:val="00940584"/>
    <w:rsid w:val="009433D9"/>
    <w:rsid w:val="00946AF9"/>
    <w:rsid w:val="009541F3"/>
    <w:rsid w:val="00955341"/>
    <w:rsid w:val="0095780A"/>
    <w:rsid w:val="00971AEF"/>
    <w:rsid w:val="009746AD"/>
    <w:rsid w:val="00983083"/>
    <w:rsid w:val="0098319A"/>
    <w:rsid w:val="009841A1"/>
    <w:rsid w:val="00987881"/>
    <w:rsid w:val="00990C0E"/>
    <w:rsid w:val="00991C8D"/>
    <w:rsid w:val="00992E8E"/>
    <w:rsid w:val="00993121"/>
    <w:rsid w:val="009A1162"/>
    <w:rsid w:val="009A1CA3"/>
    <w:rsid w:val="009A3C39"/>
    <w:rsid w:val="009A7E9B"/>
    <w:rsid w:val="009B44F5"/>
    <w:rsid w:val="009B488D"/>
    <w:rsid w:val="009B4AC4"/>
    <w:rsid w:val="009B5774"/>
    <w:rsid w:val="009D1B01"/>
    <w:rsid w:val="009D3A03"/>
    <w:rsid w:val="009D70A3"/>
    <w:rsid w:val="009E199F"/>
    <w:rsid w:val="009E78FC"/>
    <w:rsid w:val="009F0281"/>
    <w:rsid w:val="009F4FEB"/>
    <w:rsid w:val="009F54D9"/>
    <w:rsid w:val="00A06D73"/>
    <w:rsid w:val="00A158FE"/>
    <w:rsid w:val="00A2170F"/>
    <w:rsid w:val="00A2345A"/>
    <w:rsid w:val="00A3489E"/>
    <w:rsid w:val="00A37613"/>
    <w:rsid w:val="00A4235F"/>
    <w:rsid w:val="00A46454"/>
    <w:rsid w:val="00A47D49"/>
    <w:rsid w:val="00A50834"/>
    <w:rsid w:val="00A52482"/>
    <w:rsid w:val="00A55B66"/>
    <w:rsid w:val="00A56599"/>
    <w:rsid w:val="00A57687"/>
    <w:rsid w:val="00A6037B"/>
    <w:rsid w:val="00A63338"/>
    <w:rsid w:val="00A6427F"/>
    <w:rsid w:val="00A65965"/>
    <w:rsid w:val="00A67117"/>
    <w:rsid w:val="00A8071B"/>
    <w:rsid w:val="00A813A7"/>
    <w:rsid w:val="00A859B0"/>
    <w:rsid w:val="00A8618D"/>
    <w:rsid w:val="00A933D1"/>
    <w:rsid w:val="00AA240C"/>
    <w:rsid w:val="00AA2431"/>
    <w:rsid w:val="00AA64A3"/>
    <w:rsid w:val="00AA6E9E"/>
    <w:rsid w:val="00AA79D8"/>
    <w:rsid w:val="00AB53A4"/>
    <w:rsid w:val="00AB5CE7"/>
    <w:rsid w:val="00AC02A9"/>
    <w:rsid w:val="00AC1BB1"/>
    <w:rsid w:val="00AC699D"/>
    <w:rsid w:val="00AC6A4F"/>
    <w:rsid w:val="00AD1AA7"/>
    <w:rsid w:val="00AD2E22"/>
    <w:rsid w:val="00AE156E"/>
    <w:rsid w:val="00AE16D9"/>
    <w:rsid w:val="00AE3233"/>
    <w:rsid w:val="00AE60F7"/>
    <w:rsid w:val="00AE6548"/>
    <w:rsid w:val="00AF1E1D"/>
    <w:rsid w:val="00AF53E8"/>
    <w:rsid w:val="00AF5C47"/>
    <w:rsid w:val="00AF6680"/>
    <w:rsid w:val="00AF6C51"/>
    <w:rsid w:val="00B012B7"/>
    <w:rsid w:val="00B05056"/>
    <w:rsid w:val="00B13613"/>
    <w:rsid w:val="00B17DBC"/>
    <w:rsid w:val="00B21501"/>
    <w:rsid w:val="00B232EF"/>
    <w:rsid w:val="00B24DDA"/>
    <w:rsid w:val="00B27C70"/>
    <w:rsid w:val="00B34E0B"/>
    <w:rsid w:val="00B436AC"/>
    <w:rsid w:val="00B47606"/>
    <w:rsid w:val="00B60234"/>
    <w:rsid w:val="00B61EAC"/>
    <w:rsid w:val="00B67AA4"/>
    <w:rsid w:val="00B80A1B"/>
    <w:rsid w:val="00B82D4B"/>
    <w:rsid w:val="00B856CF"/>
    <w:rsid w:val="00B85C81"/>
    <w:rsid w:val="00B90630"/>
    <w:rsid w:val="00BB1A1A"/>
    <w:rsid w:val="00BB5D5F"/>
    <w:rsid w:val="00BB6BFA"/>
    <w:rsid w:val="00BC0DDB"/>
    <w:rsid w:val="00BC1DFC"/>
    <w:rsid w:val="00BC32DE"/>
    <w:rsid w:val="00BC621E"/>
    <w:rsid w:val="00BC6326"/>
    <w:rsid w:val="00BD09FB"/>
    <w:rsid w:val="00BD1E8F"/>
    <w:rsid w:val="00BD2022"/>
    <w:rsid w:val="00BE448C"/>
    <w:rsid w:val="00BF3B60"/>
    <w:rsid w:val="00BF5E38"/>
    <w:rsid w:val="00C04666"/>
    <w:rsid w:val="00C05807"/>
    <w:rsid w:val="00C06D48"/>
    <w:rsid w:val="00C12534"/>
    <w:rsid w:val="00C2503D"/>
    <w:rsid w:val="00C30224"/>
    <w:rsid w:val="00C4696E"/>
    <w:rsid w:val="00C477E2"/>
    <w:rsid w:val="00C5323A"/>
    <w:rsid w:val="00C554C1"/>
    <w:rsid w:val="00C55C48"/>
    <w:rsid w:val="00C56AF5"/>
    <w:rsid w:val="00C6117E"/>
    <w:rsid w:val="00C65293"/>
    <w:rsid w:val="00C8058D"/>
    <w:rsid w:val="00C8234E"/>
    <w:rsid w:val="00C846BD"/>
    <w:rsid w:val="00C84741"/>
    <w:rsid w:val="00C97AF2"/>
    <w:rsid w:val="00CA0EEF"/>
    <w:rsid w:val="00CA543C"/>
    <w:rsid w:val="00CA5F40"/>
    <w:rsid w:val="00CB696F"/>
    <w:rsid w:val="00CD1383"/>
    <w:rsid w:val="00CD3AF0"/>
    <w:rsid w:val="00CD427A"/>
    <w:rsid w:val="00CD4949"/>
    <w:rsid w:val="00CD5CBF"/>
    <w:rsid w:val="00CE6A95"/>
    <w:rsid w:val="00CE7E2F"/>
    <w:rsid w:val="00CF3026"/>
    <w:rsid w:val="00CF4F27"/>
    <w:rsid w:val="00CF6CF0"/>
    <w:rsid w:val="00D00C19"/>
    <w:rsid w:val="00D012FC"/>
    <w:rsid w:val="00D01A4B"/>
    <w:rsid w:val="00D11B75"/>
    <w:rsid w:val="00D14FF1"/>
    <w:rsid w:val="00D21854"/>
    <w:rsid w:val="00D2215B"/>
    <w:rsid w:val="00D25370"/>
    <w:rsid w:val="00D27492"/>
    <w:rsid w:val="00D30104"/>
    <w:rsid w:val="00D313A7"/>
    <w:rsid w:val="00D32F79"/>
    <w:rsid w:val="00D35B29"/>
    <w:rsid w:val="00D37FE4"/>
    <w:rsid w:val="00D425D9"/>
    <w:rsid w:val="00D42B24"/>
    <w:rsid w:val="00D44115"/>
    <w:rsid w:val="00D44E2C"/>
    <w:rsid w:val="00D456DD"/>
    <w:rsid w:val="00D53B14"/>
    <w:rsid w:val="00D603FC"/>
    <w:rsid w:val="00D60AA2"/>
    <w:rsid w:val="00D63F46"/>
    <w:rsid w:val="00D64F8C"/>
    <w:rsid w:val="00D707C5"/>
    <w:rsid w:val="00D717FA"/>
    <w:rsid w:val="00D7615D"/>
    <w:rsid w:val="00D7755A"/>
    <w:rsid w:val="00D77D1E"/>
    <w:rsid w:val="00D80E41"/>
    <w:rsid w:val="00D81F0D"/>
    <w:rsid w:val="00D92477"/>
    <w:rsid w:val="00DA7A77"/>
    <w:rsid w:val="00DB29F1"/>
    <w:rsid w:val="00DB5C69"/>
    <w:rsid w:val="00DC231E"/>
    <w:rsid w:val="00DC62D4"/>
    <w:rsid w:val="00DD3DED"/>
    <w:rsid w:val="00DD700B"/>
    <w:rsid w:val="00DE0214"/>
    <w:rsid w:val="00DE1B95"/>
    <w:rsid w:val="00DE5A3D"/>
    <w:rsid w:val="00DE7E96"/>
    <w:rsid w:val="00E00807"/>
    <w:rsid w:val="00E0098B"/>
    <w:rsid w:val="00E02B96"/>
    <w:rsid w:val="00E06246"/>
    <w:rsid w:val="00E11C2A"/>
    <w:rsid w:val="00E12257"/>
    <w:rsid w:val="00E14419"/>
    <w:rsid w:val="00E1501B"/>
    <w:rsid w:val="00E16D48"/>
    <w:rsid w:val="00E16F98"/>
    <w:rsid w:val="00E211F7"/>
    <w:rsid w:val="00E3115D"/>
    <w:rsid w:val="00E32430"/>
    <w:rsid w:val="00E329B6"/>
    <w:rsid w:val="00E3345A"/>
    <w:rsid w:val="00E33672"/>
    <w:rsid w:val="00E35191"/>
    <w:rsid w:val="00E47CDA"/>
    <w:rsid w:val="00E47E3D"/>
    <w:rsid w:val="00E47EE8"/>
    <w:rsid w:val="00E5478A"/>
    <w:rsid w:val="00E55F85"/>
    <w:rsid w:val="00E60B6B"/>
    <w:rsid w:val="00E62B9E"/>
    <w:rsid w:val="00E63961"/>
    <w:rsid w:val="00E63FDA"/>
    <w:rsid w:val="00E66460"/>
    <w:rsid w:val="00E67AF4"/>
    <w:rsid w:val="00E76D2D"/>
    <w:rsid w:val="00E822D7"/>
    <w:rsid w:val="00E82A74"/>
    <w:rsid w:val="00E85FA7"/>
    <w:rsid w:val="00E86F83"/>
    <w:rsid w:val="00E9208F"/>
    <w:rsid w:val="00E95915"/>
    <w:rsid w:val="00E961B5"/>
    <w:rsid w:val="00EA049F"/>
    <w:rsid w:val="00EA7643"/>
    <w:rsid w:val="00EB3FE1"/>
    <w:rsid w:val="00EB6564"/>
    <w:rsid w:val="00EB752E"/>
    <w:rsid w:val="00EB7D74"/>
    <w:rsid w:val="00EC236A"/>
    <w:rsid w:val="00EC47D5"/>
    <w:rsid w:val="00EC5420"/>
    <w:rsid w:val="00ED7922"/>
    <w:rsid w:val="00EE0F38"/>
    <w:rsid w:val="00EE6A44"/>
    <w:rsid w:val="00EF3A9E"/>
    <w:rsid w:val="00EF48E0"/>
    <w:rsid w:val="00EF5D46"/>
    <w:rsid w:val="00EF6256"/>
    <w:rsid w:val="00F00D39"/>
    <w:rsid w:val="00F05D85"/>
    <w:rsid w:val="00F1224C"/>
    <w:rsid w:val="00F145C1"/>
    <w:rsid w:val="00F14A2F"/>
    <w:rsid w:val="00F204DB"/>
    <w:rsid w:val="00F21206"/>
    <w:rsid w:val="00F22066"/>
    <w:rsid w:val="00F243C0"/>
    <w:rsid w:val="00F24C8D"/>
    <w:rsid w:val="00F24F2E"/>
    <w:rsid w:val="00F264BD"/>
    <w:rsid w:val="00F327B0"/>
    <w:rsid w:val="00F3393F"/>
    <w:rsid w:val="00F35430"/>
    <w:rsid w:val="00F40EC2"/>
    <w:rsid w:val="00F475D2"/>
    <w:rsid w:val="00F539E2"/>
    <w:rsid w:val="00F54694"/>
    <w:rsid w:val="00F546B6"/>
    <w:rsid w:val="00F55C23"/>
    <w:rsid w:val="00F65649"/>
    <w:rsid w:val="00F716D7"/>
    <w:rsid w:val="00F750B5"/>
    <w:rsid w:val="00F75826"/>
    <w:rsid w:val="00F81A2D"/>
    <w:rsid w:val="00F8688D"/>
    <w:rsid w:val="00F944DE"/>
    <w:rsid w:val="00FA6215"/>
    <w:rsid w:val="00FA70A1"/>
    <w:rsid w:val="00FB5373"/>
    <w:rsid w:val="00FB57C3"/>
    <w:rsid w:val="00FB5F4D"/>
    <w:rsid w:val="00FC0C39"/>
    <w:rsid w:val="00FC1391"/>
    <w:rsid w:val="00FC22DA"/>
    <w:rsid w:val="00FC3309"/>
    <w:rsid w:val="00FC4626"/>
    <w:rsid w:val="00FD27F5"/>
    <w:rsid w:val="00FE5308"/>
    <w:rsid w:val="00FE7392"/>
    <w:rsid w:val="00FF04C9"/>
    <w:rsid w:val="00FF4C67"/>
    <w:rsid w:val="00FF60B6"/>
    <w:rsid w:val="00FF7A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4A3"/>
    <w:pPr>
      <w:spacing w:after="120" w:line="280" w:lineRule="atLeast"/>
      <w:jc w:val="both"/>
    </w:pPr>
    <w:rPr>
      <w:rFonts w:ascii="Garamond" w:hAnsi="Garamond"/>
      <w:sz w:val="24"/>
      <w:lang w:eastAsia="en-US"/>
    </w:rPr>
  </w:style>
  <w:style w:type="paragraph" w:styleId="Heading1">
    <w:name w:val="heading 1"/>
    <w:next w:val="Normal"/>
    <w:qFormat/>
    <w:rsid w:val="002C4796"/>
    <w:pPr>
      <w:keepNext/>
      <w:spacing w:after="240" w:line="470" w:lineRule="exact"/>
      <w:jc w:val="center"/>
      <w:outlineLvl w:val="0"/>
    </w:pPr>
    <w:rPr>
      <w:rFonts w:ascii="Arial" w:hAnsi="Arial"/>
      <w:b/>
      <w:sz w:val="36"/>
      <w:lang w:eastAsia="en-US"/>
    </w:rPr>
  </w:style>
  <w:style w:type="paragraph" w:styleId="Heading2">
    <w:name w:val="heading 2"/>
    <w:next w:val="Normal"/>
    <w:qFormat/>
    <w:rsid w:val="002C4796"/>
    <w:pPr>
      <w:keepNext/>
      <w:spacing w:before="240" w:after="140" w:line="350" w:lineRule="exact"/>
      <w:outlineLvl w:val="1"/>
    </w:pPr>
    <w:rPr>
      <w:rFonts w:ascii="Arial" w:hAnsi="Arial"/>
      <w:b/>
      <w:sz w:val="28"/>
      <w:lang w:eastAsia="en-US"/>
    </w:rPr>
  </w:style>
  <w:style w:type="paragraph" w:styleId="Heading3">
    <w:name w:val="heading 3"/>
    <w:next w:val="Normal"/>
    <w:qFormat/>
    <w:rsid w:val="002C4796"/>
    <w:pPr>
      <w:keepNext/>
      <w:spacing w:before="180" w:after="100" w:line="300" w:lineRule="exact"/>
      <w:outlineLvl w:val="2"/>
    </w:pPr>
    <w:rPr>
      <w:rFonts w:ascii="Arial" w:hAnsi="Arial"/>
      <w:b/>
      <w:sz w:val="24"/>
      <w:lang w:eastAsia="en-US"/>
    </w:rPr>
  </w:style>
  <w:style w:type="paragraph" w:styleId="Heading4">
    <w:name w:val="heading 4"/>
    <w:next w:val="Normal"/>
    <w:qFormat/>
    <w:rsid w:val="002C4796"/>
    <w:pPr>
      <w:keepNext/>
      <w:spacing w:before="100" w:after="20" w:line="250" w:lineRule="exact"/>
      <w:outlineLvl w:val="3"/>
    </w:pPr>
    <w:rPr>
      <w:rFonts w:ascii="Arial" w:hAnsi="Arial"/>
      <w:b/>
      <w:lang w:eastAsia="en-US"/>
    </w:rPr>
  </w:style>
  <w:style w:type="paragraph" w:styleId="Heading5">
    <w:name w:val="heading 5"/>
    <w:next w:val="Normal"/>
    <w:qFormat/>
    <w:rsid w:val="002C4796"/>
    <w:pPr>
      <w:keepNext/>
      <w:spacing w:before="60" w:after="20" w:line="250" w:lineRule="exact"/>
      <w:outlineLvl w:val="4"/>
    </w:pPr>
    <w:rPr>
      <w:rFonts w:ascii="Arial" w:hAnsi="Arial"/>
      <w:i/>
      <w:lang w:eastAsia="en-US"/>
    </w:rPr>
  </w:style>
  <w:style w:type="paragraph" w:styleId="Heading6">
    <w:name w:val="heading 6"/>
    <w:basedOn w:val="Normal"/>
    <w:next w:val="Normal"/>
    <w:qFormat/>
    <w:rsid w:val="002C4796"/>
    <w:pPr>
      <w:keepNext/>
      <w:spacing w:before="60" w:after="20" w:line="250" w:lineRule="atLeast"/>
      <w:jc w:val="left"/>
      <w:outlineLvl w:val="5"/>
    </w:pPr>
    <w:rPr>
      <w:b/>
      <w:sz w:val="20"/>
    </w:rPr>
  </w:style>
  <w:style w:type="paragraph" w:styleId="Heading7">
    <w:name w:val="heading 7"/>
    <w:basedOn w:val="Normal"/>
    <w:next w:val="Normal"/>
    <w:qFormat/>
    <w:rsid w:val="002C4796"/>
    <w:pPr>
      <w:keepNext/>
      <w:outlineLvl w:val="6"/>
    </w:pPr>
    <w:rPr>
      <w:b/>
    </w:rPr>
  </w:style>
  <w:style w:type="paragraph" w:styleId="Heading8">
    <w:name w:val="heading 8"/>
    <w:qFormat/>
    <w:rsid w:val="002C4796"/>
    <w:pPr>
      <w:spacing w:after="240" w:line="260" w:lineRule="atLeast"/>
      <w:jc w:val="center"/>
      <w:outlineLvl w:val="7"/>
    </w:pPr>
    <w:rPr>
      <w:rFonts w:ascii="Arial" w:hAnsi="Arial"/>
      <w:lang w:eastAsia="en-US"/>
    </w:rPr>
  </w:style>
  <w:style w:type="paragraph" w:styleId="Heading9">
    <w:name w:val="heading 9"/>
    <w:qFormat/>
    <w:rsid w:val="002C4796"/>
    <w:pPr>
      <w:keepNext/>
      <w:spacing w:before="120" w:after="120" w:line="260" w:lineRule="atLeast"/>
      <w:outlineLvl w:val="8"/>
    </w:pPr>
    <w:rPr>
      <w:rFonts w:ascii="Arial" w:hAnsi="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uiPriority w:val="39"/>
    <w:rsid w:val="002C4796"/>
    <w:pPr>
      <w:tabs>
        <w:tab w:val="left" w:pos="360"/>
        <w:tab w:val="right" w:pos="8306"/>
      </w:tabs>
      <w:spacing w:before="240" w:after="60" w:line="300" w:lineRule="atLeast"/>
      <w:ind w:left="360" w:right="1080" w:hanging="360"/>
    </w:pPr>
    <w:rPr>
      <w:rFonts w:ascii="Arial" w:hAnsi="Arial"/>
      <w:b/>
      <w:sz w:val="24"/>
      <w:lang w:eastAsia="en-US"/>
    </w:rPr>
  </w:style>
  <w:style w:type="paragraph" w:styleId="TOC4">
    <w:name w:val="toc 4"/>
    <w:basedOn w:val="TOC1"/>
    <w:semiHidden/>
    <w:rsid w:val="002C4796"/>
    <w:pPr>
      <w:spacing w:before="60" w:line="260" w:lineRule="atLeast"/>
      <w:ind w:left="1440" w:firstLine="0"/>
    </w:pPr>
    <w:rPr>
      <w:b w:val="0"/>
      <w:i/>
      <w:sz w:val="20"/>
    </w:rPr>
  </w:style>
  <w:style w:type="paragraph" w:styleId="TOC3">
    <w:name w:val="toc 3"/>
    <w:basedOn w:val="TOC1"/>
    <w:uiPriority w:val="39"/>
    <w:rsid w:val="002C4796"/>
    <w:pPr>
      <w:tabs>
        <w:tab w:val="left" w:pos="1500"/>
      </w:tabs>
      <w:spacing w:before="60" w:line="280" w:lineRule="atLeast"/>
      <w:ind w:left="1500" w:hanging="660"/>
    </w:pPr>
    <w:rPr>
      <w:b w:val="0"/>
      <w:sz w:val="20"/>
    </w:rPr>
  </w:style>
  <w:style w:type="paragraph" w:styleId="TOC2">
    <w:name w:val="toc 2"/>
    <w:basedOn w:val="TOC1"/>
    <w:uiPriority w:val="39"/>
    <w:rsid w:val="002C4796"/>
    <w:pPr>
      <w:spacing w:before="60" w:line="280" w:lineRule="atLeast"/>
      <w:ind w:left="840" w:hanging="480"/>
    </w:pPr>
    <w:rPr>
      <w:b w:val="0"/>
      <w:sz w:val="22"/>
    </w:rPr>
  </w:style>
  <w:style w:type="paragraph" w:styleId="Footer">
    <w:name w:val="footer"/>
    <w:rsid w:val="002C4796"/>
    <w:pPr>
      <w:jc w:val="center"/>
    </w:pPr>
    <w:rPr>
      <w:rFonts w:ascii="Arial" w:hAnsi="Arial"/>
      <w:lang w:eastAsia="en-US"/>
    </w:rPr>
  </w:style>
  <w:style w:type="paragraph" w:styleId="Header">
    <w:name w:val="header"/>
    <w:rsid w:val="002C4796"/>
    <w:rPr>
      <w:lang w:eastAsia="en-US"/>
    </w:rPr>
  </w:style>
  <w:style w:type="paragraph" w:styleId="NormalIndent">
    <w:name w:val="Normal Indent"/>
    <w:basedOn w:val="Normal"/>
    <w:rsid w:val="002C4796"/>
    <w:pPr>
      <w:ind w:firstLine="360"/>
    </w:pPr>
  </w:style>
  <w:style w:type="paragraph" w:customStyle="1" w:styleId="Normallist1">
    <w:name w:val="Normal list 1"/>
    <w:basedOn w:val="Normal"/>
    <w:rsid w:val="002C4796"/>
    <w:pPr>
      <w:ind w:left="360" w:hanging="360"/>
    </w:pPr>
  </w:style>
  <w:style w:type="paragraph" w:customStyle="1" w:styleId="Normalno">
    <w:name w:val="Normal no #"/>
    <w:basedOn w:val="Normal"/>
    <w:rsid w:val="002C4796"/>
    <w:pPr>
      <w:spacing w:after="0"/>
    </w:pPr>
  </w:style>
  <w:style w:type="paragraph" w:customStyle="1" w:styleId="byline">
    <w:name w:val="byline"/>
    <w:next w:val="Normal"/>
    <w:rsid w:val="002C4796"/>
    <w:pPr>
      <w:spacing w:before="240" w:after="60"/>
    </w:pPr>
    <w:rPr>
      <w:rFonts w:ascii="Arial" w:hAnsi="Arial"/>
      <w:b/>
      <w:lang w:eastAsia="en-US"/>
    </w:rPr>
  </w:style>
  <w:style w:type="paragraph" w:customStyle="1" w:styleId="Normallist2">
    <w:name w:val="Normal list 2"/>
    <w:basedOn w:val="Normal"/>
    <w:rsid w:val="002C4796"/>
    <w:pPr>
      <w:ind w:left="720" w:hanging="360"/>
    </w:pPr>
  </w:style>
  <w:style w:type="paragraph" w:customStyle="1" w:styleId="subhead">
    <w:name w:val="subhead"/>
    <w:next w:val="Normal"/>
    <w:rsid w:val="002C4796"/>
    <w:pPr>
      <w:spacing w:before="140" w:after="300"/>
      <w:jc w:val="center"/>
    </w:pPr>
    <w:rPr>
      <w:rFonts w:ascii="Arial" w:hAnsi="Arial"/>
      <w:sz w:val="30"/>
      <w:lang w:eastAsia="en-US"/>
    </w:rPr>
  </w:style>
  <w:style w:type="paragraph" w:customStyle="1" w:styleId="figurecaption">
    <w:name w:val="figure caption"/>
    <w:next w:val="Normal"/>
    <w:rsid w:val="002C4796"/>
    <w:pPr>
      <w:spacing w:after="240" w:line="240" w:lineRule="atLeast"/>
      <w:jc w:val="center"/>
    </w:pPr>
    <w:rPr>
      <w:rFonts w:ascii="Arial" w:hAnsi="Arial"/>
      <w:sz w:val="18"/>
      <w:lang w:eastAsia="en-US"/>
    </w:rPr>
  </w:style>
  <w:style w:type="paragraph" w:customStyle="1" w:styleId="tablecaption">
    <w:name w:val="table caption"/>
    <w:next w:val="Normal"/>
    <w:rsid w:val="002C4796"/>
    <w:pPr>
      <w:keepNext/>
      <w:spacing w:before="120" w:after="120" w:line="240" w:lineRule="atLeast"/>
    </w:pPr>
    <w:rPr>
      <w:rFonts w:ascii="Arial" w:hAnsi="Arial"/>
      <w:sz w:val="18"/>
      <w:lang w:eastAsia="en-US"/>
    </w:rPr>
  </w:style>
  <w:style w:type="paragraph" w:customStyle="1" w:styleId="table1">
    <w:name w:val="table 1"/>
    <w:rsid w:val="002C4796"/>
    <w:pPr>
      <w:spacing w:before="60" w:after="60" w:line="200" w:lineRule="atLeast"/>
    </w:pPr>
    <w:rPr>
      <w:rFonts w:ascii="Arial" w:hAnsi="Arial"/>
      <w:sz w:val="16"/>
      <w:lang w:eastAsia="en-US"/>
    </w:rPr>
  </w:style>
  <w:style w:type="paragraph" w:customStyle="1" w:styleId="table1list">
    <w:name w:val="table 1 list"/>
    <w:basedOn w:val="table1"/>
    <w:rsid w:val="002C4796"/>
    <w:pPr>
      <w:ind w:left="240" w:hanging="240"/>
    </w:pPr>
  </w:style>
  <w:style w:type="paragraph" w:customStyle="1" w:styleId="tablenote">
    <w:name w:val="table note"/>
    <w:basedOn w:val="table1"/>
    <w:rsid w:val="002C4796"/>
    <w:pPr>
      <w:tabs>
        <w:tab w:val="left" w:pos="240"/>
      </w:tabs>
      <w:spacing w:after="180" w:line="180" w:lineRule="atLeast"/>
      <w:ind w:left="238" w:hanging="238"/>
    </w:pPr>
    <w:rPr>
      <w:sz w:val="14"/>
    </w:rPr>
  </w:style>
  <w:style w:type="paragraph" w:customStyle="1" w:styleId="bulletlist1">
    <w:name w:val="bullet list 1"/>
    <w:basedOn w:val="Normal"/>
    <w:rsid w:val="002C4796"/>
    <w:pPr>
      <w:numPr>
        <w:numId w:val="1"/>
      </w:numPr>
      <w:tabs>
        <w:tab w:val="clear" w:pos="720"/>
      </w:tabs>
      <w:ind w:left="357" w:hanging="357"/>
    </w:pPr>
  </w:style>
  <w:style w:type="paragraph" w:customStyle="1" w:styleId="4point">
    <w:name w:val="4 point #"/>
    <w:rsid w:val="002C4796"/>
    <w:rPr>
      <w:sz w:val="8"/>
      <w:lang w:eastAsia="en-US"/>
    </w:rPr>
  </w:style>
  <w:style w:type="paragraph" w:customStyle="1" w:styleId="referencelist1">
    <w:name w:val="reference list 1"/>
    <w:link w:val="referencelist1Char"/>
    <w:uiPriority w:val="2"/>
    <w:qFormat/>
    <w:rsid w:val="002C4796"/>
    <w:pPr>
      <w:spacing w:after="120" w:line="280" w:lineRule="atLeast"/>
      <w:ind w:left="360" w:hanging="360"/>
      <w:jc w:val="both"/>
    </w:pPr>
    <w:rPr>
      <w:sz w:val="22"/>
      <w:lang w:eastAsia="en-US"/>
    </w:rPr>
  </w:style>
  <w:style w:type="paragraph" w:customStyle="1" w:styleId="table2">
    <w:name w:val="table 2"/>
    <w:basedOn w:val="table1"/>
    <w:rsid w:val="002C4796"/>
    <w:pPr>
      <w:spacing w:before="20" w:after="20"/>
    </w:pPr>
  </w:style>
  <w:style w:type="paragraph" w:customStyle="1" w:styleId="equation1">
    <w:name w:val="equation 1"/>
    <w:basedOn w:val="Normal"/>
    <w:rsid w:val="002C4796"/>
    <w:pPr>
      <w:tabs>
        <w:tab w:val="right" w:pos="5280"/>
      </w:tabs>
      <w:spacing w:before="40" w:after="140"/>
      <w:ind w:left="360"/>
      <w:jc w:val="left"/>
    </w:pPr>
    <w:rPr>
      <w:rFonts w:ascii="Arial" w:hAnsi="Arial"/>
      <w:sz w:val="20"/>
    </w:rPr>
  </w:style>
  <w:style w:type="paragraph" w:customStyle="1" w:styleId="verso1">
    <w:name w:val="verso 1"/>
    <w:rsid w:val="002C4796"/>
    <w:pPr>
      <w:spacing w:after="80" w:line="220" w:lineRule="atLeast"/>
      <w:ind w:left="240" w:right="720"/>
    </w:pPr>
    <w:rPr>
      <w:rFonts w:ascii="Arial" w:hAnsi="Arial"/>
      <w:sz w:val="18"/>
      <w:lang w:eastAsia="en-US"/>
    </w:rPr>
  </w:style>
  <w:style w:type="paragraph" w:customStyle="1" w:styleId="figcapfullpage">
    <w:name w:val="figcap fullpage"/>
    <w:basedOn w:val="figurecaption"/>
    <w:rsid w:val="002C4796"/>
    <w:pPr>
      <w:framePr w:w="8400" w:wrap="notBeside" w:hAnchor="page" w:xAlign="center" w:yAlign="bottom"/>
      <w:spacing w:before="240" w:after="80"/>
    </w:pPr>
  </w:style>
  <w:style w:type="paragraph" w:styleId="FootnoteText">
    <w:name w:val="footnote text"/>
    <w:basedOn w:val="Normal"/>
    <w:semiHidden/>
    <w:rsid w:val="002C4796"/>
    <w:pPr>
      <w:tabs>
        <w:tab w:val="left" w:pos="240"/>
      </w:tabs>
      <w:spacing w:after="80" w:line="240" w:lineRule="atLeast"/>
      <w:ind w:left="240" w:hanging="240"/>
    </w:pPr>
    <w:rPr>
      <w:sz w:val="18"/>
    </w:rPr>
  </w:style>
  <w:style w:type="paragraph" w:styleId="Bibliography">
    <w:name w:val="Bibliography"/>
    <w:basedOn w:val="referencelist1"/>
    <w:rsid w:val="002C4796"/>
  </w:style>
  <w:style w:type="paragraph" w:customStyle="1" w:styleId="address">
    <w:name w:val="address"/>
    <w:basedOn w:val="Heading4"/>
    <w:rsid w:val="002C4796"/>
    <w:pPr>
      <w:spacing w:after="800"/>
      <w:jc w:val="center"/>
    </w:pPr>
    <w:rPr>
      <w:b w:val="0"/>
    </w:rPr>
  </w:style>
  <w:style w:type="paragraph" w:customStyle="1" w:styleId="Normallist3">
    <w:name w:val="Normal list 3"/>
    <w:basedOn w:val="Normallist2"/>
    <w:rsid w:val="002C4796"/>
    <w:pPr>
      <w:ind w:left="1320"/>
    </w:pPr>
  </w:style>
  <w:style w:type="paragraph" w:customStyle="1" w:styleId="Quote1">
    <w:name w:val="Quote1"/>
    <w:basedOn w:val="Normal"/>
    <w:rsid w:val="002C4796"/>
    <w:pPr>
      <w:spacing w:line="260" w:lineRule="atLeast"/>
      <w:ind w:left="360"/>
    </w:pPr>
    <w:rPr>
      <w:sz w:val="20"/>
    </w:rPr>
  </w:style>
  <w:style w:type="paragraph" w:customStyle="1" w:styleId="bulletlist2">
    <w:name w:val="bullet list 2"/>
    <w:basedOn w:val="Normal"/>
    <w:rsid w:val="002C4796"/>
    <w:pPr>
      <w:numPr>
        <w:ilvl w:val="1"/>
        <w:numId w:val="2"/>
      </w:numPr>
      <w:ind w:left="714" w:hanging="357"/>
    </w:pPr>
  </w:style>
  <w:style w:type="paragraph" w:customStyle="1" w:styleId="landscape">
    <w:name w:val="landscape#"/>
    <w:basedOn w:val="Normal"/>
    <w:rsid w:val="002C4796"/>
    <w:pPr>
      <w:framePr w:w="567" w:h="1134" w:hSpace="181" w:wrap="around" w:vAnchor="page" w:hAnchor="page" w:x="568" w:yAlign="center"/>
      <w:shd w:val="solid" w:color="FFFFFF" w:fill="FFFFFF"/>
      <w:jc w:val="center"/>
      <w:textDirection w:val="tbRl"/>
    </w:pPr>
    <w:rPr>
      <w:rFonts w:ascii="Arial" w:hAnsi="Arial"/>
      <w:sz w:val="20"/>
    </w:rPr>
  </w:style>
  <w:style w:type="paragraph" w:styleId="Title">
    <w:name w:val="Title"/>
    <w:basedOn w:val="Normal"/>
    <w:qFormat/>
    <w:rsid w:val="002C4796"/>
    <w:pPr>
      <w:pBdr>
        <w:top w:val="single" w:sz="12" w:space="1" w:color="auto"/>
        <w:bottom w:val="single" w:sz="12" w:space="1" w:color="auto"/>
      </w:pBdr>
      <w:spacing w:before="240" w:after="240"/>
      <w:jc w:val="center"/>
    </w:pPr>
    <w:rPr>
      <w:rFonts w:ascii="Arial" w:hAnsi="Arial"/>
      <w:b/>
      <w:sz w:val="30"/>
    </w:rPr>
  </w:style>
  <w:style w:type="paragraph" w:customStyle="1" w:styleId="authors">
    <w:name w:val="authors"/>
    <w:basedOn w:val="Heading3"/>
    <w:rsid w:val="002C4796"/>
    <w:pPr>
      <w:jc w:val="center"/>
    </w:pPr>
  </w:style>
  <w:style w:type="paragraph" w:customStyle="1" w:styleId="numberlist1">
    <w:name w:val="number list 1"/>
    <w:basedOn w:val="Normal"/>
    <w:link w:val="numberlist1Char"/>
    <w:rsid w:val="002C4796"/>
    <w:pPr>
      <w:numPr>
        <w:numId w:val="3"/>
      </w:numPr>
      <w:tabs>
        <w:tab w:val="left" w:pos="357"/>
      </w:tabs>
    </w:pPr>
  </w:style>
  <w:style w:type="paragraph" w:customStyle="1" w:styleId="platecaption">
    <w:name w:val="plate caption"/>
    <w:basedOn w:val="figurecaption"/>
    <w:rsid w:val="002C4796"/>
  </w:style>
  <w:style w:type="paragraph" w:customStyle="1" w:styleId="division">
    <w:name w:val="division"/>
    <w:basedOn w:val="Caption"/>
    <w:rsid w:val="002C4796"/>
    <w:pPr>
      <w:spacing w:line="240" w:lineRule="auto"/>
      <w:ind w:left="2160"/>
    </w:pPr>
    <w:rPr>
      <w:b w:val="0"/>
      <w:bCs w:val="0"/>
      <w:sz w:val="30"/>
      <w:u w:val="none"/>
    </w:rPr>
  </w:style>
  <w:style w:type="paragraph" w:styleId="Caption">
    <w:name w:val="caption"/>
    <w:basedOn w:val="Normal"/>
    <w:next w:val="Normal"/>
    <w:qFormat/>
    <w:rsid w:val="002C4796"/>
    <w:rPr>
      <w:b/>
      <w:bCs/>
      <w:u w:val="single"/>
    </w:rPr>
  </w:style>
  <w:style w:type="paragraph" w:styleId="BodyText">
    <w:name w:val="Body Text"/>
    <w:basedOn w:val="Normal"/>
    <w:rsid w:val="002C4796"/>
    <w:pPr>
      <w:spacing w:after="0" w:line="240" w:lineRule="auto"/>
      <w:jc w:val="center"/>
    </w:pPr>
    <w:rPr>
      <w:rFonts w:cs="Arial"/>
      <w:b/>
      <w:szCs w:val="28"/>
    </w:rPr>
  </w:style>
  <w:style w:type="paragraph" w:styleId="BodyText2">
    <w:name w:val="Body Text 2"/>
    <w:basedOn w:val="Normal"/>
    <w:rsid w:val="002C4796"/>
    <w:pPr>
      <w:spacing w:after="0" w:line="240" w:lineRule="auto"/>
      <w:jc w:val="left"/>
    </w:pPr>
    <w:rPr>
      <w:szCs w:val="24"/>
      <w:lang w:val="en-US"/>
    </w:rPr>
  </w:style>
  <w:style w:type="paragraph" w:styleId="BodyText3">
    <w:name w:val="Body Text 3"/>
    <w:basedOn w:val="Normal"/>
    <w:rsid w:val="00AA64A3"/>
    <w:pPr>
      <w:jc w:val="center"/>
    </w:pPr>
  </w:style>
  <w:style w:type="paragraph" w:styleId="TOC5">
    <w:name w:val="toc 5"/>
    <w:basedOn w:val="Normal"/>
    <w:next w:val="Normal"/>
    <w:autoRedefine/>
    <w:semiHidden/>
    <w:rsid w:val="002C4796"/>
    <w:pPr>
      <w:ind w:left="880"/>
    </w:pPr>
  </w:style>
  <w:style w:type="paragraph" w:styleId="TOC6">
    <w:name w:val="toc 6"/>
    <w:basedOn w:val="Normal"/>
    <w:next w:val="Normal"/>
    <w:autoRedefine/>
    <w:semiHidden/>
    <w:rsid w:val="002C4796"/>
    <w:pPr>
      <w:ind w:left="1100"/>
    </w:pPr>
  </w:style>
  <w:style w:type="paragraph" w:styleId="TOC7">
    <w:name w:val="toc 7"/>
    <w:basedOn w:val="Normal"/>
    <w:next w:val="Normal"/>
    <w:autoRedefine/>
    <w:semiHidden/>
    <w:rsid w:val="002C4796"/>
    <w:pPr>
      <w:ind w:left="1320"/>
    </w:pPr>
  </w:style>
  <w:style w:type="paragraph" w:styleId="TOC8">
    <w:name w:val="toc 8"/>
    <w:basedOn w:val="Normal"/>
    <w:next w:val="Normal"/>
    <w:autoRedefine/>
    <w:semiHidden/>
    <w:rsid w:val="002C4796"/>
    <w:pPr>
      <w:ind w:left="1540"/>
    </w:pPr>
  </w:style>
  <w:style w:type="paragraph" w:styleId="TOC9">
    <w:name w:val="toc 9"/>
    <w:basedOn w:val="Normal"/>
    <w:next w:val="Normal"/>
    <w:autoRedefine/>
    <w:semiHidden/>
    <w:rsid w:val="002C4796"/>
    <w:pPr>
      <w:ind w:left="1760"/>
    </w:pPr>
  </w:style>
  <w:style w:type="character" w:styleId="Hyperlink">
    <w:name w:val="Hyperlink"/>
    <w:basedOn w:val="DefaultParagraphFont"/>
    <w:uiPriority w:val="99"/>
    <w:rsid w:val="002C4796"/>
    <w:rPr>
      <w:color w:val="0000FF"/>
      <w:u w:val="single"/>
    </w:rPr>
  </w:style>
  <w:style w:type="paragraph" w:styleId="BlockText">
    <w:name w:val="Block Text"/>
    <w:basedOn w:val="Normal"/>
    <w:rsid w:val="002C4796"/>
    <w:pPr>
      <w:ind w:left="1440" w:right="1440"/>
    </w:pPr>
  </w:style>
  <w:style w:type="paragraph" w:styleId="BodyTextFirstIndent">
    <w:name w:val="Body Text First Indent"/>
    <w:basedOn w:val="BodyText"/>
    <w:rsid w:val="002C4796"/>
    <w:pPr>
      <w:spacing w:after="120" w:line="280" w:lineRule="atLeast"/>
      <w:ind w:firstLine="210"/>
      <w:jc w:val="both"/>
    </w:pPr>
    <w:rPr>
      <w:rFonts w:cs="Times New Roman"/>
      <w:b w:val="0"/>
      <w:sz w:val="22"/>
      <w:szCs w:val="20"/>
    </w:rPr>
  </w:style>
  <w:style w:type="paragraph" w:styleId="BodyTextIndent">
    <w:name w:val="Body Text Indent"/>
    <w:basedOn w:val="Normal"/>
    <w:rsid w:val="002C4796"/>
    <w:pPr>
      <w:ind w:left="283"/>
    </w:pPr>
  </w:style>
  <w:style w:type="paragraph" w:styleId="BodyTextFirstIndent2">
    <w:name w:val="Body Text First Indent 2"/>
    <w:basedOn w:val="BodyTextIndent"/>
    <w:rsid w:val="002C4796"/>
    <w:pPr>
      <w:ind w:firstLine="210"/>
    </w:pPr>
  </w:style>
  <w:style w:type="paragraph" w:styleId="BodyTextIndent2">
    <w:name w:val="Body Text Indent 2"/>
    <w:basedOn w:val="Normal"/>
    <w:rsid w:val="002C4796"/>
    <w:pPr>
      <w:spacing w:line="480" w:lineRule="auto"/>
      <w:ind w:left="283"/>
    </w:pPr>
  </w:style>
  <w:style w:type="paragraph" w:styleId="BodyTextIndent3">
    <w:name w:val="Body Text Indent 3"/>
    <w:basedOn w:val="Normal"/>
    <w:rsid w:val="002C4796"/>
    <w:pPr>
      <w:ind w:left="283"/>
    </w:pPr>
    <w:rPr>
      <w:sz w:val="16"/>
      <w:szCs w:val="16"/>
    </w:rPr>
  </w:style>
  <w:style w:type="paragraph" w:styleId="Closing">
    <w:name w:val="Closing"/>
    <w:basedOn w:val="Normal"/>
    <w:rsid w:val="002C4796"/>
    <w:pPr>
      <w:ind w:left="4252"/>
    </w:pPr>
  </w:style>
  <w:style w:type="paragraph" w:styleId="CommentText">
    <w:name w:val="annotation text"/>
    <w:basedOn w:val="Normal"/>
    <w:semiHidden/>
    <w:rsid w:val="002C4796"/>
    <w:rPr>
      <w:sz w:val="20"/>
    </w:rPr>
  </w:style>
  <w:style w:type="paragraph" w:styleId="Date">
    <w:name w:val="Date"/>
    <w:basedOn w:val="Normal"/>
    <w:next w:val="Normal"/>
    <w:rsid w:val="002C4796"/>
  </w:style>
  <w:style w:type="paragraph" w:styleId="DocumentMap">
    <w:name w:val="Document Map"/>
    <w:basedOn w:val="Normal"/>
    <w:semiHidden/>
    <w:rsid w:val="002C4796"/>
    <w:pPr>
      <w:shd w:val="clear" w:color="auto" w:fill="000080"/>
    </w:pPr>
    <w:rPr>
      <w:rFonts w:ascii="Tahoma" w:hAnsi="Tahoma" w:cs="Tahoma"/>
    </w:rPr>
  </w:style>
  <w:style w:type="paragraph" w:styleId="E-mailSignature">
    <w:name w:val="E-mail Signature"/>
    <w:basedOn w:val="Normal"/>
    <w:rsid w:val="002C4796"/>
  </w:style>
  <w:style w:type="paragraph" w:styleId="EndnoteText">
    <w:name w:val="endnote text"/>
    <w:basedOn w:val="Normal"/>
    <w:semiHidden/>
    <w:rsid w:val="002C4796"/>
    <w:rPr>
      <w:sz w:val="20"/>
    </w:rPr>
  </w:style>
  <w:style w:type="paragraph" w:styleId="EnvelopeAddress">
    <w:name w:val="envelope address"/>
    <w:basedOn w:val="Normal"/>
    <w:rsid w:val="002C4796"/>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2C4796"/>
    <w:rPr>
      <w:rFonts w:ascii="Arial" w:hAnsi="Arial" w:cs="Arial"/>
      <w:sz w:val="20"/>
    </w:rPr>
  </w:style>
  <w:style w:type="paragraph" w:styleId="HTMLAddress">
    <w:name w:val="HTML Address"/>
    <w:basedOn w:val="Normal"/>
    <w:rsid w:val="002C4796"/>
    <w:rPr>
      <w:i/>
      <w:iCs/>
    </w:rPr>
  </w:style>
  <w:style w:type="paragraph" w:styleId="HTMLPreformatted">
    <w:name w:val="HTML Preformatted"/>
    <w:basedOn w:val="Normal"/>
    <w:rsid w:val="002C4796"/>
    <w:rPr>
      <w:rFonts w:ascii="Courier New" w:hAnsi="Courier New" w:cs="Courier New"/>
      <w:sz w:val="20"/>
    </w:rPr>
  </w:style>
  <w:style w:type="paragraph" w:styleId="Index1">
    <w:name w:val="index 1"/>
    <w:basedOn w:val="Normal"/>
    <w:next w:val="Normal"/>
    <w:autoRedefine/>
    <w:semiHidden/>
    <w:rsid w:val="002C4796"/>
    <w:pPr>
      <w:ind w:left="220" w:hanging="220"/>
    </w:pPr>
  </w:style>
  <w:style w:type="paragraph" w:styleId="Index2">
    <w:name w:val="index 2"/>
    <w:basedOn w:val="Normal"/>
    <w:next w:val="Normal"/>
    <w:autoRedefine/>
    <w:semiHidden/>
    <w:rsid w:val="002C4796"/>
    <w:pPr>
      <w:ind w:left="440" w:hanging="220"/>
    </w:pPr>
  </w:style>
  <w:style w:type="paragraph" w:styleId="Index3">
    <w:name w:val="index 3"/>
    <w:basedOn w:val="Normal"/>
    <w:next w:val="Normal"/>
    <w:autoRedefine/>
    <w:semiHidden/>
    <w:rsid w:val="002C4796"/>
    <w:pPr>
      <w:ind w:left="660" w:hanging="220"/>
    </w:pPr>
  </w:style>
  <w:style w:type="paragraph" w:styleId="Index4">
    <w:name w:val="index 4"/>
    <w:basedOn w:val="Normal"/>
    <w:next w:val="Normal"/>
    <w:autoRedefine/>
    <w:semiHidden/>
    <w:rsid w:val="002C4796"/>
    <w:pPr>
      <w:ind w:left="880" w:hanging="220"/>
    </w:pPr>
  </w:style>
  <w:style w:type="paragraph" w:styleId="Index5">
    <w:name w:val="index 5"/>
    <w:basedOn w:val="Normal"/>
    <w:next w:val="Normal"/>
    <w:autoRedefine/>
    <w:semiHidden/>
    <w:rsid w:val="002C4796"/>
    <w:pPr>
      <w:ind w:left="1100" w:hanging="220"/>
    </w:pPr>
  </w:style>
  <w:style w:type="paragraph" w:styleId="Index6">
    <w:name w:val="index 6"/>
    <w:basedOn w:val="Normal"/>
    <w:next w:val="Normal"/>
    <w:autoRedefine/>
    <w:semiHidden/>
    <w:rsid w:val="002C4796"/>
    <w:pPr>
      <w:ind w:left="1320" w:hanging="220"/>
    </w:pPr>
  </w:style>
  <w:style w:type="paragraph" w:styleId="Index7">
    <w:name w:val="index 7"/>
    <w:basedOn w:val="Normal"/>
    <w:next w:val="Normal"/>
    <w:autoRedefine/>
    <w:semiHidden/>
    <w:rsid w:val="002C4796"/>
    <w:pPr>
      <w:ind w:left="1540" w:hanging="220"/>
    </w:pPr>
  </w:style>
  <w:style w:type="paragraph" w:styleId="Index8">
    <w:name w:val="index 8"/>
    <w:basedOn w:val="Normal"/>
    <w:next w:val="Normal"/>
    <w:autoRedefine/>
    <w:semiHidden/>
    <w:rsid w:val="002C4796"/>
    <w:pPr>
      <w:ind w:left="1760" w:hanging="220"/>
    </w:pPr>
  </w:style>
  <w:style w:type="paragraph" w:styleId="Index9">
    <w:name w:val="index 9"/>
    <w:basedOn w:val="Normal"/>
    <w:next w:val="Normal"/>
    <w:autoRedefine/>
    <w:semiHidden/>
    <w:rsid w:val="002C4796"/>
    <w:pPr>
      <w:ind w:left="1980" w:hanging="220"/>
    </w:pPr>
  </w:style>
  <w:style w:type="paragraph" w:styleId="IndexHeading">
    <w:name w:val="index heading"/>
    <w:basedOn w:val="Normal"/>
    <w:next w:val="Index1"/>
    <w:semiHidden/>
    <w:rsid w:val="002C4796"/>
    <w:rPr>
      <w:rFonts w:ascii="Arial" w:hAnsi="Arial" w:cs="Arial"/>
      <w:b/>
      <w:bCs/>
    </w:rPr>
  </w:style>
  <w:style w:type="paragraph" w:styleId="List">
    <w:name w:val="List"/>
    <w:basedOn w:val="Normal"/>
    <w:rsid w:val="002C4796"/>
    <w:pPr>
      <w:ind w:left="283" w:hanging="283"/>
    </w:pPr>
  </w:style>
  <w:style w:type="paragraph" w:styleId="List2">
    <w:name w:val="List 2"/>
    <w:basedOn w:val="Normal"/>
    <w:rsid w:val="002C4796"/>
    <w:pPr>
      <w:ind w:left="566" w:hanging="283"/>
    </w:pPr>
  </w:style>
  <w:style w:type="paragraph" w:styleId="List3">
    <w:name w:val="List 3"/>
    <w:basedOn w:val="Normal"/>
    <w:rsid w:val="002C4796"/>
    <w:pPr>
      <w:ind w:left="849" w:hanging="283"/>
    </w:pPr>
  </w:style>
  <w:style w:type="paragraph" w:styleId="List4">
    <w:name w:val="List 4"/>
    <w:basedOn w:val="Normal"/>
    <w:rsid w:val="002C4796"/>
    <w:pPr>
      <w:ind w:left="1132" w:hanging="283"/>
    </w:pPr>
  </w:style>
  <w:style w:type="paragraph" w:styleId="List5">
    <w:name w:val="List 5"/>
    <w:basedOn w:val="Normal"/>
    <w:rsid w:val="002C4796"/>
    <w:pPr>
      <w:ind w:left="1415" w:hanging="283"/>
    </w:pPr>
  </w:style>
  <w:style w:type="paragraph" w:styleId="ListBullet">
    <w:name w:val="List Bullet"/>
    <w:basedOn w:val="Normal"/>
    <w:autoRedefine/>
    <w:rsid w:val="002C4796"/>
    <w:pPr>
      <w:numPr>
        <w:numId w:val="4"/>
      </w:numPr>
    </w:pPr>
  </w:style>
  <w:style w:type="paragraph" w:styleId="ListBullet2">
    <w:name w:val="List Bullet 2"/>
    <w:basedOn w:val="Normal"/>
    <w:autoRedefine/>
    <w:rsid w:val="002C4796"/>
    <w:pPr>
      <w:numPr>
        <w:numId w:val="5"/>
      </w:numPr>
    </w:pPr>
  </w:style>
  <w:style w:type="paragraph" w:styleId="ListBullet3">
    <w:name w:val="List Bullet 3"/>
    <w:basedOn w:val="Normal"/>
    <w:autoRedefine/>
    <w:rsid w:val="002C4796"/>
    <w:pPr>
      <w:numPr>
        <w:numId w:val="6"/>
      </w:numPr>
    </w:pPr>
  </w:style>
  <w:style w:type="paragraph" w:styleId="ListBullet4">
    <w:name w:val="List Bullet 4"/>
    <w:basedOn w:val="Normal"/>
    <w:autoRedefine/>
    <w:rsid w:val="002C4796"/>
    <w:pPr>
      <w:numPr>
        <w:numId w:val="7"/>
      </w:numPr>
    </w:pPr>
  </w:style>
  <w:style w:type="paragraph" w:styleId="ListBullet5">
    <w:name w:val="List Bullet 5"/>
    <w:basedOn w:val="Normal"/>
    <w:autoRedefine/>
    <w:rsid w:val="002C4796"/>
    <w:pPr>
      <w:numPr>
        <w:numId w:val="8"/>
      </w:numPr>
    </w:pPr>
  </w:style>
  <w:style w:type="paragraph" w:styleId="ListContinue">
    <w:name w:val="List Continue"/>
    <w:basedOn w:val="Normal"/>
    <w:rsid w:val="002C4796"/>
    <w:pPr>
      <w:ind w:left="283"/>
    </w:pPr>
  </w:style>
  <w:style w:type="paragraph" w:styleId="ListContinue2">
    <w:name w:val="List Continue 2"/>
    <w:basedOn w:val="Normal"/>
    <w:rsid w:val="002C4796"/>
    <w:pPr>
      <w:ind w:left="566"/>
    </w:pPr>
  </w:style>
  <w:style w:type="paragraph" w:styleId="ListContinue3">
    <w:name w:val="List Continue 3"/>
    <w:basedOn w:val="Normal"/>
    <w:rsid w:val="002C4796"/>
    <w:pPr>
      <w:ind w:left="849"/>
    </w:pPr>
  </w:style>
  <w:style w:type="paragraph" w:styleId="ListContinue4">
    <w:name w:val="List Continue 4"/>
    <w:basedOn w:val="Normal"/>
    <w:rsid w:val="002C4796"/>
    <w:pPr>
      <w:ind w:left="1132"/>
    </w:pPr>
  </w:style>
  <w:style w:type="paragraph" w:styleId="ListContinue5">
    <w:name w:val="List Continue 5"/>
    <w:basedOn w:val="Normal"/>
    <w:rsid w:val="002C4796"/>
    <w:pPr>
      <w:ind w:left="1415"/>
    </w:pPr>
  </w:style>
  <w:style w:type="paragraph" w:styleId="ListNumber">
    <w:name w:val="List Number"/>
    <w:basedOn w:val="Normal"/>
    <w:rsid w:val="002C4796"/>
    <w:pPr>
      <w:numPr>
        <w:numId w:val="9"/>
      </w:numPr>
    </w:pPr>
  </w:style>
  <w:style w:type="paragraph" w:styleId="ListNumber2">
    <w:name w:val="List Number 2"/>
    <w:basedOn w:val="Normal"/>
    <w:rsid w:val="002C4796"/>
    <w:pPr>
      <w:numPr>
        <w:numId w:val="10"/>
      </w:numPr>
    </w:pPr>
  </w:style>
  <w:style w:type="paragraph" w:styleId="ListNumber3">
    <w:name w:val="List Number 3"/>
    <w:basedOn w:val="Normal"/>
    <w:rsid w:val="002C4796"/>
    <w:pPr>
      <w:numPr>
        <w:numId w:val="11"/>
      </w:numPr>
    </w:pPr>
  </w:style>
  <w:style w:type="paragraph" w:styleId="ListNumber4">
    <w:name w:val="List Number 4"/>
    <w:basedOn w:val="Normal"/>
    <w:rsid w:val="002C4796"/>
    <w:pPr>
      <w:numPr>
        <w:numId w:val="12"/>
      </w:numPr>
    </w:pPr>
  </w:style>
  <w:style w:type="paragraph" w:styleId="ListNumber5">
    <w:name w:val="List Number 5"/>
    <w:basedOn w:val="Normal"/>
    <w:rsid w:val="002C4796"/>
    <w:pPr>
      <w:numPr>
        <w:numId w:val="13"/>
      </w:numPr>
    </w:pPr>
  </w:style>
  <w:style w:type="paragraph" w:styleId="MacroText">
    <w:name w:val="macro"/>
    <w:semiHidden/>
    <w:rsid w:val="002C4796"/>
    <w:pPr>
      <w:tabs>
        <w:tab w:val="left" w:pos="480"/>
        <w:tab w:val="left" w:pos="960"/>
        <w:tab w:val="left" w:pos="1440"/>
        <w:tab w:val="left" w:pos="1920"/>
        <w:tab w:val="left" w:pos="2400"/>
        <w:tab w:val="left" w:pos="2880"/>
        <w:tab w:val="left" w:pos="3360"/>
        <w:tab w:val="left" w:pos="3840"/>
        <w:tab w:val="left" w:pos="4320"/>
      </w:tabs>
      <w:spacing w:after="120" w:line="280" w:lineRule="atLeast"/>
      <w:jc w:val="both"/>
    </w:pPr>
    <w:rPr>
      <w:rFonts w:ascii="Courier New" w:hAnsi="Courier New" w:cs="Courier New"/>
      <w:lang w:eastAsia="en-US"/>
    </w:rPr>
  </w:style>
  <w:style w:type="paragraph" w:styleId="MessageHeader">
    <w:name w:val="Message Header"/>
    <w:basedOn w:val="Normal"/>
    <w:rsid w:val="002C479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rsid w:val="002C4796"/>
    <w:rPr>
      <w:szCs w:val="24"/>
    </w:rPr>
  </w:style>
  <w:style w:type="paragraph" w:styleId="NoteHeading">
    <w:name w:val="Note Heading"/>
    <w:basedOn w:val="Normal"/>
    <w:next w:val="Normal"/>
    <w:rsid w:val="002C4796"/>
  </w:style>
  <w:style w:type="paragraph" w:styleId="PlainText">
    <w:name w:val="Plain Text"/>
    <w:basedOn w:val="Normal"/>
    <w:rsid w:val="002C4796"/>
    <w:rPr>
      <w:rFonts w:ascii="Courier New" w:hAnsi="Courier New" w:cs="Courier New"/>
      <w:sz w:val="20"/>
    </w:rPr>
  </w:style>
  <w:style w:type="paragraph" w:styleId="Salutation">
    <w:name w:val="Salutation"/>
    <w:basedOn w:val="Normal"/>
    <w:next w:val="Normal"/>
    <w:rsid w:val="002C4796"/>
  </w:style>
  <w:style w:type="paragraph" w:styleId="Signature">
    <w:name w:val="Signature"/>
    <w:basedOn w:val="Normal"/>
    <w:rsid w:val="002C4796"/>
    <w:pPr>
      <w:ind w:left="4252"/>
    </w:pPr>
  </w:style>
  <w:style w:type="paragraph" w:styleId="Subtitle">
    <w:name w:val="Subtitle"/>
    <w:basedOn w:val="Normal"/>
    <w:qFormat/>
    <w:rsid w:val="002C4796"/>
    <w:pPr>
      <w:spacing w:after="60"/>
      <w:jc w:val="center"/>
      <w:outlineLvl w:val="1"/>
    </w:pPr>
    <w:rPr>
      <w:rFonts w:ascii="Arial" w:hAnsi="Arial" w:cs="Arial"/>
      <w:szCs w:val="24"/>
    </w:rPr>
  </w:style>
  <w:style w:type="paragraph" w:styleId="TableofAuthorities">
    <w:name w:val="table of authorities"/>
    <w:basedOn w:val="Normal"/>
    <w:next w:val="Normal"/>
    <w:semiHidden/>
    <w:rsid w:val="002C4796"/>
    <w:pPr>
      <w:ind w:left="220" w:hanging="220"/>
    </w:pPr>
  </w:style>
  <w:style w:type="paragraph" w:styleId="TableofFigures">
    <w:name w:val="table of figures"/>
    <w:basedOn w:val="Normal"/>
    <w:next w:val="Normal"/>
    <w:semiHidden/>
    <w:rsid w:val="002C4796"/>
    <w:pPr>
      <w:ind w:left="440" w:hanging="440"/>
    </w:pPr>
  </w:style>
  <w:style w:type="paragraph" w:styleId="TOAHeading">
    <w:name w:val="toa heading"/>
    <w:basedOn w:val="Normal"/>
    <w:next w:val="Normal"/>
    <w:semiHidden/>
    <w:rsid w:val="002C4796"/>
    <w:pPr>
      <w:spacing w:before="120"/>
    </w:pPr>
    <w:rPr>
      <w:rFonts w:ascii="Arial" w:hAnsi="Arial" w:cs="Arial"/>
      <w:b/>
      <w:bCs/>
      <w:szCs w:val="24"/>
    </w:rPr>
  </w:style>
  <w:style w:type="character" w:styleId="CommentReference">
    <w:name w:val="annotation reference"/>
    <w:basedOn w:val="DefaultParagraphFont"/>
    <w:semiHidden/>
    <w:rsid w:val="00BC1DFC"/>
    <w:rPr>
      <w:sz w:val="16"/>
      <w:szCs w:val="16"/>
    </w:rPr>
  </w:style>
  <w:style w:type="paragraph" w:styleId="CommentSubject">
    <w:name w:val="annotation subject"/>
    <w:basedOn w:val="CommentText"/>
    <w:next w:val="CommentText"/>
    <w:semiHidden/>
    <w:rsid w:val="00BC1DFC"/>
    <w:rPr>
      <w:b/>
      <w:bCs/>
    </w:rPr>
  </w:style>
  <w:style w:type="paragraph" w:styleId="BalloonText">
    <w:name w:val="Balloon Text"/>
    <w:basedOn w:val="Normal"/>
    <w:semiHidden/>
    <w:rsid w:val="00BC1DFC"/>
    <w:rPr>
      <w:rFonts w:ascii="Tahoma" w:hAnsi="Tahoma" w:cs="Tahoma"/>
      <w:sz w:val="16"/>
      <w:szCs w:val="16"/>
    </w:rPr>
  </w:style>
  <w:style w:type="paragraph" w:customStyle="1" w:styleId="cover-title">
    <w:name w:val="cover-title"/>
    <w:basedOn w:val="Normal"/>
    <w:rsid w:val="006178B1"/>
    <w:pPr>
      <w:spacing w:after="0" w:line="720" w:lineRule="atLeast"/>
      <w:jc w:val="left"/>
    </w:pPr>
    <w:rPr>
      <w:rFonts w:ascii="Arial" w:hAnsi="Arial" w:cs="Arial"/>
      <w:spacing w:val="-2"/>
      <w:sz w:val="36"/>
      <w:szCs w:val="36"/>
    </w:rPr>
  </w:style>
  <w:style w:type="paragraph" w:customStyle="1" w:styleId="cover-author">
    <w:name w:val="cover-author"/>
    <w:basedOn w:val="cover-title"/>
    <w:rsid w:val="006178B1"/>
    <w:pPr>
      <w:spacing w:line="600" w:lineRule="atLeast"/>
    </w:pPr>
    <w:rPr>
      <w:sz w:val="28"/>
      <w:szCs w:val="28"/>
    </w:rPr>
  </w:style>
  <w:style w:type="paragraph" w:customStyle="1" w:styleId="StyleCentered">
    <w:name w:val="Style Centered"/>
    <w:basedOn w:val="Normal"/>
    <w:rsid w:val="00AA64A3"/>
    <w:pPr>
      <w:jc w:val="center"/>
    </w:pPr>
  </w:style>
  <w:style w:type="character" w:customStyle="1" w:styleId="Style9ptItalicRed">
    <w:name w:val="Style 9 pt Italic Red"/>
    <w:basedOn w:val="DefaultParagraphFont"/>
    <w:rsid w:val="00AA64A3"/>
    <w:rPr>
      <w:rFonts w:ascii="Garamond" w:hAnsi="Garamond"/>
      <w:i/>
      <w:iCs/>
      <w:color w:val="FF0000"/>
      <w:sz w:val="20"/>
    </w:rPr>
  </w:style>
  <w:style w:type="character" w:customStyle="1" w:styleId="referencelist1Char">
    <w:name w:val="reference list 1 Char"/>
    <w:basedOn w:val="DefaultParagraphFont"/>
    <w:link w:val="referencelist1"/>
    <w:uiPriority w:val="2"/>
    <w:rsid w:val="00282AE7"/>
    <w:rPr>
      <w:sz w:val="22"/>
      <w:lang w:eastAsia="en-US"/>
    </w:rPr>
  </w:style>
  <w:style w:type="character" w:styleId="PlaceholderText">
    <w:name w:val="Placeholder Text"/>
    <w:basedOn w:val="DefaultParagraphFont"/>
    <w:uiPriority w:val="99"/>
    <w:semiHidden/>
    <w:rsid w:val="00F35430"/>
    <w:rPr>
      <w:color w:val="808080"/>
    </w:rPr>
  </w:style>
  <w:style w:type="paragraph" w:styleId="ListParagraph">
    <w:name w:val="List Paragraph"/>
    <w:basedOn w:val="Normal"/>
    <w:uiPriority w:val="34"/>
    <w:qFormat/>
    <w:rsid w:val="00711AF9"/>
    <w:pPr>
      <w:ind w:left="720"/>
      <w:contextualSpacing/>
    </w:pPr>
  </w:style>
  <w:style w:type="paragraph" w:customStyle="1" w:styleId="EndNoteBibliographyTitle">
    <w:name w:val="EndNote Bibliography Title"/>
    <w:basedOn w:val="Normal"/>
    <w:rsid w:val="00E211F7"/>
  </w:style>
  <w:style w:type="paragraph" w:customStyle="1" w:styleId="EndNoteBibliography">
    <w:name w:val="EndNote Bibliography"/>
    <w:basedOn w:val="Normal"/>
    <w:rsid w:val="00E211F7"/>
  </w:style>
  <w:style w:type="table" w:styleId="TableGrid">
    <w:name w:val="Table Grid"/>
    <w:basedOn w:val="TableNormal"/>
    <w:rsid w:val="00C652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3115D"/>
    <w:rPr>
      <w:color w:val="800080" w:themeColor="followedHyperlink"/>
      <w:u w:val="single"/>
    </w:rPr>
  </w:style>
  <w:style w:type="character" w:styleId="FootnoteReference">
    <w:name w:val="footnote reference"/>
    <w:basedOn w:val="DefaultParagraphFont"/>
    <w:rsid w:val="00EA7643"/>
    <w:rPr>
      <w:vertAlign w:val="superscript"/>
    </w:rPr>
  </w:style>
  <w:style w:type="character" w:customStyle="1" w:styleId="numberlist1Char">
    <w:name w:val="number list 1 Char"/>
    <w:basedOn w:val="DefaultParagraphFont"/>
    <w:link w:val="numberlist1"/>
    <w:rsid w:val="00B27C70"/>
    <w:rPr>
      <w:rFonts w:ascii="Garamond" w:hAnsi="Garamon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014442">
      <w:bodyDiv w:val="1"/>
      <w:marLeft w:val="0"/>
      <w:marRight w:val="0"/>
      <w:marTop w:val="0"/>
      <w:marBottom w:val="0"/>
      <w:divBdr>
        <w:top w:val="none" w:sz="0" w:space="0" w:color="auto"/>
        <w:left w:val="none" w:sz="0" w:space="0" w:color="auto"/>
        <w:bottom w:val="none" w:sz="0" w:space="0" w:color="auto"/>
        <w:right w:val="none" w:sz="0" w:space="0" w:color="auto"/>
      </w:divBdr>
    </w:div>
    <w:div w:id="2048262654">
      <w:bodyDiv w:val="1"/>
      <w:marLeft w:val="0"/>
      <w:marRight w:val="0"/>
      <w:marTop w:val="0"/>
      <w:marBottom w:val="0"/>
      <w:divBdr>
        <w:top w:val="none" w:sz="0" w:space="0" w:color="auto"/>
        <w:left w:val="none" w:sz="0" w:space="0" w:color="auto"/>
        <w:bottom w:val="none" w:sz="0" w:space="0" w:color="auto"/>
        <w:right w:val="none" w:sz="0" w:space="0" w:color="auto"/>
      </w:divBdr>
      <w:divsChild>
        <w:div w:id="1616132787">
          <w:marLeft w:val="0"/>
          <w:marRight w:val="0"/>
          <w:marTop w:val="0"/>
          <w:marBottom w:val="0"/>
          <w:divBdr>
            <w:top w:val="none" w:sz="0" w:space="0" w:color="auto"/>
            <w:left w:val="none" w:sz="0" w:space="0" w:color="auto"/>
            <w:bottom w:val="none" w:sz="0" w:space="0" w:color="auto"/>
            <w:right w:val="none" w:sz="0" w:space="0" w:color="auto"/>
          </w:divBdr>
          <w:divsChild>
            <w:div w:id="1370766883">
              <w:marLeft w:val="0"/>
              <w:marRight w:val="0"/>
              <w:marTop w:val="0"/>
              <w:marBottom w:val="0"/>
              <w:divBdr>
                <w:top w:val="none" w:sz="0" w:space="0" w:color="auto"/>
                <w:left w:val="none" w:sz="0" w:space="0" w:color="auto"/>
                <w:bottom w:val="none" w:sz="0" w:space="0" w:color="auto"/>
                <w:right w:val="none" w:sz="0" w:space="0" w:color="auto"/>
              </w:divBdr>
              <w:divsChild>
                <w:div w:id="1467117378">
                  <w:marLeft w:val="0"/>
                  <w:marRight w:val="0"/>
                  <w:marTop w:val="0"/>
                  <w:marBottom w:val="0"/>
                  <w:divBdr>
                    <w:top w:val="none" w:sz="0" w:space="0" w:color="auto"/>
                    <w:left w:val="none" w:sz="0" w:space="0" w:color="auto"/>
                    <w:bottom w:val="none" w:sz="0" w:space="0" w:color="auto"/>
                    <w:right w:val="none" w:sz="0" w:space="0" w:color="auto"/>
                  </w:divBdr>
                  <w:divsChild>
                    <w:div w:id="1513909348">
                      <w:marLeft w:val="2325"/>
                      <w:marRight w:val="0"/>
                      <w:marTop w:val="0"/>
                      <w:marBottom w:val="0"/>
                      <w:divBdr>
                        <w:top w:val="none" w:sz="0" w:space="0" w:color="auto"/>
                        <w:left w:val="none" w:sz="0" w:space="0" w:color="auto"/>
                        <w:bottom w:val="none" w:sz="0" w:space="0" w:color="auto"/>
                        <w:right w:val="none" w:sz="0" w:space="0" w:color="auto"/>
                      </w:divBdr>
                      <w:divsChild>
                        <w:div w:id="1550652313">
                          <w:marLeft w:val="0"/>
                          <w:marRight w:val="0"/>
                          <w:marTop w:val="0"/>
                          <w:marBottom w:val="0"/>
                          <w:divBdr>
                            <w:top w:val="none" w:sz="0" w:space="0" w:color="auto"/>
                            <w:left w:val="none" w:sz="0" w:space="0" w:color="auto"/>
                            <w:bottom w:val="none" w:sz="0" w:space="0" w:color="auto"/>
                            <w:right w:val="none" w:sz="0" w:space="0" w:color="auto"/>
                          </w:divBdr>
                          <w:divsChild>
                            <w:div w:id="425928919">
                              <w:marLeft w:val="0"/>
                              <w:marRight w:val="0"/>
                              <w:marTop w:val="0"/>
                              <w:marBottom w:val="0"/>
                              <w:divBdr>
                                <w:top w:val="none" w:sz="0" w:space="0" w:color="auto"/>
                                <w:left w:val="none" w:sz="0" w:space="0" w:color="auto"/>
                                <w:bottom w:val="none" w:sz="0" w:space="0" w:color="auto"/>
                                <w:right w:val="none" w:sz="0" w:space="0" w:color="auto"/>
                              </w:divBdr>
                              <w:divsChild>
                                <w:div w:id="1947686992">
                                  <w:marLeft w:val="1"/>
                                  <w:marRight w:val="1"/>
                                  <w:marTop w:val="0"/>
                                  <w:marBottom w:val="0"/>
                                  <w:divBdr>
                                    <w:top w:val="none" w:sz="0" w:space="0" w:color="auto"/>
                                    <w:left w:val="none" w:sz="0" w:space="0" w:color="auto"/>
                                    <w:bottom w:val="none" w:sz="0" w:space="0" w:color="auto"/>
                                    <w:right w:val="none" w:sz="0" w:space="0" w:color="auto"/>
                                  </w:divBdr>
                                  <w:divsChild>
                                    <w:div w:id="161433251">
                                      <w:marLeft w:val="0"/>
                                      <w:marRight w:val="0"/>
                                      <w:marTop w:val="0"/>
                                      <w:marBottom w:val="0"/>
                                      <w:divBdr>
                                        <w:top w:val="none" w:sz="0" w:space="0" w:color="auto"/>
                                        <w:left w:val="none" w:sz="0" w:space="0" w:color="auto"/>
                                        <w:bottom w:val="none" w:sz="0" w:space="0" w:color="auto"/>
                                        <w:right w:val="none" w:sz="0" w:space="0" w:color="auto"/>
                                      </w:divBdr>
                                      <w:divsChild>
                                        <w:div w:id="420032325">
                                          <w:marLeft w:val="0"/>
                                          <w:marRight w:val="0"/>
                                          <w:marTop w:val="0"/>
                                          <w:marBottom w:val="0"/>
                                          <w:divBdr>
                                            <w:top w:val="none" w:sz="0" w:space="0" w:color="auto"/>
                                            <w:left w:val="none" w:sz="0" w:space="0" w:color="auto"/>
                                            <w:bottom w:val="none" w:sz="0" w:space="0" w:color="auto"/>
                                            <w:right w:val="none" w:sz="0" w:space="0" w:color="auto"/>
                                          </w:divBdr>
                                          <w:divsChild>
                                            <w:div w:id="107165630">
                                              <w:marLeft w:val="0"/>
                                              <w:marRight w:val="0"/>
                                              <w:marTop w:val="0"/>
                                              <w:marBottom w:val="0"/>
                                              <w:divBdr>
                                                <w:top w:val="none" w:sz="0" w:space="0" w:color="auto"/>
                                                <w:left w:val="none" w:sz="0" w:space="0" w:color="auto"/>
                                                <w:bottom w:val="none" w:sz="0" w:space="0" w:color="auto"/>
                                                <w:right w:val="none" w:sz="0" w:space="0" w:color="auto"/>
                                              </w:divBdr>
                                              <w:divsChild>
                                                <w:div w:id="443504379">
                                                  <w:marLeft w:val="0"/>
                                                  <w:marRight w:val="0"/>
                                                  <w:marTop w:val="0"/>
                                                  <w:marBottom w:val="0"/>
                                                  <w:divBdr>
                                                    <w:top w:val="none" w:sz="0" w:space="0" w:color="auto"/>
                                                    <w:left w:val="none" w:sz="0" w:space="0" w:color="auto"/>
                                                    <w:bottom w:val="none" w:sz="0" w:space="0" w:color="auto"/>
                                                    <w:right w:val="none" w:sz="0" w:space="0" w:color="auto"/>
                                                  </w:divBdr>
                                                  <w:divsChild>
                                                    <w:div w:id="204120078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672221814">
                                                          <w:marLeft w:val="0"/>
                                                          <w:marRight w:val="0"/>
                                                          <w:marTop w:val="0"/>
                                                          <w:marBottom w:val="0"/>
                                                          <w:divBdr>
                                                            <w:top w:val="none" w:sz="0" w:space="0" w:color="auto"/>
                                                            <w:left w:val="none" w:sz="0" w:space="0" w:color="auto"/>
                                                            <w:bottom w:val="none" w:sz="0" w:space="0" w:color="auto"/>
                                                            <w:right w:val="none" w:sz="0" w:space="0" w:color="auto"/>
                                                          </w:divBdr>
                                                        </w:div>
                                                        <w:div w:id="787310314">
                                                          <w:marLeft w:val="0"/>
                                                          <w:marRight w:val="0"/>
                                                          <w:marTop w:val="0"/>
                                                          <w:marBottom w:val="0"/>
                                                          <w:divBdr>
                                                            <w:top w:val="none" w:sz="0" w:space="0" w:color="auto"/>
                                                            <w:left w:val="none" w:sz="0" w:space="0" w:color="auto"/>
                                                            <w:bottom w:val="none" w:sz="0" w:space="0" w:color="auto"/>
                                                            <w:right w:val="none" w:sz="0" w:space="0" w:color="auto"/>
                                                          </w:divBdr>
                                                        </w:div>
                                                        <w:div w:id="13261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8" Type="http://schemas.openxmlformats.org/officeDocument/2006/relationships/footer" Target="footer1.xml"/><Relationship Id="rId26" Type="http://schemas.openxmlformats.org/officeDocument/2006/relationships/image" Target="media/image6.wmf"/><Relationship Id="rId39" Type="http://schemas.openxmlformats.org/officeDocument/2006/relationships/image" Target="media/image19.emf"/><Relationship Id="rId21" Type="http://schemas.openxmlformats.org/officeDocument/2006/relationships/footer" Target="footer3.xml"/><Relationship Id="rId34" Type="http://schemas.openxmlformats.org/officeDocument/2006/relationships/image" Target="media/image14.wmf"/><Relationship Id="rId42" Type="http://schemas.openxmlformats.org/officeDocument/2006/relationships/image" Target="media/image22.emf"/><Relationship Id="rId47" Type="http://schemas.openxmlformats.org/officeDocument/2006/relationships/image" Target="media/image27.emf"/><Relationship Id="rId50" Type="http://schemas.openxmlformats.org/officeDocument/2006/relationships/image" Target="media/image30.emf"/><Relationship Id="rId55" Type="http://schemas.openxmlformats.org/officeDocument/2006/relationships/footer" Target="footer5.xml"/><Relationship Id="rId63" Type="http://schemas.openxmlformats.org/officeDocument/2006/relationships/image" Target="media/image36.gif"/><Relationship Id="rId68" Type="http://schemas.openxmlformats.org/officeDocument/2006/relationships/header" Target="header6.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image" Target="media/image9.emf"/><Relationship Id="rId41" Type="http://schemas.openxmlformats.org/officeDocument/2006/relationships/image" Target="media/image21.emf"/><Relationship Id="rId54" Type="http://schemas.openxmlformats.org/officeDocument/2006/relationships/header" Target="header4.xml"/><Relationship Id="rId62" Type="http://schemas.openxmlformats.org/officeDocument/2006/relationships/image" Target="media/image35.gif"/><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24" Type="http://schemas.openxmlformats.org/officeDocument/2006/relationships/hyperlink" Target="http://creativecommons.org/licenses/by/3.0/au/%20" TargetMode="External"/><Relationship Id="rId32" Type="http://schemas.openxmlformats.org/officeDocument/2006/relationships/image" Target="media/image12.emf"/><Relationship Id="rId37" Type="http://schemas.openxmlformats.org/officeDocument/2006/relationships/image" Target="media/image17.emf"/><Relationship Id="rId40" Type="http://schemas.openxmlformats.org/officeDocument/2006/relationships/image" Target="media/image20.wmf"/><Relationship Id="rId45" Type="http://schemas.openxmlformats.org/officeDocument/2006/relationships/image" Target="media/image25.emf"/><Relationship Id="rId53" Type="http://schemas.openxmlformats.org/officeDocument/2006/relationships/hyperlink" Target="http://www.perkinelmer.com/pdfs/downloads/app_trlsctimeresolvedliquidscintcounting.pdf" TargetMode="External"/><Relationship Id="rId58" Type="http://schemas.openxmlformats.org/officeDocument/2006/relationships/footer" Target="footer7.xml"/><Relationship Id="rId66" Type="http://schemas.openxmlformats.org/officeDocument/2006/relationships/image" Target="media/image39.png"/><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5.tiff"/><Relationship Id="rId28" Type="http://schemas.openxmlformats.org/officeDocument/2006/relationships/image" Target="media/image8.png"/><Relationship Id="rId36" Type="http://schemas.openxmlformats.org/officeDocument/2006/relationships/image" Target="media/image16.emf"/><Relationship Id="rId49" Type="http://schemas.openxmlformats.org/officeDocument/2006/relationships/image" Target="media/image29.emf"/><Relationship Id="rId57" Type="http://schemas.openxmlformats.org/officeDocument/2006/relationships/header" Target="header5.xml"/><Relationship Id="rId61" Type="http://schemas.openxmlformats.org/officeDocument/2006/relationships/image" Target="media/image34.gif"/><Relationship Id="rId19" Type="http://schemas.openxmlformats.org/officeDocument/2006/relationships/footer" Target="footer2.xml"/><Relationship Id="rId31" Type="http://schemas.openxmlformats.org/officeDocument/2006/relationships/image" Target="media/image11.wmf"/><Relationship Id="rId44" Type="http://schemas.openxmlformats.org/officeDocument/2006/relationships/image" Target="media/image24.emf"/><Relationship Id="rId52" Type="http://schemas.openxmlformats.org/officeDocument/2006/relationships/hyperlink" Target="http://www.perkinelmer.com/pdfs/downloads/app_quenchquantalpharadionucl.pdf.%20accessed%2012/11/2015" TargetMode="External"/><Relationship Id="rId60" Type="http://schemas.openxmlformats.org/officeDocument/2006/relationships/image" Target="media/image33.gif"/><Relationship Id="rId65" Type="http://schemas.openxmlformats.org/officeDocument/2006/relationships/image" Target="media/image38.gif"/><Relationship Id="rId4" Type="http://schemas.openxmlformats.org/officeDocument/2006/relationships/webSettings" Target="webSettings.xml"/><Relationship Id="rId9" Type="http://schemas.openxmlformats.org/officeDocument/2006/relationships/image" Target="media/image3.png"/><Relationship Id="rId22" Type="http://schemas.openxmlformats.org/officeDocument/2006/relationships/image" Target="media/image4.jpeg"/><Relationship Id="rId27" Type="http://schemas.openxmlformats.org/officeDocument/2006/relationships/image" Target="media/image7.wmf"/><Relationship Id="rId30" Type="http://schemas.openxmlformats.org/officeDocument/2006/relationships/image" Target="media/image10.emf"/><Relationship Id="rId35" Type="http://schemas.openxmlformats.org/officeDocument/2006/relationships/image" Target="media/image15.wmf"/><Relationship Id="rId43" Type="http://schemas.openxmlformats.org/officeDocument/2006/relationships/image" Target="media/image23.wmf"/><Relationship Id="rId48" Type="http://schemas.openxmlformats.org/officeDocument/2006/relationships/image" Target="media/image28.emf"/><Relationship Id="rId56" Type="http://schemas.openxmlformats.org/officeDocument/2006/relationships/footer" Target="footer6.xml"/><Relationship Id="rId64" Type="http://schemas.openxmlformats.org/officeDocument/2006/relationships/image" Target="media/image37.gif"/><Relationship Id="rId69" Type="http://schemas.openxmlformats.org/officeDocument/2006/relationships/fontTable" Target="fontTable.xml"/><Relationship Id="rId8" Type="http://schemas.openxmlformats.org/officeDocument/2006/relationships/image" Target="media/image2.jpeg"/><Relationship Id="rId51" Type="http://schemas.openxmlformats.org/officeDocument/2006/relationships/image" Target="media/image31.emf"/><Relationship Id="rId3" Type="http://schemas.openxmlformats.org/officeDocument/2006/relationships/settings" Target="settings.xml"/><Relationship Id="rId17" Type="http://schemas.openxmlformats.org/officeDocument/2006/relationships/header" Target="header2.xml"/><Relationship Id="rId25" Type="http://schemas.openxmlformats.org/officeDocument/2006/relationships/footer" Target="footer4.xml"/><Relationship Id="rId33" Type="http://schemas.openxmlformats.org/officeDocument/2006/relationships/image" Target="media/image13.emf"/><Relationship Id="rId38" Type="http://schemas.openxmlformats.org/officeDocument/2006/relationships/image" Target="media/image18.emf"/><Relationship Id="rId46" Type="http://schemas.openxmlformats.org/officeDocument/2006/relationships/image" Target="media/image26.wmf"/><Relationship Id="rId59" Type="http://schemas.openxmlformats.org/officeDocument/2006/relationships/image" Target="media/image32.gif"/><Relationship Id="rId67" Type="http://schemas.openxmlformats.org/officeDocument/2006/relationships/image" Target="media/image40.gif"/></Relationships>
</file>

<file path=word/_rels/header6.xml.rels><?xml version="1.0" encoding="UTF-8" standalone="yes"?>
<Relationships xmlns="http://schemas.openxmlformats.org/package/2006/relationships"><Relationship Id="rId1" Type="http://schemas.openxmlformats.org/officeDocument/2006/relationships/image" Target="media/image4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B85791D4.dotm</Template>
  <TotalTime>0</TotalTime>
  <Pages>47</Pages>
  <Words>12287</Words>
  <Characters>67499</Characters>
  <Application>Microsoft Office Word</Application>
  <DocSecurity>4</DocSecurity>
  <Lines>562</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79627</CharactersWithSpaces>
  <SharedDoc>false</SharedDoc>
  <HLinks>
    <vt:vector size="24" baseType="variant">
      <vt:variant>
        <vt:i4>1966138</vt:i4>
      </vt:variant>
      <vt:variant>
        <vt:i4>20</vt:i4>
      </vt:variant>
      <vt:variant>
        <vt:i4>0</vt:i4>
      </vt:variant>
      <vt:variant>
        <vt:i4>5</vt:i4>
      </vt:variant>
      <vt:variant>
        <vt:lpwstr/>
      </vt:variant>
      <vt:variant>
        <vt:lpwstr>_Toc222129832</vt:lpwstr>
      </vt:variant>
      <vt:variant>
        <vt:i4>1966138</vt:i4>
      </vt:variant>
      <vt:variant>
        <vt:i4>14</vt:i4>
      </vt:variant>
      <vt:variant>
        <vt:i4>0</vt:i4>
      </vt:variant>
      <vt:variant>
        <vt:i4>5</vt:i4>
      </vt:variant>
      <vt:variant>
        <vt:lpwstr/>
      </vt:variant>
      <vt:variant>
        <vt:lpwstr>_Toc222129831</vt:lpwstr>
      </vt:variant>
      <vt:variant>
        <vt:i4>1966138</vt:i4>
      </vt:variant>
      <vt:variant>
        <vt:i4>8</vt:i4>
      </vt:variant>
      <vt:variant>
        <vt:i4>0</vt:i4>
      </vt:variant>
      <vt:variant>
        <vt:i4>5</vt:i4>
      </vt:variant>
      <vt:variant>
        <vt:lpwstr/>
      </vt:variant>
      <vt:variant>
        <vt:lpwstr>_Toc222129830</vt:lpwstr>
      </vt:variant>
      <vt:variant>
        <vt:i4>2031674</vt:i4>
      </vt:variant>
      <vt:variant>
        <vt:i4>2</vt:i4>
      </vt:variant>
      <vt:variant>
        <vt:i4>0</vt:i4>
      </vt:variant>
      <vt:variant>
        <vt:i4>5</vt:i4>
      </vt:variant>
      <vt:variant>
        <vt:lpwstr/>
      </vt:variant>
      <vt:variant>
        <vt:lpwstr>_Toc222129829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Pb-210 determination using liquid scintillation counting (LSC)</dc:title>
  <dc:creator/>
  <cp:lastModifiedBy/>
  <cp:revision>1</cp:revision>
  <dcterms:created xsi:type="dcterms:W3CDTF">2016-11-28T00:25:00Z</dcterms:created>
  <dcterms:modified xsi:type="dcterms:W3CDTF">2016-11-28T00:25:00Z</dcterms:modified>
</cp:coreProperties>
</file>