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BA3FC5" w:rsidP="00AA64A3">
      <w:pPr>
        <w:pStyle w:val="StyleCentered"/>
      </w:pPr>
      <w:r>
        <w:rPr>
          <w:noProof/>
          <w:lang w:eastAsia="en-AU"/>
        </w:rPr>
        <w:pict>
          <v:group id="_x0000_s1043" style="position:absolute;left:0;text-align:left;margin-left:398.95pt;margin-top:5.8pt;width:130.1pt;height:153.2pt;z-index:251659264"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CA3829" w:rsidRPr="0086045D" w:rsidRDefault="00CA3829" w:rsidP="00912F47">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631</w:t>
                    </w:r>
                  </w:p>
                  <w:p w:rsidR="00CA3829" w:rsidRPr="00912F47" w:rsidRDefault="00CA3829" w:rsidP="00912F47">
                    <w:pPr>
                      <w:rPr>
                        <w:szCs w:val="120"/>
                      </w:rPr>
                    </w:pPr>
                  </w:p>
                </w:txbxContent>
              </v:textbox>
            </v:shape>
            <v:shape id="_x0000_s1046" type="#_x0000_t202" style="position:absolute;left:8546;top:2515;width:1302;height:1232" stroked="f">
              <v:textbox style="mso-next-textbox:#_x0000_s1046">
                <w:txbxContent>
                  <w:p w:rsidR="00CA3829" w:rsidRPr="0086045D" w:rsidRDefault="00CA3829"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sidR="003F6691">
        <w:rPr>
          <w:noProof/>
          <w:lang w:eastAsia="en-AU"/>
        </w:rPr>
        <w:drawing>
          <wp:anchor distT="0" distB="0" distL="114300" distR="114300" simplePos="0" relativeHeight="25165619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1" cstate="email"/>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516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024;top:4703;width:5708;height:10323">
              <v:imagedata r:id="rId12" o:title="pandanus"/>
            </v:shape>
            <v:rect id="_x0000_s1039" style="position:absolute;left:989;top:3418;width:5933;height:11208" filled="f" strokeweight="4.5pt"/>
          </v:group>
        </w:pict>
      </w:r>
    </w:p>
    <w:p w:rsidR="00371D2F" w:rsidRDefault="00BA3FC5" w:rsidP="00371D2F">
      <w:pPr>
        <w:jc w:val="left"/>
      </w:pPr>
      <w:r>
        <w:rPr>
          <w:noProof/>
          <w:lang w:eastAsia="en-AU"/>
        </w:rPr>
        <w:pict>
          <v:shape id="_x0000_s1042" type="#_x0000_t202" style="position:absolute;margin-left:318.3pt;margin-top:473.85pt;width:226.85pt;height:266.05pt;z-index:251658240" stroked="f">
            <v:textbox style="mso-next-textbox:#_x0000_s1042">
              <w:txbxContent>
                <w:p w:rsidR="00CA3829" w:rsidRPr="00172461" w:rsidRDefault="00CA3829" w:rsidP="00912F47">
                  <w:pPr>
                    <w:pStyle w:val="cover-author"/>
                  </w:pPr>
                  <w:r>
                    <w:t>Andreas Bollhöfer, Peter Medley &amp; Sarah Marshall</w:t>
                  </w:r>
                </w:p>
                <w:p w:rsidR="00CA3829" w:rsidRPr="00172461" w:rsidRDefault="00CA3829" w:rsidP="00E9208F">
                  <w:pPr>
                    <w:spacing w:after="0" w:line="600" w:lineRule="atLeast"/>
                    <w:jc w:val="left"/>
                    <w:rPr>
                      <w:rFonts w:ascii="Calibri" w:hAnsi="Calibri"/>
                      <w:spacing w:val="-2"/>
                      <w:sz w:val="28"/>
                      <w:szCs w:val="28"/>
                    </w:rPr>
                  </w:pPr>
                </w:p>
                <w:p w:rsidR="00CA3829" w:rsidRPr="00172461" w:rsidRDefault="00CA3829" w:rsidP="00371D2F">
                  <w:pPr>
                    <w:pStyle w:val="cover-author"/>
                  </w:pPr>
                  <w:r>
                    <w:t>February 2015</w:t>
                  </w:r>
                </w:p>
                <w:p w:rsidR="00CA3829" w:rsidRPr="00172461" w:rsidRDefault="00CA3829" w:rsidP="00E9208F">
                  <w:pPr>
                    <w:spacing w:after="0" w:line="600" w:lineRule="atLeast"/>
                    <w:jc w:val="left"/>
                    <w:rPr>
                      <w:rFonts w:ascii="Calibri" w:hAnsi="Calibri"/>
                      <w:spacing w:val="-2"/>
                      <w:sz w:val="28"/>
                      <w:szCs w:val="28"/>
                    </w:rPr>
                  </w:pPr>
                </w:p>
                <w:p w:rsidR="00CA3829" w:rsidRDefault="00CA3829" w:rsidP="00371D2F">
                  <w:pPr>
                    <w:pStyle w:val="cover-author"/>
                  </w:pPr>
                  <w:r w:rsidRPr="003535B5">
                    <w:t xml:space="preserve">Release </w:t>
                  </w:r>
                  <w:r w:rsidRPr="00371D2F">
                    <w:t>status</w:t>
                  </w:r>
                  <w:r w:rsidRPr="003535B5">
                    <w:t xml:space="preserve"> – </w:t>
                  </w:r>
                  <w:r>
                    <w:t>unrestricted</w:t>
                  </w:r>
                </w:p>
                <w:p w:rsidR="00CA3829" w:rsidRPr="003535B5" w:rsidRDefault="00CA3829" w:rsidP="00371D2F">
                  <w:pPr>
                    <w:pStyle w:val="cover-author"/>
                  </w:pPr>
                  <w:r>
                    <w:t>Project number – MON-1996-001</w:t>
                  </w:r>
                </w:p>
              </w:txbxContent>
            </v:textbox>
          </v:shape>
        </w:pict>
      </w:r>
      <w:r>
        <w:rPr>
          <w:noProof/>
          <w:lang w:eastAsia="en-AU"/>
        </w:rPr>
        <w:pict>
          <v:shape id="_x0000_s1041" type="#_x0000_t202" style="position:absolute;margin-left:318.3pt;margin-top:226pt;width:206.45pt;height:196.9pt;z-index:251657216" stroked="f">
            <v:textbox style="mso-next-textbox:#_x0000_s1041">
              <w:txbxContent>
                <w:p w:rsidR="00CA3829" w:rsidRPr="00912F47" w:rsidRDefault="00CA3829" w:rsidP="00912F47">
                  <w:pPr>
                    <w:spacing w:after="0" w:line="720" w:lineRule="atLeast"/>
                    <w:jc w:val="left"/>
                    <w:rPr>
                      <w:rFonts w:ascii="Arial" w:hAnsi="Arial" w:cs="Arial"/>
                      <w:spacing w:val="-2"/>
                      <w:sz w:val="36"/>
                      <w:szCs w:val="36"/>
                    </w:rPr>
                  </w:pPr>
                  <w:bookmarkStart w:id="0" w:name="OLE_LINK1"/>
                  <w:bookmarkStart w:id="1" w:name="OLE_LINK2"/>
                  <w:r w:rsidRPr="00912F47">
                    <w:rPr>
                      <w:rFonts w:ascii="Arial" w:hAnsi="Arial" w:cs="Arial"/>
                      <w:spacing w:val="-2"/>
                      <w:sz w:val="36"/>
                      <w:szCs w:val="36"/>
                    </w:rPr>
                    <w:t xml:space="preserve">A summary and review of </w:t>
                  </w:r>
                  <w:r w:rsidRPr="00E01A12">
                    <w:rPr>
                      <w:rFonts w:ascii="Arial" w:hAnsi="Arial" w:cs="Arial"/>
                      <w:b/>
                      <w:i/>
                      <w:spacing w:val="-2"/>
                      <w:sz w:val="38"/>
                      <w:szCs w:val="38"/>
                    </w:rPr>
                    <w:t>eriss</w:t>
                  </w:r>
                  <w:r w:rsidRPr="00912F47">
                    <w:rPr>
                      <w:rFonts w:ascii="Arial" w:hAnsi="Arial" w:cs="Arial"/>
                      <w:b/>
                      <w:i/>
                      <w:spacing w:val="-2"/>
                      <w:sz w:val="36"/>
                      <w:szCs w:val="36"/>
                    </w:rPr>
                    <w:t>’</w:t>
                  </w:r>
                  <w:r w:rsidRPr="00912F47">
                    <w:rPr>
                      <w:rFonts w:ascii="Arial" w:hAnsi="Arial" w:cs="Arial"/>
                      <w:spacing w:val="-2"/>
                      <w:sz w:val="36"/>
                      <w:szCs w:val="36"/>
                    </w:rPr>
                    <w:t xml:space="preserve"> groundwater chemistry data at </w:t>
                  </w:r>
                  <w:proofErr w:type="gramStart"/>
                  <w:r w:rsidRPr="00912F47">
                    <w:rPr>
                      <w:rFonts w:ascii="Arial" w:hAnsi="Arial" w:cs="Arial"/>
                      <w:spacing w:val="-2"/>
                      <w:sz w:val="36"/>
                      <w:szCs w:val="36"/>
                    </w:rPr>
                    <w:t>Ranger  uranium</w:t>
                  </w:r>
                  <w:proofErr w:type="gramEnd"/>
                  <w:r w:rsidRPr="00912F47">
                    <w:rPr>
                      <w:rFonts w:ascii="Arial" w:hAnsi="Arial" w:cs="Arial"/>
                      <w:spacing w:val="-2"/>
                      <w:sz w:val="36"/>
                      <w:szCs w:val="36"/>
                    </w:rPr>
                    <w:t xml:space="preserve"> mine</w:t>
                  </w:r>
                </w:p>
                <w:bookmarkEnd w:id="0"/>
                <w:bookmarkEnd w:id="1"/>
                <w:p w:rsidR="00CA3829" w:rsidRPr="007A4E86" w:rsidRDefault="00CA3829" w:rsidP="00E9208F">
                  <w:pPr>
                    <w:spacing w:after="0" w:line="720" w:lineRule="atLeast"/>
                    <w:jc w:val="left"/>
                    <w:rPr>
                      <w:rFonts w:ascii="Arial" w:hAnsi="Arial" w:cs="Arial"/>
                      <w:spacing w:val="-2"/>
                      <w:sz w:val="36"/>
                      <w:szCs w:val="36"/>
                    </w:rPr>
                  </w:pPr>
                </w:p>
              </w:txbxContent>
            </v:textbox>
          </v:shape>
        </w:pict>
      </w:r>
      <w:r w:rsidR="003F6691">
        <w:rPr>
          <w:noProof/>
          <w:lang w:eastAsia="en-AU"/>
        </w:rPr>
        <w:drawing>
          <wp:anchor distT="0" distB="0" distL="114300" distR="114300" simplePos="0" relativeHeight="251660288" behindDoc="0" locked="0" layoutInCell="1" allowOverlap="1">
            <wp:simplePos x="0" y="0"/>
            <wp:positionH relativeFrom="column">
              <wp:posOffset>1097280</wp:posOffset>
            </wp:positionH>
            <wp:positionV relativeFrom="paragraph">
              <wp:posOffset>443230</wp:posOffset>
            </wp:positionV>
            <wp:extent cx="2051685" cy="1414145"/>
            <wp:effectExtent l="19050" t="0" r="5715"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3" cstate="email"/>
                    <a:stretch>
                      <a:fillRect/>
                    </a:stretch>
                  </pic:blipFill>
                  <pic:spPr>
                    <a:xfrm>
                      <a:off x="0" y="0"/>
                      <a:ext cx="2051685" cy="1414145"/>
                    </a:xfrm>
                    <a:prstGeom prst="rect">
                      <a:avLst/>
                    </a:prstGeom>
                  </pic:spPr>
                </pic:pic>
              </a:graphicData>
            </a:graphic>
          </wp:anchor>
        </w:drawing>
      </w:r>
    </w:p>
    <w:p w:rsidR="00371D2F" w:rsidRDefault="00371D2F" w:rsidP="00371D2F">
      <w:pPr>
        <w:sectPr w:rsidR="00371D2F" w:rsidSect="00371D2F">
          <w:headerReference w:type="even" r:id="rId14"/>
          <w:headerReference w:type="default" r:id="rId15"/>
          <w:footerReference w:type="even" r:id="rId16"/>
          <w:footerReference w:type="default" r:id="rId17"/>
          <w:headerReference w:type="first" r:id="rId18"/>
          <w:footerReference w:type="first" r:id="rId19"/>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E01A12" w:rsidRDefault="00E01A12" w:rsidP="00E01A12">
      <w:pPr>
        <w:jc w:val="center"/>
      </w:pPr>
      <w:r w:rsidRPr="00892BD8">
        <w:rPr>
          <w:rFonts w:ascii="Arial" w:hAnsi="Arial"/>
          <w:b/>
          <w:sz w:val="36"/>
        </w:rPr>
        <w:lastRenderedPageBreak/>
        <w:t xml:space="preserve">A summary and review of </w:t>
      </w:r>
      <w:r w:rsidRPr="00E01A12">
        <w:rPr>
          <w:rFonts w:ascii="Arial" w:hAnsi="Arial"/>
          <w:b/>
          <w:i/>
          <w:sz w:val="38"/>
          <w:szCs w:val="38"/>
        </w:rPr>
        <w:t>eriss</w:t>
      </w:r>
      <w:r w:rsidRPr="00892BD8">
        <w:rPr>
          <w:rFonts w:ascii="Arial" w:hAnsi="Arial"/>
          <w:b/>
          <w:sz w:val="36"/>
        </w:rPr>
        <w:t>’ groundwater chemistry data at Ranger uranium mine</w:t>
      </w:r>
    </w:p>
    <w:p w:rsidR="00885B0A" w:rsidRDefault="00885B0A" w:rsidP="00E01A12">
      <w:pPr>
        <w:jc w:val="center"/>
      </w:pPr>
    </w:p>
    <w:p w:rsidR="00885B0A" w:rsidRDefault="00885B0A"/>
    <w:p w:rsidR="00885B0A" w:rsidRDefault="00885B0A"/>
    <w:p w:rsidR="00E01A12" w:rsidRDefault="00E01A12" w:rsidP="00E01A12">
      <w:pPr>
        <w:pStyle w:val="authors"/>
      </w:pPr>
      <w:bookmarkStart w:id="3" w:name="_Toc411850653"/>
      <w:bookmarkStart w:id="4" w:name="_Toc411850897"/>
      <w:bookmarkStart w:id="5" w:name="_Toc412115338"/>
      <w:bookmarkStart w:id="6" w:name="_Toc413230050"/>
      <w:r>
        <w:t xml:space="preserve">Andreas Bollhöfer, Peter Medley </w:t>
      </w:r>
      <w:r w:rsidR="000606DF">
        <w:t>&amp;</w:t>
      </w:r>
      <w:r>
        <w:t xml:space="preserve"> Sarah Marshall</w:t>
      </w:r>
      <w:bookmarkEnd w:id="3"/>
      <w:bookmarkEnd w:id="4"/>
      <w:bookmarkEnd w:id="5"/>
      <w:bookmarkEnd w:id="6"/>
    </w:p>
    <w:p w:rsidR="00885B0A" w:rsidRDefault="00885B0A"/>
    <w:p w:rsidR="00885B0A" w:rsidRDefault="00885B0A"/>
    <w:p w:rsidR="00885B0A" w:rsidRDefault="00690CAE">
      <w:pPr>
        <w:pStyle w:val="BodyText3"/>
      </w:pPr>
      <w:r>
        <w:t>Supervising Scientist</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E01A12" w:rsidP="00AA64A3">
      <w:pPr>
        <w:pStyle w:val="StyleCentered"/>
      </w:pPr>
      <w:r>
        <w:t>February 2015</w:t>
      </w:r>
    </w:p>
    <w:p w:rsidR="00885B0A" w:rsidRDefault="00885B0A"/>
    <w:p w:rsidR="003535B5" w:rsidRDefault="003535B5">
      <w:pPr>
        <w:pStyle w:val="BodyText3"/>
      </w:pPr>
    </w:p>
    <w:p w:rsidR="00885B0A" w:rsidRDefault="00885B0A"/>
    <w:p w:rsidR="00885B0A" w:rsidRDefault="00885B0A">
      <w:pPr>
        <w:pStyle w:val="BodyText3"/>
      </w:pPr>
      <w:r>
        <w:t xml:space="preserve">(Release status – </w:t>
      </w:r>
      <w:r w:rsidR="00E01A12" w:rsidRPr="00E01A12">
        <w:t>unrestricted</w:t>
      </w:r>
      <w:r>
        <w:t>)</w:t>
      </w: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44AEB" w:rsidRDefault="00844AEB" w:rsidP="00AA64A3">
      <w:pPr>
        <w:pStyle w:val="StyleCentered"/>
      </w:pPr>
      <w:r>
        <w:rPr>
          <w:noProof/>
          <w:lang w:eastAsia="en-AU"/>
        </w:rPr>
        <w:drawing>
          <wp:inline distT="0" distB="0" distL="0" distR="0">
            <wp:extent cx="2672442" cy="990600"/>
            <wp:effectExtent l="0" t="0" r="0"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20" cstate="email"/>
                    <a:stretch>
                      <a:fillRect/>
                    </a:stretch>
                  </pic:blipFill>
                  <pic:spPr>
                    <a:xfrm>
                      <a:off x="0" y="0"/>
                      <a:ext cx="2672442" cy="990600"/>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Default="00C12534">
      <w:pPr>
        <w:rPr>
          <w:i/>
          <w:sz w:val="18"/>
        </w:rPr>
      </w:pPr>
      <w:r>
        <w:rPr>
          <w:i/>
          <w:sz w:val="18"/>
        </w:rPr>
        <w:lastRenderedPageBreak/>
        <w:t>How to cite this report:</w:t>
      </w:r>
    </w:p>
    <w:p w:rsidR="00C12534" w:rsidRPr="007C74F7" w:rsidRDefault="00DC4556" w:rsidP="007C74F7">
      <w:pPr>
        <w:pStyle w:val="referencelist1"/>
        <w:rPr>
          <w:rFonts w:ascii="Garamond" w:hAnsi="Garamond"/>
          <w:b/>
          <w:sz w:val="20"/>
        </w:rPr>
      </w:pPr>
      <w:r w:rsidRPr="000564B1">
        <w:rPr>
          <w:rFonts w:ascii="Garamond" w:hAnsi="Garamond"/>
          <w:sz w:val="20"/>
        </w:rPr>
        <w:t xml:space="preserve">Bollhöfer A, Medley P &amp; Marshall S 2015. A summary and review of </w:t>
      </w:r>
      <w:r w:rsidRPr="000564B1">
        <w:rPr>
          <w:rFonts w:ascii="Garamond" w:hAnsi="Garamond"/>
          <w:b/>
          <w:i/>
          <w:sz w:val="20"/>
        </w:rPr>
        <w:t>eriss</w:t>
      </w:r>
      <w:r w:rsidRPr="000564B1">
        <w:rPr>
          <w:rFonts w:ascii="Garamond" w:hAnsi="Garamond"/>
          <w:sz w:val="20"/>
        </w:rPr>
        <w:t xml:space="preserve">’ groundwater chemistry data at Ranger uranium mine. Internal Report 631, </w:t>
      </w:r>
      <w:r w:rsidRPr="000564B1">
        <w:rPr>
          <w:rFonts w:ascii="Garamond" w:hAnsi="Garamond"/>
          <w:spacing w:val="-2"/>
          <w:sz w:val="20"/>
        </w:rPr>
        <w:t>February, Supervising Scientist, Darwin.</w:t>
      </w:r>
    </w:p>
    <w:p w:rsidR="003535B5" w:rsidRPr="007C74F7" w:rsidRDefault="003535B5" w:rsidP="00AA2431">
      <w:pPr>
        <w:rPr>
          <w:rStyle w:val="Style9ptItalicRed"/>
          <w:color w:val="auto"/>
        </w:rPr>
      </w:pPr>
      <w:r w:rsidRPr="007C74F7">
        <w:rPr>
          <w:rStyle w:val="Style9ptItalicRed"/>
          <w:color w:val="auto"/>
        </w:rPr>
        <w:t>Project number</w:t>
      </w:r>
      <w:r w:rsidR="00690CAE" w:rsidRPr="007C74F7">
        <w:rPr>
          <w:rStyle w:val="Style9ptItalicRed"/>
          <w:color w:val="auto"/>
        </w:rPr>
        <w:t>:</w:t>
      </w:r>
      <w:r w:rsidRPr="007C74F7">
        <w:rPr>
          <w:rStyle w:val="Style9ptItalicRed"/>
          <w:color w:val="auto"/>
        </w:rPr>
        <w:t xml:space="preserve"> </w:t>
      </w:r>
      <w:r w:rsidR="000606DF" w:rsidRPr="007C74F7">
        <w:rPr>
          <w:rStyle w:val="Style9ptItalicRed"/>
          <w:color w:val="auto"/>
        </w:rPr>
        <w:t>MON-1996-001</w:t>
      </w:r>
    </w:p>
    <w:p w:rsidR="004A611F" w:rsidRPr="007C74F7" w:rsidRDefault="004A611F" w:rsidP="004A611F">
      <w:pPr>
        <w:rPr>
          <w:i/>
          <w:sz w:val="18"/>
        </w:rPr>
      </w:pPr>
      <w:r w:rsidRPr="007C74F7">
        <w:rPr>
          <w:i/>
          <w:sz w:val="18"/>
        </w:rPr>
        <w:t>Authors of this report:</w:t>
      </w:r>
    </w:p>
    <w:p w:rsidR="004A611F" w:rsidRPr="007C74F7" w:rsidRDefault="004A611F" w:rsidP="004A611F">
      <w:pPr>
        <w:spacing w:after="80" w:line="240" w:lineRule="auto"/>
        <w:ind w:left="357"/>
        <w:rPr>
          <w:sz w:val="20"/>
        </w:rPr>
      </w:pPr>
      <w:r w:rsidRPr="007C74F7">
        <w:rPr>
          <w:sz w:val="20"/>
        </w:rPr>
        <w:t>Andreas Bollhöfer – Environmental Research Institute of the Supervising Scientist, GPO Box 461, Darwin NT 0801, Australia</w:t>
      </w:r>
    </w:p>
    <w:p w:rsidR="000606DF" w:rsidRPr="007C74F7" w:rsidRDefault="000606DF" w:rsidP="000606DF">
      <w:pPr>
        <w:spacing w:after="80" w:line="240" w:lineRule="auto"/>
        <w:ind w:left="357"/>
        <w:rPr>
          <w:sz w:val="20"/>
        </w:rPr>
      </w:pPr>
      <w:r w:rsidRPr="007C74F7">
        <w:rPr>
          <w:sz w:val="20"/>
        </w:rPr>
        <w:t xml:space="preserve">Peter </w:t>
      </w:r>
      <w:proofErr w:type="gramStart"/>
      <w:r w:rsidRPr="007C74F7">
        <w:rPr>
          <w:sz w:val="20"/>
        </w:rPr>
        <w:t>Medley  –</w:t>
      </w:r>
      <w:proofErr w:type="gramEnd"/>
      <w:r w:rsidRPr="007C74F7">
        <w:rPr>
          <w:sz w:val="20"/>
        </w:rPr>
        <w:t xml:space="preserve"> Environmental Research Institute of the Supervising Scientist, GPO Box 461, Darwin NT 0801, Australia</w:t>
      </w:r>
    </w:p>
    <w:p w:rsidR="000606DF" w:rsidRPr="007C74F7" w:rsidRDefault="000606DF" w:rsidP="000606DF">
      <w:pPr>
        <w:spacing w:after="80" w:line="240" w:lineRule="auto"/>
        <w:ind w:left="357"/>
        <w:rPr>
          <w:sz w:val="20"/>
        </w:rPr>
      </w:pPr>
      <w:r w:rsidRPr="007C74F7">
        <w:rPr>
          <w:sz w:val="20"/>
        </w:rPr>
        <w:t>Sarah Marshall – Office of the Supervising Scientist, GPO Box 461, Darwin NT 0801, Australia</w:t>
      </w:r>
    </w:p>
    <w:p w:rsidR="000606DF" w:rsidRPr="004A611F" w:rsidRDefault="000606DF" w:rsidP="000606DF">
      <w:pPr>
        <w:spacing w:after="80" w:line="240" w:lineRule="auto"/>
        <w:ind w:left="357"/>
        <w:rPr>
          <w:color w:val="FF0000"/>
          <w:sz w:val="20"/>
        </w:rPr>
      </w:pPr>
    </w:p>
    <w:p w:rsidR="004A611F" w:rsidRDefault="004A611F" w:rsidP="004A611F"/>
    <w:p w:rsidR="00743088" w:rsidRDefault="00743088" w:rsidP="00743088">
      <w:r>
        <w:t xml:space="preserve">The Supervising Scientist is a branch of the Australian Government </w:t>
      </w:r>
      <w:r>
        <w:rPr>
          <w:lang w:eastAsia="en-AU"/>
        </w:rPr>
        <w:t>Department of the Environment.</w:t>
      </w:r>
    </w:p>
    <w:p w:rsidR="00743088" w:rsidRDefault="00743088" w:rsidP="00743088">
      <w:r>
        <w:rPr>
          <w:noProof/>
          <w:lang w:eastAsia="en-AU"/>
        </w:rPr>
        <w:drawing>
          <wp:inline distT="0" distB="0" distL="0" distR="0">
            <wp:extent cx="1524000" cy="533400"/>
            <wp:effectExtent l="19050" t="0" r="0" b="0"/>
            <wp:docPr id="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21" cstate="email"/>
                    <a:stretch>
                      <a:fillRect/>
                    </a:stretch>
                  </pic:blipFill>
                  <pic:spPr>
                    <a:xfrm>
                      <a:off x="0" y="0"/>
                      <a:ext cx="1524000" cy="533400"/>
                    </a:xfrm>
                    <a:prstGeom prst="rect">
                      <a:avLst/>
                    </a:prstGeom>
                  </pic:spPr>
                </pic:pic>
              </a:graphicData>
            </a:graphic>
          </wp:inline>
        </w:drawing>
      </w:r>
    </w:p>
    <w:p w:rsidR="00743088" w:rsidRDefault="00743088" w:rsidP="00743088">
      <w:r>
        <w:t>© Commonwealth of Australia 201</w:t>
      </w:r>
      <w:r w:rsidR="004A043B">
        <w:t>5</w:t>
      </w:r>
    </w:p>
    <w:p w:rsidR="00743088" w:rsidRDefault="00743088" w:rsidP="00743088">
      <w:pPr>
        <w:spacing w:after="0"/>
      </w:pPr>
      <w:r>
        <w:t>Supervising Scientist</w:t>
      </w:r>
    </w:p>
    <w:p w:rsidR="00743088" w:rsidRDefault="00743088" w:rsidP="00743088">
      <w:pPr>
        <w:spacing w:after="0"/>
      </w:pPr>
      <w:r>
        <w:rPr>
          <w:lang w:eastAsia="en-AU"/>
        </w:rPr>
        <w:t xml:space="preserve">Department of the Environment </w:t>
      </w:r>
    </w:p>
    <w:p w:rsidR="00743088" w:rsidRDefault="00743088" w:rsidP="00743088">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Australia</w:t>
      </w:r>
    </w:p>
    <w:p w:rsidR="000606DF" w:rsidRDefault="000606DF" w:rsidP="00743088">
      <w:pPr>
        <w:jc w:val="left"/>
        <w:rPr>
          <w:b/>
          <w:lang w:val="de-DE"/>
        </w:rPr>
      </w:pPr>
      <w:r w:rsidRPr="000606DF">
        <w:rPr>
          <w:b/>
          <w:lang w:val="de-DE"/>
        </w:rPr>
        <w:t>environment.gov.au</w:t>
      </w:r>
      <w:r w:rsidRPr="000606DF">
        <w:rPr>
          <w:lang w:val="de-DE"/>
        </w:rPr>
        <w:t>/science/supervising-scientist/publications</w:t>
      </w:r>
    </w:p>
    <w:p w:rsidR="00743088" w:rsidRDefault="00BF5E38" w:rsidP="00743088">
      <w:pPr>
        <w:jc w:val="left"/>
      </w:pPr>
      <w:r>
        <w:t>IR</w:t>
      </w:r>
      <w:r w:rsidR="000606DF">
        <w:t>631</w:t>
      </w:r>
      <w:r>
        <w:t xml:space="preserve"> </w:t>
      </w:r>
      <w:r w:rsidR="00743088">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00743088" w:rsidRPr="00061571">
          <w:rPr>
            <w:rStyle w:val="Hyperlink"/>
          </w:rPr>
          <w:t xml:space="preserve">http://creativecommons.org/licenses/by/3.0/au/ </w:t>
        </w:r>
      </w:hyperlink>
      <w:bookmarkStart w:id="7" w:name="_Toc513964642"/>
      <w:bookmarkStart w:id="8" w:name="_Toc529153317"/>
      <w:bookmarkStart w:id="9" w:name="_Toc529257114"/>
      <w:bookmarkStart w:id="10" w:name="_Toc530561182"/>
      <w:bookmarkStart w:id="11" w:name="_Toc328494"/>
      <w:bookmarkStart w:id="12" w:name="_Toc10348567"/>
      <w:bookmarkStart w:id="13" w:name="_Toc10440452"/>
      <w:bookmarkStart w:id="14" w:name="_Toc14069262"/>
      <w:bookmarkStart w:id="15" w:name="_Toc44923914"/>
      <w:bookmarkStart w:id="16" w:name="_Toc44999410"/>
      <w:bookmarkStart w:id="17" w:name="_Toc45098428"/>
      <w:bookmarkStart w:id="18" w:name="_Toc45703076"/>
    </w:p>
    <w:p w:rsidR="00743088" w:rsidRPr="00892A8E" w:rsidRDefault="00743088" w:rsidP="00743088">
      <w:pPr>
        <w:rPr>
          <w:b/>
          <w:spacing w:val="-2"/>
          <w:lang w:val="en-US" w:eastAsia="en-AU"/>
        </w:rPr>
      </w:pPr>
      <w:r w:rsidRPr="00892A8E">
        <w:rPr>
          <w:b/>
          <w:spacing w:val="-2"/>
          <w:lang w:val="en-US" w:eastAsia="en-AU"/>
        </w:rPr>
        <w:t>Disclaimer</w:t>
      </w:r>
    </w:p>
    <w:p w:rsidR="00743088" w:rsidRDefault="00743088" w:rsidP="00743088">
      <w:pPr>
        <w:rPr>
          <w:spacing w:val="-2"/>
          <w:lang w:val="en-US" w:eastAsia="en-AU"/>
        </w:rPr>
      </w:pPr>
      <w:r w:rsidRPr="00BF5E38">
        <w:rPr>
          <w:spacing w:val="-2"/>
          <w:lang w:val="en-US" w:eastAsia="en-AU"/>
        </w:rPr>
        <w:t>The views and opinions expressed in this publication are those of the authors and do not necessarily reflect those of the Australian Government or the</w:t>
      </w:r>
      <w:r>
        <w:rPr>
          <w:spacing w:val="-2"/>
          <w:lang w:val="en-US" w:eastAsia="en-AU"/>
        </w:rPr>
        <w:t xml:space="preserve"> Minister for the Environment. </w:t>
      </w:r>
    </w:p>
    <w:p w:rsidR="00743088" w:rsidRDefault="00743088" w:rsidP="00743088">
      <w:pPr>
        <w:rPr>
          <w:spacing w:val="-2"/>
          <w:lang w:val="en-US" w:eastAsia="en-AU"/>
        </w:rPr>
      </w:pPr>
      <w:r w:rsidRPr="00BF5E38">
        <w:rPr>
          <w:spacing w:val="-2"/>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0606DF" w:rsidRDefault="000606DF" w:rsidP="00743088"/>
    <w:p w:rsidR="00743088" w:rsidRDefault="00743088" w:rsidP="00743088">
      <w:r>
        <w:t>Printed and bound in Darwin NT by Supervising Scientist</w:t>
      </w:r>
      <w:r w:rsidR="000606DF">
        <w:t>.</w:t>
      </w:r>
    </w:p>
    <w:p w:rsidR="00743088" w:rsidRPr="00743088" w:rsidRDefault="00743088" w:rsidP="00743088">
      <w:pPr>
        <w:jc w:val="left"/>
        <w:sectPr w:rsidR="00743088" w:rsidRPr="00743088" w:rsidSect="009F0281">
          <w:pgSz w:w="11906" w:h="16838" w:code="9"/>
          <w:pgMar w:top="1440" w:right="1800" w:bottom="1440" w:left="1800" w:header="1080" w:footer="835" w:gutter="0"/>
          <w:pgNumType w:fmt="lowerRoman"/>
          <w:cols w:space="360"/>
          <w:noEndnote/>
        </w:sectPr>
      </w:pPr>
    </w:p>
    <w:p w:rsidR="00885B0A" w:rsidRDefault="00885B0A">
      <w:pPr>
        <w:pStyle w:val="Heading1"/>
      </w:pPr>
      <w:bookmarkStart w:id="19" w:name="_Toc52076361"/>
      <w:bookmarkStart w:id="20" w:name="_Toc52076386"/>
      <w:bookmarkStart w:id="21" w:name="_Toc411850654"/>
      <w:bookmarkStart w:id="22" w:name="_Toc411850898"/>
      <w:bookmarkStart w:id="23" w:name="_Toc412115339"/>
      <w:bookmarkStart w:id="24" w:name="_Toc413230051"/>
      <w:r>
        <w:t>Contents</w:t>
      </w:r>
      <w:bookmarkStart w:id="25" w:name="_Toc529153318"/>
      <w:bookmarkStart w:id="26" w:name="_Toc529257115"/>
      <w:bookmarkStart w:id="27" w:name="_Toc530561183"/>
      <w:bookmarkStart w:id="28" w:name="_Toc1034856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sdt>
      <w:sdtPr>
        <w:rPr>
          <w:rFonts w:ascii="Garamond" w:hAnsi="Garamond"/>
          <w:sz w:val="24"/>
        </w:rPr>
        <w:id w:val="8598495"/>
        <w:docPartObj>
          <w:docPartGallery w:val="Table of Contents"/>
          <w:docPartUnique/>
        </w:docPartObj>
      </w:sdtPr>
      <w:sdtContent>
        <w:p w:rsidR="00615804" w:rsidRDefault="00BA3FC5" w:rsidP="00615804">
          <w:pPr>
            <w:pStyle w:val="TOC3"/>
            <w:rPr>
              <w:rFonts w:asciiTheme="minorHAnsi" w:eastAsiaTheme="minorEastAsia" w:hAnsiTheme="minorHAnsi" w:cstheme="minorBidi"/>
              <w:b/>
              <w:noProof/>
              <w:sz w:val="22"/>
              <w:szCs w:val="22"/>
              <w:lang w:eastAsia="en-AU"/>
            </w:rPr>
          </w:pPr>
          <w:r w:rsidRPr="00BA3FC5">
            <w:fldChar w:fldCharType="begin"/>
          </w:r>
          <w:r w:rsidR="00B57923">
            <w:instrText xml:space="preserve"> TOC \o "1-3" \h \z \u </w:instrText>
          </w:r>
          <w:r w:rsidRPr="00BA3FC5">
            <w:fldChar w:fldCharType="separate"/>
          </w:r>
        </w:p>
        <w:p w:rsidR="00615804" w:rsidRDefault="00BA3FC5">
          <w:pPr>
            <w:pStyle w:val="TOC1"/>
            <w:rPr>
              <w:rFonts w:asciiTheme="minorHAnsi" w:eastAsiaTheme="minorEastAsia" w:hAnsiTheme="minorHAnsi" w:cstheme="minorBidi"/>
              <w:b w:val="0"/>
              <w:noProof/>
              <w:sz w:val="22"/>
              <w:szCs w:val="22"/>
              <w:lang w:eastAsia="en-AU"/>
            </w:rPr>
          </w:pPr>
          <w:hyperlink w:anchor="_Toc413230052" w:history="1">
            <w:r w:rsidR="00615804" w:rsidRPr="002E6B64">
              <w:rPr>
                <w:rStyle w:val="Hyperlink"/>
                <w:noProof/>
              </w:rPr>
              <w:t>1 Background</w:t>
            </w:r>
            <w:r w:rsidR="00615804">
              <w:rPr>
                <w:noProof/>
                <w:webHidden/>
              </w:rPr>
              <w:tab/>
            </w:r>
            <w:r>
              <w:rPr>
                <w:noProof/>
                <w:webHidden/>
              </w:rPr>
              <w:fldChar w:fldCharType="begin"/>
            </w:r>
            <w:r w:rsidR="00615804">
              <w:rPr>
                <w:noProof/>
                <w:webHidden/>
              </w:rPr>
              <w:instrText xml:space="preserve"> PAGEREF _Toc413230052 \h </w:instrText>
            </w:r>
            <w:r>
              <w:rPr>
                <w:noProof/>
                <w:webHidden/>
              </w:rPr>
            </w:r>
            <w:r>
              <w:rPr>
                <w:noProof/>
                <w:webHidden/>
              </w:rPr>
              <w:fldChar w:fldCharType="separate"/>
            </w:r>
            <w:r w:rsidR="00615804">
              <w:rPr>
                <w:noProof/>
                <w:webHidden/>
              </w:rPr>
              <w:t>6</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53" w:history="1">
            <w:r w:rsidR="00615804" w:rsidRPr="002E6B64">
              <w:rPr>
                <w:rStyle w:val="Hyperlink"/>
                <w:noProof/>
              </w:rPr>
              <w:t>1.1 Aquifers at Ranger</w:t>
            </w:r>
            <w:r w:rsidR="00615804">
              <w:rPr>
                <w:noProof/>
                <w:webHidden/>
              </w:rPr>
              <w:tab/>
            </w:r>
            <w:r>
              <w:rPr>
                <w:noProof/>
                <w:webHidden/>
              </w:rPr>
              <w:fldChar w:fldCharType="begin"/>
            </w:r>
            <w:r w:rsidR="00615804">
              <w:rPr>
                <w:noProof/>
                <w:webHidden/>
              </w:rPr>
              <w:instrText xml:space="preserve"> PAGEREF _Toc413230053 \h </w:instrText>
            </w:r>
            <w:r>
              <w:rPr>
                <w:noProof/>
                <w:webHidden/>
              </w:rPr>
            </w:r>
            <w:r>
              <w:rPr>
                <w:noProof/>
                <w:webHidden/>
              </w:rPr>
              <w:fldChar w:fldCharType="separate"/>
            </w:r>
            <w:r w:rsidR="00615804">
              <w:rPr>
                <w:noProof/>
                <w:webHidden/>
              </w:rPr>
              <w:t>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54" w:history="1">
            <w:r w:rsidR="00615804" w:rsidRPr="002E6B64">
              <w:rPr>
                <w:rStyle w:val="Hyperlink"/>
                <w:noProof/>
              </w:rPr>
              <w:t>1.2 Groundwater contaminants</w:t>
            </w:r>
            <w:r w:rsidR="00615804">
              <w:rPr>
                <w:noProof/>
                <w:webHidden/>
              </w:rPr>
              <w:tab/>
            </w:r>
            <w:r>
              <w:rPr>
                <w:noProof/>
                <w:webHidden/>
              </w:rPr>
              <w:fldChar w:fldCharType="begin"/>
            </w:r>
            <w:r w:rsidR="00615804">
              <w:rPr>
                <w:noProof/>
                <w:webHidden/>
              </w:rPr>
              <w:instrText xml:space="preserve"> PAGEREF _Toc413230054 \h </w:instrText>
            </w:r>
            <w:r>
              <w:rPr>
                <w:noProof/>
                <w:webHidden/>
              </w:rPr>
            </w:r>
            <w:r>
              <w:rPr>
                <w:noProof/>
                <w:webHidden/>
              </w:rPr>
              <w:fldChar w:fldCharType="separate"/>
            </w:r>
            <w:r w:rsidR="00615804">
              <w:rPr>
                <w:noProof/>
                <w:webHidden/>
              </w:rPr>
              <w:t>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55" w:history="1">
            <w:r w:rsidR="00615804" w:rsidRPr="002E6B64">
              <w:rPr>
                <w:rStyle w:val="Hyperlink"/>
                <w:noProof/>
              </w:rPr>
              <w:t>1.3 Solute transport</w:t>
            </w:r>
            <w:r w:rsidR="00615804">
              <w:rPr>
                <w:noProof/>
                <w:webHidden/>
              </w:rPr>
              <w:tab/>
            </w:r>
            <w:r>
              <w:rPr>
                <w:noProof/>
                <w:webHidden/>
              </w:rPr>
              <w:fldChar w:fldCharType="begin"/>
            </w:r>
            <w:r w:rsidR="00615804">
              <w:rPr>
                <w:noProof/>
                <w:webHidden/>
              </w:rPr>
              <w:instrText xml:space="preserve"> PAGEREF _Toc413230055 \h </w:instrText>
            </w:r>
            <w:r>
              <w:rPr>
                <w:noProof/>
                <w:webHidden/>
              </w:rPr>
            </w:r>
            <w:r>
              <w:rPr>
                <w:noProof/>
                <w:webHidden/>
              </w:rPr>
              <w:fldChar w:fldCharType="separate"/>
            </w:r>
            <w:r w:rsidR="00615804">
              <w:rPr>
                <w:noProof/>
                <w:webHidden/>
              </w:rPr>
              <w:t>12</w:t>
            </w:r>
            <w:r>
              <w:rPr>
                <w:noProof/>
                <w:webHidden/>
              </w:rPr>
              <w:fldChar w:fldCharType="end"/>
            </w:r>
          </w:hyperlink>
        </w:p>
        <w:p w:rsidR="00615804" w:rsidRDefault="00BA3FC5">
          <w:pPr>
            <w:pStyle w:val="TOC1"/>
            <w:rPr>
              <w:rFonts w:asciiTheme="minorHAnsi" w:eastAsiaTheme="minorEastAsia" w:hAnsiTheme="minorHAnsi" w:cstheme="minorBidi"/>
              <w:b w:val="0"/>
              <w:noProof/>
              <w:sz w:val="22"/>
              <w:szCs w:val="22"/>
              <w:lang w:eastAsia="en-AU"/>
            </w:rPr>
          </w:pPr>
          <w:hyperlink w:anchor="_Toc413230056" w:history="1">
            <w:r w:rsidR="00615804" w:rsidRPr="002E6B64">
              <w:rPr>
                <w:rStyle w:val="Hyperlink"/>
                <w:noProof/>
              </w:rPr>
              <w:t>2 Methods</w:t>
            </w:r>
            <w:r w:rsidR="00615804">
              <w:rPr>
                <w:noProof/>
                <w:webHidden/>
              </w:rPr>
              <w:tab/>
            </w:r>
            <w:r>
              <w:rPr>
                <w:noProof/>
                <w:webHidden/>
              </w:rPr>
              <w:fldChar w:fldCharType="begin"/>
            </w:r>
            <w:r w:rsidR="00615804">
              <w:rPr>
                <w:noProof/>
                <w:webHidden/>
              </w:rPr>
              <w:instrText xml:space="preserve"> PAGEREF _Toc413230056 \h </w:instrText>
            </w:r>
            <w:r>
              <w:rPr>
                <w:noProof/>
                <w:webHidden/>
              </w:rPr>
            </w:r>
            <w:r>
              <w:rPr>
                <w:noProof/>
                <w:webHidden/>
              </w:rPr>
              <w:fldChar w:fldCharType="separate"/>
            </w:r>
            <w:r w:rsidR="00615804">
              <w:rPr>
                <w:noProof/>
                <w:webHidden/>
              </w:rPr>
              <w:t>15</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57" w:history="1">
            <w:r w:rsidR="00615804" w:rsidRPr="002E6B64">
              <w:rPr>
                <w:rStyle w:val="Hyperlink"/>
                <w:noProof/>
              </w:rPr>
              <w:t>2.1  Bore locations</w:t>
            </w:r>
            <w:r w:rsidR="00615804">
              <w:rPr>
                <w:noProof/>
                <w:webHidden/>
              </w:rPr>
              <w:tab/>
            </w:r>
            <w:r>
              <w:rPr>
                <w:noProof/>
                <w:webHidden/>
              </w:rPr>
              <w:fldChar w:fldCharType="begin"/>
            </w:r>
            <w:r w:rsidR="00615804">
              <w:rPr>
                <w:noProof/>
                <w:webHidden/>
              </w:rPr>
              <w:instrText xml:space="preserve"> PAGEREF _Toc413230057 \h </w:instrText>
            </w:r>
            <w:r>
              <w:rPr>
                <w:noProof/>
                <w:webHidden/>
              </w:rPr>
            </w:r>
            <w:r>
              <w:rPr>
                <w:noProof/>
                <w:webHidden/>
              </w:rPr>
              <w:fldChar w:fldCharType="separate"/>
            </w:r>
            <w:r w:rsidR="00615804">
              <w:rPr>
                <w:noProof/>
                <w:webHidden/>
              </w:rPr>
              <w:t>15</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58" w:history="1">
            <w:r w:rsidR="00615804" w:rsidRPr="002E6B64">
              <w:rPr>
                <w:rStyle w:val="Hyperlink"/>
                <w:noProof/>
              </w:rPr>
              <w:t>2.2 Analytical methods</w:t>
            </w:r>
            <w:r w:rsidR="00615804">
              <w:rPr>
                <w:noProof/>
                <w:webHidden/>
              </w:rPr>
              <w:tab/>
            </w:r>
            <w:r>
              <w:rPr>
                <w:noProof/>
                <w:webHidden/>
              </w:rPr>
              <w:fldChar w:fldCharType="begin"/>
            </w:r>
            <w:r w:rsidR="00615804">
              <w:rPr>
                <w:noProof/>
                <w:webHidden/>
              </w:rPr>
              <w:instrText xml:space="preserve"> PAGEREF _Toc413230058 \h </w:instrText>
            </w:r>
            <w:r>
              <w:rPr>
                <w:noProof/>
                <w:webHidden/>
              </w:rPr>
            </w:r>
            <w:r>
              <w:rPr>
                <w:noProof/>
                <w:webHidden/>
              </w:rPr>
              <w:fldChar w:fldCharType="separate"/>
            </w:r>
            <w:r w:rsidR="00615804">
              <w:rPr>
                <w:noProof/>
                <w:webHidden/>
              </w:rPr>
              <w:t>27</w:t>
            </w:r>
            <w:r>
              <w:rPr>
                <w:noProof/>
                <w:webHidden/>
              </w:rPr>
              <w:fldChar w:fldCharType="end"/>
            </w:r>
          </w:hyperlink>
        </w:p>
        <w:p w:rsidR="00615804" w:rsidRDefault="00BA3FC5">
          <w:pPr>
            <w:pStyle w:val="TOC1"/>
            <w:rPr>
              <w:rFonts w:asciiTheme="minorHAnsi" w:eastAsiaTheme="minorEastAsia" w:hAnsiTheme="minorHAnsi" w:cstheme="minorBidi"/>
              <w:b w:val="0"/>
              <w:noProof/>
              <w:sz w:val="22"/>
              <w:szCs w:val="22"/>
              <w:lang w:eastAsia="en-AU"/>
            </w:rPr>
          </w:pPr>
          <w:hyperlink w:anchor="_Toc413230059" w:history="1">
            <w:r w:rsidR="00615804" w:rsidRPr="002E6B64">
              <w:rPr>
                <w:rStyle w:val="Hyperlink"/>
                <w:noProof/>
              </w:rPr>
              <w:t>3 Results</w:t>
            </w:r>
            <w:r w:rsidR="00615804">
              <w:rPr>
                <w:noProof/>
                <w:webHidden/>
              </w:rPr>
              <w:tab/>
            </w:r>
            <w:r>
              <w:rPr>
                <w:noProof/>
                <w:webHidden/>
              </w:rPr>
              <w:fldChar w:fldCharType="begin"/>
            </w:r>
            <w:r w:rsidR="00615804">
              <w:rPr>
                <w:noProof/>
                <w:webHidden/>
              </w:rPr>
              <w:instrText xml:space="preserve"> PAGEREF _Toc413230059 \h </w:instrText>
            </w:r>
            <w:r>
              <w:rPr>
                <w:noProof/>
                <w:webHidden/>
              </w:rPr>
            </w:r>
            <w:r>
              <w:rPr>
                <w:noProof/>
                <w:webHidden/>
              </w:rPr>
              <w:fldChar w:fldCharType="separate"/>
            </w:r>
            <w:r w:rsidR="00615804">
              <w:rPr>
                <w:noProof/>
                <w:webHidden/>
              </w:rPr>
              <w:t>31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0" w:history="1">
            <w:r w:rsidR="00615804" w:rsidRPr="002E6B64">
              <w:rPr>
                <w:rStyle w:val="Hyperlink"/>
                <w:noProof/>
              </w:rPr>
              <w:t>3.1 Bores in the Coonjimba catchment and RP1</w:t>
            </w:r>
            <w:r w:rsidR="00615804">
              <w:rPr>
                <w:noProof/>
                <w:webHidden/>
              </w:rPr>
              <w:tab/>
            </w:r>
            <w:r>
              <w:rPr>
                <w:noProof/>
                <w:webHidden/>
              </w:rPr>
              <w:fldChar w:fldCharType="begin"/>
            </w:r>
            <w:r w:rsidR="00615804">
              <w:rPr>
                <w:noProof/>
                <w:webHidden/>
              </w:rPr>
              <w:instrText xml:space="preserve"> PAGEREF _Toc413230060 \h </w:instrText>
            </w:r>
            <w:r>
              <w:rPr>
                <w:noProof/>
                <w:webHidden/>
              </w:rPr>
            </w:r>
            <w:r>
              <w:rPr>
                <w:noProof/>
                <w:webHidden/>
              </w:rPr>
              <w:fldChar w:fldCharType="separate"/>
            </w:r>
            <w:r w:rsidR="00615804">
              <w:rPr>
                <w:noProof/>
                <w:webHidden/>
              </w:rPr>
              <w:t>31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1" w:history="1">
            <w:r w:rsidR="00615804" w:rsidRPr="002E6B64">
              <w:rPr>
                <w:rStyle w:val="Hyperlink"/>
                <w:noProof/>
              </w:rPr>
              <w:t>3.2 Bores in the TSF north area</w:t>
            </w:r>
            <w:r w:rsidR="00615804">
              <w:rPr>
                <w:noProof/>
                <w:webHidden/>
              </w:rPr>
              <w:tab/>
            </w:r>
            <w:r>
              <w:rPr>
                <w:noProof/>
                <w:webHidden/>
              </w:rPr>
              <w:fldChar w:fldCharType="begin"/>
            </w:r>
            <w:r w:rsidR="00615804">
              <w:rPr>
                <w:noProof/>
                <w:webHidden/>
              </w:rPr>
              <w:instrText xml:space="preserve"> PAGEREF _Toc413230061 \h </w:instrText>
            </w:r>
            <w:r>
              <w:rPr>
                <w:noProof/>
                <w:webHidden/>
              </w:rPr>
            </w:r>
            <w:r>
              <w:rPr>
                <w:noProof/>
                <w:webHidden/>
              </w:rPr>
              <w:fldChar w:fldCharType="separate"/>
            </w:r>
            <w:r w:rsidR="00615804">
              <w:rPr>
                <w:noProof/>
                <w:webHidden/>
              </w:rPr>
              <w:t>34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2" w:history="1">
            <w:r w:rsidR="00615804" w:rsidRPr="002E6B64">
              <w:rPr>
                <w:rStyle w:val="Hyperlink"/>
                <w:noProof/>
              </w:rPr>
              <w:t>3.3 Bores to the north-west of the TSF and in the Gulungul catchment</w:t>
            </w:r>
            <w:r w:rsidR="00615804">
              <w:rPr>
                <w:noProof/>
                <w:webHidden/>
              </w:rPr>
              <w:tab/>
            </w:r>
            <w:r>
              <w:rPr>
                <w:noProof/>
                <w:webHidden/>
              </w:rPr>
              <w:fldChar w:fldCharType="begin"/>
            </w:r>
            <w:r w:rsidR="00615804">
              <w:rPr>
                <w:noProof/>
                <w:webHidden/>
              </w:rPr>
              <w:instrText xml:space="preserve"> PAGEREF _Toc413230062 \h </w:instrText>
            </w:r>
            <w:r>
              <w:rPr>
                <w:noProof/>
                <w:webHidden/>
              </w:rPr>
            </w:r>
            <w:r>
              <w:rPr>
                <w:noProof/>
                <w:webHidden/>
              </w:rPr>
              <w:fldChar w:fldCharType="separate"/>
            </w:r>
            <w:r w:rsidR="00615804">
              <w:rPr>
                <w:noProof/>
                <w:webHidden/>
              </w:rPr>
              <w:t>39</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3" w:history="1">
            <w:r w:rsidR="00615804" w:rsidRPr="002E6B64">
              <w:rPr>
                <w:rStyle w:val="Hyperlink"/>
                <w:noProof/>
              </w:rPr>
              <w:t>3.4 Bores close to the south and south-west wall of the TSF</w:t>
            </w:r>
            <w:r w:rsidR="00615804">
              <w:rPr>
                <w:noProof/>
                <w:webHidden/>
              </w:rPr>
              <w:tab/>
            </w:r>
            <w:r>
              <w:rPr>
                <w:noProof/>
                <w:webHidden/>
              </w:rPr>
              <w:fldChar w:fldCharType="begin"/>
            </w:r>
            <w:r w:rsidR="00615804">
              <w:rPr>
                <w:noProof/>
                <w:webHidden/>
              </w:rPr>
              <w:instrText xml:space="preserve"> PAGEREF _Toc413230063 \h </w:instrText>
            </w:r>
            <w:r>
              <w:rPr>
                <w:noProof/>
                <w:webHidden/>
              </w:rPr>
            </w:r>
            <w:r>
              <w:rPr>
                <w:noProof/>
                <w:webHidden/>
              </w:rPr>
              <w:fldChar w:fldCharType="separate"/>
            </w:r>
            <w:r w:rsidR="00615804">
              <w:rPr>
                <w:noProof/>
                <w:webHidden/>
              </w:rPr>
              <w:t>42</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4" w:history="1">
            <w:r w:rsidR="00615804" w:rsidRPr="002E6B64">
              <w:rPr>
                <w:rStyle w:val="Hyperlink"/>
                <w:noProof/>
              </w:rPr>
              <w:t>3.5 Bores south of the TSF</w:t>
            </w:r>
            <w:r w:rsidR="00615804">
              <w:rPr>
                <w:noProof/>
                <w:webHidden/>
              </w:rPr>
              <w:tab/>
            </w:r>
            <w:r>
              <w:rPr>
                <w:noProof/>
                <w:webHidden/>
              </w:rPr>
              <w:fldChar w:fldCharType="begin"/>
            </w:r>
            <w:r w:rsidR="00615804">
              <w:rPr>
                <w:noProof/>
                <w:webHidden/>
              </w:rPr>
              <w:instrText xml:space="preserve"> PAGEREF _Toc413230064 \h </w:instrText>
            </w:r>
            <w:r>
              <w:rPr>
                <w:noProof/>
                <w:webHidden/>
              </w:rPr>
            </w:r>
            <w:r>
              <w:rPr>
                <w:noProof/>
                <w:webHidden/>
              </w:rPr>
              <w:fldChar w:fldCharType="separate"/>
            </w:r>
            <w:r w:rsidR="00615804">
              <w:rPr>
                <w:noProof/>
                <w:webHidden/>
              </w:rPr>
              <w:t>45</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5" w:history="1">
            <w:r w:rsidR="00615804" w:rsidRPr="002E6B64">
              <w:rPr>
                <w:rStyle w:val="Hyperlink"/>
                <w:noProof/>
              </w:rPr>
              <w:t>3.6 Bores in the vicinity of Pit 1 and in the Corridor and Georgetown Creek catchments</w:t>
            </w:r>
            <w:r w:rsidR="00615804">
              <w:rPr>
                <w:noProof/>
                <w:webHidden/>
              </w:rPr>
              <w:tab/>
            </w:r>
            <w:r>
              <w:rPr>
                <w:noProof/>
                <w:webHidden/>
              </w:rPr>
              <w:fldChar w:fldCharType="begin"/>
            </w:r>
            <w:r w:rsidR="00615804">
              <w:rPr>
                <w:noProof/>
                <w:webHidden/>
              </w:rPr>
              <w:instrText xml:space="preserve"> PAGEREF _Toc413230065 \h </w:instrText>
            </w:r>
            <w:r>
              <w:rPr>
                <w:noProof/>
                <w:webHidden/>
              </w:rPr>
            </w:r>
            <w:r>
              <w:rPr>
                <w:noProof/>
                <w:webHidden/>
              </w:rPr>
              <w:fldChar w:fldCharType="separate"/>
            </w:r>
            <w:r w:rsidR="00615804">
              <w:rPr>
                <w:noProof/>
                <w:webHidden/>
              </w:rPr>
              <w:t>48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6" w:history="1">
            <w:r w:rsidR="00615804" w:rsidRPr="002E6B64">
              <w:rPr>
                <w:rStyle w:val="Hyperlink"/>
                <w:noProof/>
              </w:rPr>
              <w:t>3.7 Bores in the RP2 and Pit 3 area</w:t>
            </w:r>
            <w:r w:rsidR="00615804">
              <w:rPr>
                <w:noProof/>
                <w:webHidden/>
              </w:rPr>
              <w:tab/>
            </w:r>
            <w:r>
              <w:rPr>
                <w:noProof/>
                <w:webHidden/>
              </w:rPr>
              <w:fldChar w:fldCharType="begin"/>
            </w:r>
            <w:r w:rsidR="00615804">
              <w:rPr>
                <w:noProof/>
                <w:webHidden/>
              </w:rPr>
              <w:instrText xml:space="preserve"> PAGEREF _Toc413230066 \h </w:instrText>
            </w:r>
            <w:r>
              <w:rPr>
                <w:noProof/>
                <w:webHidden/>
              </w:rPr>
            </w:r>
            <w:r>
              <w:rPr>
                <w:noProof/>
                <w:webHidden/>
              </w:rPr>
              <w:fldChar w:fldCharType="separate"/>
            </w:r>
            <w:r w:rsidR="00615804">
              <w:rPr>
                <w:noProof/>
                <w:webHidden/>
              </w:rPr>
              <w:t>51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7" w:history="1">
            <w:r w:rsidR="00615804" w:rsidRPr="002E6B64">
              <w:rPr>
                <w:rStyle w:val="Hyperlink"/>
                <w:noProof/>
              </w:rPr>
              <w:t>3.8 Bores in the Djalkmarra Billabong and Magela Creek area</w:t>
            </w:r>
            <w:r w:rsidR="00615804">
              <w:rPr>
                <w:noProof/>
                <w:webHidden/>
              </w:rPr>
              <w:tab/>
            </w:r>
            <w:r>
              <w:rPr>
                <w:noProof/>
                <w:webHidden/>
              </w:rPr>
              <w:fldChar w:fldCharType="begin"/>
            </w:r>
            <w:r w:rsidR="00615804">
              <w:rPr>
                <w:noProof/>
                <w:webHidden/>
              </w:rPr>
              <w:instrText xml:space="preserve"> PAGEREF _Toc413230067 \h </w:instrText>
            </w:r>
            <w:r>
              <w:rPr>
                <w:noProof/>
                <w:webHidden/>
              </w:rPr>
            </w:r>
            <w:r>
              <w:rPr>
                <w:noProof/>
                <w:webHidden/>
              </w:rPr>
              <w:fldChar w:fldCharType="separate"/>
            </w:r>
            <w:r w:rsidR="00615804">
              <w:rPr>
                <w:noProof/>
                <w:webHidden/>
              </w:rPr>
              <w:t>54</w:t>
            </w:r>
            <w:r>
              <w:rPr>
                <w:noProof/>
                <w:webHidden/>
              </w:rPr>
              <w:fldChar w:fldCharType="end"/>
            </w:r>
          </w:hyperlink>
        </w:p>
        <w:p w:rsidR="00615804" w:rsidRDefault="00BA3FC5">
          <w:pPr>
            <w:pStyle w:val="TOC1"/>
            <w:rPr>
              <w:rFonts w:asciiTheme="minorHAnsi" w:eastAsiaTheme="minorEastAsia" w:hAnsiTheme="minorHAnsi" w:cstheme="minorBidi"/>
              <w:b w:val="0"/>
              <w:noProof/>
              <w:sz w:val="22"/>
              <w:szCs w:val="22"/>
              <w:lang w:eastAsia="en-AU"/>
            </w:rPr>
          </w:pPr>
          <w:hyperlink w:anchor="_Toc413230068" w:history="1">
            <w:r w:rsidR="00615804" w:rsidRPr="002E6B64">
              <w:rPr>
                <w:rStyle w:val="Hyperlink"/>
                <w:noProof/>
              </w:rPr>
              <w:t>4 Discussion</w:t>
            </w:r>
            <w:r w:rsidR="00615804">
              <w:rPr>
                <w:noProof/>
                <w:webHidden/>
              </w:rPr>
              <w:tab/>
            </w:r>
            <w:r>
              <w:rPr>
                <w:noProof/>
                <w:webHidden/>
              </w:rPr>
              <w:fldChar w:fldCharType="begin"/>
            </w:r>
            <w:r w:rsidR="00615804">
              <w:rPr>
                <w:noProof/>
                <w:webHidden/>
              </w:rPr>
              <w:instrText xml:space="preserve"> PAGEREF _Toc413230068 \h </w:instrText>
            </w:r>
            <w:r>
              <w:rPr>
                <w:noProof/>
                <w:webHidden/>
              </w:rPr>
            </w:r>
            <w:r>
              <w:rPr>
                <w:noProof/>
                <w:webHidden/>
              </w:rPr>
              <w:fldChar w:fldCharType="separate"/>
            </w:r>
            <w:r w:rsidR="00615804">
              <w:rPr>
                <w:noProof/>
                <w:webHidden/>
              </w:rPr>
              <w:t>58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69" w:history="1">
            <w:r w:rsidR="00615804" w:rsidRPr="002E6B64">
              <w:rPr>
                <w:rStyle w:val="Hyperlink"/>
                <w:noProof/>
              </w:rPr>
              <w:t>4.1 Bores around the TSF</w:t>
            </w:r>
            <w:r w:rsidR="00615804">
              <w:rPr>
                <w:noProof/>
                <w:webHidden/>
              </w:rPr>
              <w:tab/>
            </w:r>
            <w:r>
              <w:rPr>
                <w:noProof/>
                <w:webHidden/>
              </w:rPr>
              <w:fldChar w:fldCharType="begin"/>
            </w:r>
            <w:r w:rsidR="00615804">
              <w:rPr>
                <w:noProof/>
                <w:webHidden/>
              </w:rPr>
              <w:instrText xml:space="preserve"> PAGEREF _Toc413230069 \h </w:instrText>
            </w:r>
            <w:r>
              <w:rPr>
                <w:noProof/>
                <w:webHidden/>
              </w:rPr>
            </w:r>
            <w:r>
              <w:rPr>
                <w:noProof/>
                <w:webHidden/>
              </w:rPr>
              <w:fldChar w:fldCharType="separate"/>
            </w:r>
            <w:r w:rsidR="00615804">
              <w:rPr>
                <w:noProof/>
                <w:webHidden/>
              </w:rPr>
              <w:t>60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70" w:history="1">
            <w:r w:rsidR="00615804" w:rsidRPr="002E6B64">
              <w:rPr>
                <w:rStyle w:val="Hyperlink"/>
                <w:noProof/>
              </w:rPr>
              <w:t>4.2 Bores in the Corridor Creek catchment</w:t>
            </w:r>
            <w:r w:rsidR="00615804">
              <w:rPr>
                <w:noProof/>
                <w:webHidden/>
              </w:rPr>
              <w:tab/>
            </w:r>
            <w:r>
              <w:rPr>
                <w:noProof/>
                <w:webHidden/>
              </w:rPr>
              <w:fldChar w:fldCharType="begin"/>
            </w:r>
            <w:r w:rsidR="00615804">
              <w:rPr>
                <w:noProof/>
                <w:webHidden/>
              </w:rPr>
              <w:instrText xml:space="preserve"> PAGEREF _Toc413230070 \h </w:instrText>
            </w:r>
            <w:r>
              <w:rPr>
                <w:noProof/>
                <w:webHidden/>
              </w:rPr>
            </w:r>
            <w:r>
              <w:rPr>
                <w:noProof/>
                <w:webHidden/>
              </w:rPr>
              <w:fldChar w:fldCharType="separate"/>
            </w:r>
            <w:r w:rsidR="00615804">
              <w:rPr>
                <w:noProof/>
                <w:webHidden/>
              </w:rPr>
              <w:t>64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71" w:history="1">
            <w:r w:rsidR="00615804" w:rsidRPr="002E6B64">
              <w:rPr>
                <w:rStyle w:val="Hyperlink"/>
                <w:noProof/>
              </w:rPr>
              <w:t>4.3 Magela LAA Bore 83_1 in the Djalkmara Creek catchment</w:t>
            </w:r>
            <w:r w:rsidR="00615804">
              <w:rPr>
                <w:noProof/>
                <w:webHidden/>
              </w:rPr>
              <w:tab/>
            </w:r>
            <w:r>
              <w:rPr>
                <w:noProof/>
                <w:webHidden/>
              </w:rPr>
              <w:fldChar w:fldCharType="begin"/>
            </w:r>
            <w:r w:rsidR="00615804">
              <w:rPr>
                <w:noProof/>
                <w:webHidden/>
              </w:rPr>
              <w:instrText xml:space="preserve"> PAGEREF _Toc413230071 \h </w:instrText>
            </w:r>
            <w:r>
              <w:rPr>
                <w:noProof/>
                <w:webHidden/>
              </w:rPr>
            </w:r>
            <w:r>
              <w:rPr>
                <w:noProof/>
                <w:webHidden/>
              </w:rPr>
              <w:fldChar w:fldCharType="separate"/>
            </w:r>
            <w:r w:rsidR="00615804">
              <w:rPr>
                <w:noProof/>
                <w:webHidden/>
              </w:rPr>
              <w:t>67</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72" w:history="1">
            <w:r w:rsidR="00615804" w:rsidRPr="002E6B64">
              <w:rPr>
                <w:rStyle w:val="Hyperlink"/>
                <w:noProof/>
              </w:rPr>
              <w:t>4.4 Bores RN23551 and B11 in the Coonjimba Creek catchment</w:t>
            </w:r>
            <w:r w:rsidR="00615804">
              <w:rPr>
                <w:noProof/>
                <w:webHidden/>
              </w:rPr>
              <w:tab/>
            </w:r>
            <w:r>
              <w:rPr>
                <w:noProof/>
                <w:webHidden/>
              </w:rPr>
              <w:fldChar w:fldCharType="begin"/>
            </w:r>
            <w:r w:rsidR="00615804">
              <w:rPr>
                <w:noProof/>
                <w:webHidden/>
              </w:rPr>
              <w:instrText xml:space="preserve"> PAGEREF _Toc413230072 \h </w:instrText>
            </w:r>
            <w:r>
              <w:rPr>
                <w:noProof/>
                <w:webHidden/>
              </w:rPr>
            </w:r>
            <w:r>
              <w:rPr>
                <w:noProof/>
                <w:webHidden/>
              </w:rPr>
              <w:fldChar w:fldCharType="separate"/>
            </w:r>
            <w:r w:rsidR="00615804">
              <w:rPr>
                <w:noProof/>
                <w:webHidden/>
              </w:rPr>
              <w:t>69</w:t>
            </w:r>
            <w:r>
              <w:rPr>
                <w:noProof/>
                <w:webHidden/>
              </w:rPr>
              <w:fldChar w:fldCharType="end"/>
            </w:r>
          </w:hyperlink>
        </w:p>
        <w:p w:rsidR="00615804" w:rsidRDefault="00BA3FC5">
          <w:pPr>
            <w:pStyle w:val="TOC1"/>
            <w:rPr>
              <w:rFonts w:asciiTheme="minorHAnsi" w:eastAsiaTheme="minorEastAsia" w:hAnsiTheme="minorHAnsi" w:cstheme="minorBidi"/>
              <w:b w:val="0"/>
              <w:noProof/>
              <w:sz w:val="22"/>
              <w:szCs w:val="22"/>
              <w:lang w:eastAsia="en-AU"/>
            </w:rPr>
          </w:pPr>
          <w:hyperlink w:anchor="_Toc413230073" w:history="1">
            <w:r w:rsidR="00615804" w:rsidRPr="002E6B64">
              <w:rPr>
                <w:rStyle w:val="Hyperlink"/>
                <w:noProof/>
              </w:rPr>
              <w:t>5 Conclusions and recommendations</w:t>
            </w:r>
            <w:r w:rsidR="00615804">
              <w:rPr>
                <w:noProof/>
                <w:webHidden/>
              </w:rPr>
              <w:tab/>
            </w:r>
            <w:r>
              <w:rPr>
                <w:noProof/>
                <w:webHidden/>
              </w:rPr>
              <w:fldChar w:fldCharType="begin"/>
            </w:r>
            <w:r w:rsidR="00615804">
              <w:rPr>
                <w:noProof/>
                <w:webHidden/>
              </w:rPr>
              <w:instrText xml:space="preserve"> PAGEREF _Toc413230073 \h </w:instrText>
            </w:r>
            <w:r>
              <w:rPr>
                <w:noProof/>
                <w:webHidden/>
              </w:rPr>
            </w:r>
            <w:r>
              <w:rPr>
                <w:noProof/>
                <w:webHidden/>
              </w:rPr>
              <w:fldChar w:fldCharType="separate"/>
            </w:r>
            <w:r w:rsidR="00615804">
              <w:rPr>
                <w:noProof/>
                <w:webHidden/>
              </w:rPr>
              <w:t>72</w:t>
            </w:r>
            <w:r>
              <w:rPr>
                <w:noProof/>
                <w:webHidden/>
              </w:rPr>
              <w:fldChar w:fldCharType="end"/>
            </w:r>
          </w:hyperlink>
        </w:p>
        <w:p w:rsidR="00615804" w:rsidRDefault="00BA3FC5">
          <w:pPr>
            <w:pStyle w:val="TOC1"/>
            <w:rPr>
              <w:rFonts w:asciiTheme="minorHAnsi" w:eastAsiaTheme="minorEastAsia" w:hAnsiTheme="minorHAnsi" w:cstheme="minorBidi"/>
              <w:b w:val="0"/>
              <w:noProof/>
              <w:sz w:val="22"/>
              <w:szCs w:val="22"/>
              <w:lang w:eastAsia="en-AU"/>
            </w:rPr>
          </w:pPr>
          <w:hyperlink w:anchor="_Toc413230074" w:history="1">
            <w:r w:rsidR="00615804" w:rsidRPr="002E6B64">
              <w:rPr>
                <w:rStyle w:val="Hyperlink"/>
                <w:noProof/>
              </w:rPr>
              <w:t>References</w:t>
            </w:r>
            <w:r w:rsidR="00615804">
              <w:rPr>
                <w:noProof/>
                <w:webHidden/>
              </w:rPr>
              <w:tab/>
            </w:r>
            <w:r>
              <w:rPr>
                <w:noProof/>
                <w:webHidden/>
              </w:rPr>
              <w:fldChar w:fldCharType="begin"/>
            </w:r>
            <w:r w:rsidR="00615804">
              <w:rPr>
                <w:noProof/>
                <w:webHidden/>
              </w:rPr>
              <w:instrText xml:space="preserve"> PAGEREF _Toc413230074 \h </w:instrText>
            </w:r>
            <w:r>
              <w:rPr>
                <w:noProof/>
                <w:webHidden/>
              </w:rPr>
            </w:r>
            <w:r>
              <w:rPr>
                <w:noProof/>
                <w:webHidden/>
              </w:rPr>
              <w:fldChar w:fldCharType="separate"/>
            </w:r>
            <w:r w:rsidR="00615804">
              <w:rPr>
                <w:noProof/>
                <w:webHidden/>
              </w:rPr>
              <w:t>74</w:t>
            </w:r>
            <w:r>
              <w:rPr>
                <w:noProof/>
                <w:webHidden/>
              </w:rPr>
              <w:fldChar w:fldCharType="end"/>
            </w:r>
          </w:hyperlink>
        </w:p>
        <w:p w:rsidR="00615804" w:rsidRDefault="00BA3FC5">
          <w:pPr>
            <w:pStyle w:val="TOC1"/>
            <w:rPr>
              <w:rFonts w:asciiTheme="minorHAnsi" w:eastAsiaTheme="minorEastAsia" w:hAnsiTheme="minorHAnsi" w:cstheme="minorBidi"/>
              <w:b w:val="0"/>
              <w:noProof/>
              <w:sz w:val="22"/>
              <w:szCs w:val="22"/>
              <w:lang w:eastAsia="en-AU"/>
            </w:rPr>
          </w:pPr>
          <w:hyperlink w:anchor="_Toc413230075" w:history="1">
            <w:r w:rsidR="00615804" w:rsidRPr="002E6B64">
              <w:rPr>
                <w:rStyle w:val="Hyperlink"/>
                <w:noProof/>
              </w:rPr>
              <w:t>Appendix 1</w:t>
            </w:r>
            <w:r w:rsidR="00615804">
              <w:rPr>
                <w:noProof/>
                <w:webHidden/>
              </w:rPr>
              <w:tab/>
            </w:r>
            <w:r>
              <w:rPr>
                <w:noProof/>
                <w:webHidden/>
              </w:rPr>
              <w:fldChar w:fldCharType="begin"/>
            </w:r>
            <w:r w:rsidR="00615804">
              <w:rPr>
                <w:noProof/>
                <w:webHidden/>
              </w:rPr>
              <w:instrText xml:space="preserve"> PAGEREF _Toc413230075 \h </w:instrText>
            </w:r>
            <w:r>
              <w:rPr>
                <w:noProof/>
                <w:webHidden/>
              </w:rPr>
            </w:r>
            <w:r>
              <w:rPr>
                <w:noProof/>
                <w:webHidden/>
              </w:rPr>
              <w:fldChar w:fldCharType="separate"/>
            </w:r>
            <w:r w:rsidR="00615804">
              <w:rPr>
                <w:noProof/>
                <w:webHidden/>
              </w:rPr>
              <w:t>78</w:t>
            </w:r>
            <w:r>
              <w:rPr>
                <w:noProof/>
                <w:webHidden/>
              </w:rPr>
              <w:fldChar w:fldCharType="end"/>
            </w:r>
          </w:hyperlink>
        </w:p>
        <w:p w:rsidR="00615804" w:rsidRDefault="00BA3FC5">
          <w:pPr>
            <w:pStyle w:val="TOC2"/>
            <w:rPr>
              <w:rFonts w:asciiTheme="minorHAnsi" w:eastAsiaTheme="minorEastAsia" w:hAnsiTheme="minorHAnsi" w:cstheme="minorBidi"/>
              <w:noProof/>
              <w:szCs w:val="22"/>
              <w:lang w:eastAsia="en-AU"/>
            </w:rPr>
          </w:pPr>
          <w:hyperlink w:anchor="_Toc413230076" w:history="1">
            <w:r w:rsidR="00615804" w:rsidRPr="002E6B64">
              <w:rPr>
                <w:rStyle w:val="Hyperlink"/>
                <w:noProof/>
              </w:rPr>
              <w:t>Individual bore chemistry and radiochemistry data</w:t>
            </w:r>
            <w:r w:rsidR="00615804">
              <w:rPr>
                <w:noProof/>
                <w:webHidden/>
              </w:rPr>
              <w:tab/>
            </w:r>
            <w:r>
              <w:rPr>
                <w:noProof/>
                <w:webHidden/>
              </w:rPr>
              <w:fldChar w:fldCharType="begin"/>
            </w:r>
            <w:r w:rsidR="00615804">
              <w:rPr>
                <w:noProof/>
                <w:webHidden/>
              </w:rPr>
              <w:instrText xml:space="preserve"> PAGEREF _Toc413230076 \h </w:instrText>
            </w:r>
            <w:r>
              <w:rPr>
                <w:noProof/>
                <w:webHidden/>
              </w:rPr>
            </w:r>
            <w:r>
              <w:rPr>
                <w:noProof/>
                <w:webHidden/>
              </w:rPr>
              <w:fldChar w:fldCharType="separate"/>
            </w:r>
            <w:r w:rsidR="00615804">
              <w:rPr>
                <w:noProof/>
                <w:webHidden/>
              </w:rPr>
              <w:t>78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77" w:history="1">
            <w:r w:rsidR="00615804" w:rsidRPr="002E6B64">
              <w:rPr>
                <w:rStyle w:val="Hyperlink"/>
                <w:noProof/>
              </w:rPr>
              <w:t>Bore ID - RN23931</w:t>
            </w:r>
            <w:r w:rsidR="00615804">
              <w:rPr>
                <w:noProof/>
                <w:webHidden/>
              </w:rPr>
              <w:tab/>
            </w:r>
            <w:r>
              <w:rPr>
                <w:noProof/>
                <w:webHidden/>
              </w:rPr>
              <w:fldChar w:fldCharType="begin"/>
            </w:r>
            <w:r w:rsidR="00615804">
              <w:rPr>
                <w:noProof/>
                <w:webHidden/>
              </w:rPr>
              <w:instrText xml:space="preserve"> PAGEREF _Toc413230077 \h </w:instrText>
            </w:r>
            <w:r>
              <w:rPr>
                <w:noProof/>
                <w:webHidden/>
              </w:rPr>
            </w:r>
            <w:r>
              <w:rPr>
                <w:noProof/>
                <w:webHidden/>
              </w:rPr>
              <w:fldChar w:fldCharType="separate"/>
            </w:r>
            <w:r w:rsidR="00615804">
              <w:rPr>
                <w:noProof/>
                <w:webHidden/>
              </w:rPr>
              <w:t>78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78" w:history="1">
            <w:r w:rsidR="00615804" w:rsidRPr="002E6B64">
              <w:rPr>
                <w:rStyle w:val="Hyperlink"/>
                <w:noProof/>
              </w:rPr>
              <w:t>Bore ID – R.P. 79/ 1 Ranger</w:t>
            </w:r>
            <w:r w:rsidR="00615804">
              <w:rPr>
                <w:noProof/>
                <w:webHidden/>
              </w:rPr>
              <w:tab/>
            </w:r>
            <w:r>
              <w:rPr>
                <w:noProof/>
                <w:webHidden/>
              </w:rPr>
              <w:fldChar w:fldCharType="begin"/>
            </w:r>
            <w:r w:rsidR="00615804">
              <w:rPr>
                <w:noProof/>
                <w:webHidden/>
              </w:rPr>
              <w:instrText xml:space="preserve"> PAGEREF _Toc413230078 \h </w:instrText>
            </w:r>
            <w:r>
              <w:rPr>
                <w:noProof/>
                <w:webHidden/>
              </w:rPr>
            </w:r>
            <w:r>
              <w:rPr>
                <w:noProof/>
                <w:webHidden/>
              </w:rPr>
              <w:fldChar w:fldCharType="separate"/>
            </w:r>
            <w:r w:rsidR="00615804">
              <w:rPr>
                <w:noProof/>
                <w:webHidden/>
              </w:rPr>
              <w:t>81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79" w:history="1">
            <w:r w:rsidR="00615804" w:rsidRPr="002E6B64">
              <w:rPr>
                <w:rStyle w:val="Hyperlink"/>
                <w:noProof/>
              </w:rPr>
              <w:t>Bore ID – R.P. 79/ 2 Ranger</w:t>
            </w:r>
            <w:r w:rsidR="00615804">
              <w:rPr>
                <w:noProof/>
                <w:webHidden/>
              </w:rPr>
              <w:tab/>
            </w:r>
            <w:r>
              <w:rPr>
                <w:noProof/>
                <w:webHidden/>
              </w:rPr>
              <w:fldChar w:fldCharType="begin"/>
            </w:r>
            <w:r w:rsidR="00615804">
              <w:rPr>
                <w:noProof/>
                <w:webHidden/>
              </w:rPr>
              <w:instrText xml:space="preserve"> PAGEREF _Toc413230079 \h </w:instrText>
            </w:r>
            <w:r>
              <w:rPr>
                <w:noProof/>
                <w:webHidden/>
              </w:rPr>
            </w:r>
            <w:r>
              <w:rPr>
                <w:noProof/>
                <w:webHidden/>
              </w:rPr>
              <w:fldChar w:fldCharType="separate"/>
            </w:r>
            <w:r w:rsidR="00615804">
              <w:rPr>
                <w:noProof/>
                <w:webHidden/>
              </w:rPr>
              <w:t>82</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0" w:history="1">
            <w:r w:rsidR="00615804" w:rsidRPr="002E6B64">
              <w:rPr>
                <w:rStyle w:val="Hyperlink"/>
                <w:noProof/>
              </w:rPr>
              <w:t>Bore ID – 79/6</w:t>
            </w:r>
            <w:r w:rsidR="00615804">
              <w:rPr>
                <w:noProof/>
                <w:webHidden/>
              </w:rPr>
              <w:tab/>
            </w:r>
            <w:r>
              <w:rPr>
                <w:noProof/>
                <w:webHidden/>
              </w:rPr>
              <w:fldChar w:fldCharType="begin"/>
            </w:r>
            <w:r w:rsidR="00615804">
              <w:rPr>
                <w:noProof/>
                <w:webHidden/>
              </w:rPr>
              <w:instrText xml:space="preserve"> PAGEREF _Toc413230080 \h </w:instrText>
            </w:r>
            <w:r>
              <w:rPr>
                <w:noProof/>
                <w:webHidden/>
              </w:rPr>
            </w:r>
            <w:r>
              <w:rPr>
                <w:noProof/>
                <w:webHidden/>
              </w:rPr>
              <w:fldChar w:fldCharType="separate"/>
            </w:r>
            <w:r w:rsidR="00615804">
              <w:rPr>
                <w:noProof/>
                <w:webHidden/>
              </w:rPr>
              <w:t>83</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1" w:history="1">
            <w:r w:rsidR="00615804" w:rsidRPr="002E6B64">
              <w:rPr>
                <w:rStyle w:val="Hyperlink"/>
                <w:noProof/>
              </w:rPr>
              <w:t>Bore ID – 79/9</w:t>
            </w:r>
            <w:r w:rsidR="00615804">
              <w:rPr>
                <w:noProof/>
                <w:webHidden/>
              </w:rPr>
              <w:tab/>
            </w:r>
            <w:r>
              <w:rPr>
                <w:noProof/>
                <w:webHidden/>
              </w:rPr>
              <w:fldChar w:fldCharType="begin"/>
            </w:r>
            <w:r w:rsidR="00615804">
              <w:rPr>
                <w:noProof/>
                <w:webHidden/>
              </w:rPr>
              <w:instrText xml:space="preserve"> PAGEREF _Toc413230081 \h </w:instrText>
            </w:r>
            <w:r>
              <w:rPr>
                <w:noProof/>
                <w:webHidden/>
              </w:rPr>
            </w:r>
            <w:r>
              <w:rPr>
                <w:noProof/>
                <w:webHidden/>
              </w:rPr>
              <w:fldChar w:fldCharType="separate"/>
            </w:r>
            <w:r w:rsidR="00615804">
              <w:rPr>
                <w:noProof/>
                <w:webHidden/>
              </w:rPr>
              <w:t>84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2" w:history="1">
            <w:r w:rsidR="00615804" w:rsidRPr="002E6B64">
              <w:rPr>
                <w:rStyle w:val="Hyperlink"/>
                <w:noProof/>
              </w:rPr>
              <w:t>Bore ID – 83_1</w:t>
            </w:r>
            <w:r w:rsidR="00615804">
              <w:rPr>
                <w:noProof/>
                <w:webHidden/>
              </w:rPr>
              <w:tab/>
            </w:r>
            <w:r>
              <w:rPr>
                <w:noProof/>
                <w:webHidden/>
              </w:rPr>
              <w:fldChar w:fldCharType="begin"/>
            </w:r>
            <w:r w:rsidR="00615804">
              <w:rPr>
                <w:noProof/>
                <w:webHidden/>
              </w:rPr>
              <w:instrText xml:space="preserve"> PAGEREF _Toc413230082 \h </w:instrText>
            </w:r>
            <w:r>
              <w:rPr>
                <w:noProof/>
                <w:webHidden/>
              </w:rPr>
            </w:r>
            <w:r>
              <w:rPr>
                <w:noProof/>
                <w:webHidden/>
              </w:rPr>
              <w:fldChar w:fldCharType="separate"/>
            </w:r>
            <w:r w:rsidR="00615804">
              <w:rPr>
                <w:noProof/>
                <w:webHidden/>
              </w:rPr>
              <w:t>85</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3" w:history="1">
            <w:r w:rsidR="00615804" w:rsidRPr="002E6B64">
              <w:rPr>
                <w:rStyle w:val="Hyperlink"/>
                <w:noProof/>
              </w:rPr>
              <w:t>Bore ID – B11</w:t>
            </w:r>
            <w:r w:rsidR="00615804">
              <w:rPr>
                <w:noProof/>
                <w:webHidden/>
              </w:rPr>
              <w:tab/>
            </w:r>
            <w:r>
              <w:rPr>
                <w:noProof/>
                <w:webHidden/>
              </w:rPr>
              <w:fldChar w:fldCharType="begin"/>
            </w:r>
            <w:r w:rsidR="00615804">
              <w:rPr>
                <w:noProof/>
                <w:webHidden/>
              </w:rPr>
              <w:instrText xml:space="preserve"> PAGEREF _Toc413230083 \h </w:instrText>
            </w:r>
            <w:r>
              <w:rPr>
                <w:noProof/>
                <w:webHidden/>
              </w:rPr>
            </w:r>
            <w:r>
              <w:rPr>
                <w:noProof/>
                <w:webHidden/>
              </w:rPr>
              <w:fldChar w:fldCharType="separate"/>
            </w:r>
            <w:r w:rsidR="00615804">
              <w:rPr>
                <w:noProof/>
                <w:webHidden/>
              </w:rPr>
              <w:t>88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4" w:history="1">
            <w:r w:rsidR="00615804" w:rsidRPr="002E6B64">
              <w:rPr>
                <w:rStyle w:val="Hyperlink"/>
                <w:noProof/>
              </w:rPr>
              <w:t>Bore ID – C12</w:t>
            </w:r>
            <w:r w:rsidR="00615804">
              <w:rPr>
                <w:noProof/>
                <w:webHidden/>
              </w:rPr>
              <w:tab/>
            </w:r>
            <w:r>
              <w:rPr>
                <w:noProof/>
                <w:webHidden/>
              </w:rPr>
              <w:fldChar w:fldCharType="begin"/>
            </w:r>
            <w:r w:rsidR="00615804">
              <w:rPr>
                <w:noProof/>
                <w:webHidden/>
              </w:rPr>
              <w:instrText xml:space="preserve"> PAGEREF _Toc413230084 \h </w:instrText>
            </w:r>
            <w:r>
              <w:rPr>
                <w:noProof/>
                <w:webHidden/>
              </w:rPr>
            </w:r>
            <w:r>
              <w:rPr>
                <w:noProof/>
                <w:webHidden/>
              </w:rPr>
              <w:fldChar w:fldCharType="separate"/>
            </w:r>
            <w:r w:rsidR="00615804">
              <w:rPr>
                <w:noProof/>
                <w:webHidden/>
              </w:rPr>
              <w:t>91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5" w:history="1">
            <w:r w:rsidR="00615804" w:rsidRPr="002E6B64">
              <w:rPr>
                <w:rStyle w:val="Hyperlink"/>
                <w:noProof/>
              </w:rPr>
              <w:t>Bore ID – C1_Shallow</w:t>
            </w:r>
            <w:r w:rsidR="00615804">
              <w:rPr>
                <w:noProof/>
                <w:webHidden/>
              </w:rPr>
              <w:tab/>
            </w:r>
            <w:r>
              <w:rPr>
                <w:noProof/>
                <w:webHidden/>
              </w:rPr>
              <w:fldChar w:fldCharType="begin"/>
            </w:r>
            <w:r w:rsidR="00615804">
              <w:rPr>
                <w:noProof/>
                <w:webHidden/>
              </w:rPr>
              <w:instrText xml:space="preserve"> PAGEREF _Toc413230085 \h </w:instrText>
            </w:r>
            <w:r>
              <w:rPr>
                <w:noProof/>
                <w:webHidden/>
              </w:rPr>
            </w:r>
            <w:r>
              <w:rPr>
                <w:noProof/>
                <w:webHidden/>
              </w:rPr>
              <w:fldChar w:fldCharType="separate"/>
            </w:r>
            <w:r w:rsidR="00615804">
              <w:rPr>
                <w:noProof/>
                <w:webHidden/>
              </w:rPr>
              <w:t>94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6" w:history="1">
            <w:r w:rsidR="00615804" w:rsidRPr="002E6B64">
              <w:rPr>
                <w:rStyle w:val="Hyperlink"/>
                <w:noProof/>
              </w:rPr>
              <w:t>Bore ID – Magela Ck 11/80</w:t>
            </w:r>
            <w:r w:rsidR="00615804">
              <w:rPr>
                <w:noProof/>
                <w:webHidden/>
              </w:rPr>
              <w:tab/>
            </w:r>
            <w:r>
              <w:rPr>
                <w:noProof/>
                <w:webHidden/>
              </w:rPr>
              <w:fldChar w:fldCharType="begin"/>
            </w:r>
            <w:r w:rsidR="00615804">
              <w:rPr>
                <w:noProof/>
                <w:webHidden/>
              </w:rPr>
              <w:instrText xml:space="preserve"> PAGEREF _Toc413230086 \h </w:instrText>
            </w:r>
            <w:r>
              <w:rPr>
                <w:noProof/>
                <w:webHidden/>
              </w:rPr>
            </w:r>
            <w:r>
              <w:rPr>
                <w:noProof/>
                <w:webHidden/>
              </w:rPr>
              <w:fldChar w:fldCharType="separate"/>
            </w:r>
            <w:r w:rsidR="00615804">
              <w:rPr>
                <w:noProof/>
                <w:webHidden/>
              </w:rPr>
              <w:t>95</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7" w:history="1">
            <w:r w:rsidR="00615804" w:rsidRPr="002E6B64">
              <w:rPr>
                <w:rStyle w:val="Hyperlink"/>
                <w:noProof/>
              </w:rPr>
              <w:t>Bore ID – MBH</w:t>
            </w:r>
            <w:r w:rsidR="00615804">
              <w:rPr>
                <w:noProof/>
                <w:webHidden/>
              </w:rPr>
              <w:tab/>
            </w:r>
            <w:r>
              <w:rPr>
                <w:noProof/>
                <w:webHidden/>
              </w:rPr>
              <w:fldChar w:fldCharType="begin"/>
            </w:r>
            <w:r w:rsidR="00615804">
              <w:rPr>
                <w:noProof/>
                <w:webHidden/>
              </w:rPr>
              <w:instrText xml:space="preserve"> PAGEREF _Toc413230087 \h </w:instrText>
            </w:r>
            <w:r>
              <w:rPr>
                <w:noProof/>
                <w:webHidden/>
              </w:rPr>
            </w:r>
            <w:r>
              <w:rPr>
                <w:noProof/>
                <w:webHidden/>
              </w:rPr>
              <w:fldChar w:fldCharType="separate"/>
            </w:r>
            <w:r w:rsidR="00615804">
              <w:rPr>
                <w:noProof/>
                <w:webHidden/>
              </w:rPr>
              <w:t>98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8" w:history="1">
            <w:r w:rsidR="00615804" w:rsidRPr="002E6B64">
              <w:rPr>
                <w:rStyle w:val="Hyperlink"/>
                <w:noProof/>
              </w:rPr>
              <w:t>Bore ID – MBL</w:t>
            </w:r>
            <w:r w:rsidR="00615804">
              <w:rPr>
                <w:noProof/>
                <w:webHidden/>
              </w:rPr>
              <w:tab/>
            </w:r>
            <w:r>
              <w:rPr>
                <w:noProof/>
                <w:webHidden/>
              </w:rPr>
              <w:fldChar w:fldCharType="begin"/>
            </w:r>
            <w:r w:rsidR="00615804">
              <w:rPr>
                <w:noProof/>
                <w:webHidden/>
              </w:rPr>
              <w:instrText xml:space="preserve"> PAGEREF _Toc413230088 \h </w:instrText>
            </w:r>
            <w:r>
              <w:rPr>
                <w:noProof/>
                <w:webHidden/>
              </w:rPr>
            </w:r>
            <w:r>
              <w:rPr>
                <w:noProof/>
                <w:webHidden/>
              </w:rPr>
              <w:fldChar w:fldCharType="separate"/>
            </w:r>
            <w:r w:rsidR="00615804">
              <w:rPr>
                <w:noProof/>
                <w:webHidden/>
              </w:rPr>
              <w:t>99</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89" w:history="1">
            <w:r w:rsidR="00615804" w:rsidRPr="002E6B64">
              <w:rPr>
                <w:rStyle w:val="Hyperlink"/>
                <w:noProof/>
              </w:rPr>
              <w:t>Bore ID – MC24</w:t>
            </w:r>
            <w:r w:rsidR="00615804">
              <w:rPr>
                <w:noProof/>
                <w:webHidden/>
              </w:rPr>
              <w:tab/>
            </w:r>
            <w:r>
              <w:rPr>
                <w:noProof/>
                <w:webHidden/>
              </w:rPr>
              <w:fldChar w:fldCharType="begin"/>
            </w:r>
            <w:r w:rsidR="00615804">
              <w:rPr>
                <w:noProof/>
                <w:webHidden/>
              </w:rPr>
              <w:instrText xml:space="preserve"> PAGEREF _Toc413230089 \h </w:instrText>
            </w:r>
            <w:r>
              <w:rPr>
                <w:noProof/>
                <w:webHidden/>
              </w:rPr>
            </w:r>
            <w:r>
              <w:rPr>
                <w:noProof/>
                <w:webHidden/>
              </w:rPr>
              <w:fldChar w:fldCharType="separate"/>
            </w:r>
            <w:r w:rsidR="00615804">
              <w:rPr>
                <w:noProof/>
                <w:webHidden/>
              </w:rPr>
              <w:t>100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0" w:history="1">
            <w:r w:rsidR="00615804" w:rsidRPr="002E6B64">
              <w:rPr>
                <w:rStyle w:val="Hyperlink"/>
                <w:noProof/>
              </w:rPr>
              <w:t>Bore ID – MC27</w:t>
            </w:r>
            <w:r w:rsidR="00615804">
              <w:rPr>
                <w:noProof/>
                <w:webHidden/>
              </w:rPr>
              <w:tab/>
            </w:r>
            <w:r>
              <w:rPr>
                <w:noProof/>
                <w:webHidden/>
              </w:rPr>
              <w:fldChar w:fldCharType="begin"/>
            </w:r>
            <w:r w:rsidR="00615804">
              <w:rPr>
                <w:noProof/>
                <w:webHidden/>
              </w:rPr>
              <w:instrText xml:space="preserve"> PAGEREF _Toc413230090 \h </w:instrText>
            </w:r>
            <w:r>
              <w:rPr>
                <w:noProof/>
                <w:webHidden/>
              </w:rPr>
            </w:r>
            <w:r>
              <w:rPr>
                <w:noProof/>
                <w:webHidden/>
              </w:rPr>
              <w:fldChar w:fldCharType="separate"/>
            </w:r>
            <w:r w:rsidR="00615804">
              <w:rPr>
                <w:noProof/>
                <w:webHidden/>
              </w:rPr>
              <w:t>101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1" w:history="1">
            <w:r w:rsidR="00615804" w:rsidRPr="002E6B64">
              <w:rPr>
                <w:rStyle w:val="Hyperlink"/>
                <w:noProof/>
              </w:rPr>
              <w:t>Bore ID – OB10A</w:t>
            </w:r>
            <w:r w:rsidR="00615804">
              <w:rPr>
                <w:noProof/>
                <w:webHidden/>
              </w:rPr>
              <w:tab/>
            </w:r>
            <w:r>
              <w:rPr>
                <w:noProof/>
                <w:webHidden/>
              </w:rPr>
              <w:fldChar w:fldCharType="begin"/>
            </w:r>
            <w:r w:rsidR="00615804">
              <w:rPr>
                <w:noProof/>
                <w:webHidden/>
              </w:rPr>
              <w:instrText xml:space="preserve"> PAGEREF _Toc413230091 \h </w:instrText>
            </w:r>
            <w:r>
              <w:rPr>
                <w:noProof/>
                <w:webHidden/>
              </w:rPr>
            </w:r>
            <w:r>
              <w:rPr>
                <w:noProof/>
                <w:webHidden/>
              </w:rPr>
              <w:fldChar w:fldCharType="separate"/>
            </w:r>
            <w:r w:rsidR="00615804">
              <w:rPr>
                <w:noProof/>
                <w:webHidden/>
              </w:rPr>
              <w:t>104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2" w:history="1">
            <w:r w:rsidR="00615804" w:rsidRPr="002E6B64">
              <w:rPr>
                <w:rStyle w:val="Hyperlink"/>
                <w:noProof/>
              </w:rPr>
              <w:t>Bore ID – OB11A</w:t>
            </w:r>
            <w:r w:rsidR="00615804">
              <w:rPr>
                <w:noProof/>
                <w:webHidden/>
              </w:rPr>
              <w:tab/>
            </w:r>
            <w:r>
              <w:rPr>
                <w:noProof/>
                <w:webHidden/>
              </w:rPr>
              <w:fldChar w:fldCharType="begin"/>
            </w:r>
            <w:r w:rsidR="00615804">
              <w:rPr>
                <w:noProof/>
                <w:webHidden/>
              </w:rPr>
              <w:instrText xml:space="preserve"> PAGEREF _Toc413230092 \h </w:instrText>
            </w:r>
            <w:r>
              <w:rPr>
                <w:noProof/>
                <w:webHidden/>
              </w:rPr>
            </w:r>
            <w:r>
              <w:rPr>
                <w:noProof/>
                <w:webHidden/>
              </w:rPr>
              <w:fldChar w:fldCharType="separate"/>
            </w:r>
            <w:r w:rsidR="00615804">
              <w:rPr>
                <w:noProof/>
                <w:webHidden/>
              </w:rPr>
              <w:t>107</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3" w:history="1">
            <w:r w:rsidR="00615804" w:rsidRPr="002E6B64">
              <w:rPr>
                <w:rStyle w:val="Hyperlink"/>
                <w:noProof/>
              </w:rPr>
              <w:t>Bore ID – OB12A</w:t>
            </w:r>
            <w:r w:rsidR="00615804">
              <w:rPr>
                <w:noProof/>
                <w:webHidden/>
              </w:rPr>
              <w:tab/>
            </w:r>
            <w:r>
              <w:rPr>
                <w:noProof/>
                <w:webHidden/>
              </w:rPr>
              <w:fldChar w:fldCharType="begin"/>
            </w:r>
            <w:r w:rsidR="00615804">
              <w:rPr>
                <w:noProof/>
                <w:webHidden/>
              </w:rPr>
              <w:instrText xml:space="preserve"> PAGEREF _Toc413230093 \h </w:instrText>
            </w:r>
            <w:r>
              <w:rPr>
                <w:noProof/>
                <w:webHidden/>
              </w:rPr>
            </w:r>
            <w:r>
              <w:rPr>
                <w:noProof/>
                <w:webHidden/>
              </w:rPr>
              <w:fldChar w:fldCharType="separate"/>
            </w:r>
            <w:r w:rsidR="00615804">
              <w:rPr>
                <w:noProof/>
                <w:webHidden/>
              </w:rPr>
              <w:t>108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4" w:history="1">
            <w:r w:rsidR="00615804" w:rsidRPr="002E6B64">
              <w:rPr>
                <w:rStyle w:val="Hyperlink"/>
                <w:noProof/>
              </w:rPr>
              <w:t>Bore ID – OB13A</w:t>
            </w:r>
            <w:r w:rsidR="00615804">
              <w:rPr>
                <w:noProof/>
                <w:webHidden/>
              </w:rPr>
              <w:tab/>
            </w:r>
            <w:r>
              <w:rPr>
                <w:noProof/>
                <w:webHidden/>
              </w:rPr>
              <w:fldChar w:fldCharType="begin"/>
            </w:r>
            <w:r w:rsidR="00615804">
              <w:rPr>
                <w:noProof/>
                <w:webHidden/>
              </w:rPr>
              <w:instrText xml:space="preserve"> PAGEREF _Toc413230094 \h </w:instrText>
            </w:r>
            <w:r>
              <w:rPr>
                <w:noProof/>
                <w:webHidden/>
              </w:rPr>
            </w:r>
            <w:r>
              <w:rPr>
                <w:noProof/>
                <w:webHidden/>
              </w:rPr>
              <w:fldChar w:fldCharType="separate"/>
            </w:r>
            <w:r w:rsidR="00615804">
              <w:rPr>
                <w:noProof/>
                <w:webHidden/>
              </w:rPr>
              <w:t>109</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5" w:history="1">
            <w:r w:rsidR="00615804" w:rsidRPr="002E6B64">
              <w:rPr>
                <w:rStyle w:val="Hyperlink"/>
                <w:noProof/>
              </w:rPr>
              <w:t>Bore ID – OB15</w:t>
            </w:r>
            <w:r w:rsidR="00615804">
              <w:rPr>
                <w:noProof/>
                <w:webHidden/>
              </w:rPr>
              <w:tab/>
            </w:r>
            <w:r>
              <w:rPr>
                <w:noProof/>
                <w:webHidden/>
              </w:rPr>
              <w:fldChar w:fldCharType="begin"/>
            </w:r>
            <w:r w:rsidR="00615804">
              <w:rPr>
                <w:noProof/>
                <w:webHidden/>
              </w:rPr>
              <w:instrText xml:space="preserve"> PAGEREF _Toc413230095 \h </w:instrText>
            </w:r>
            <w:r>
              <w:rPr>
                <w:noProof/>
                <w:webHidden/>
              </w:rPr>
            </w:r>
            <w:r>
              <w:rPr>
                <w:noProof/>
                <w:webHidden/>
              </w:rPr>
              <w:fldChar w:fldCharType="separate"/>
            </w:r>
            <w:r w:rsidR="00615804">
              <w:rPr>
                <w:noProof/>
                <w:webHidden/>
              </w:rPr>
              <w:t>110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6" w:history="1">
            <w:r w:rsidR="00615804" w:rsidRPr="002E6B64">
              <w:rPr>
                <w:rStyle w:val="Hyperlink"/>
                <w:noProof/>
              </w:rPr>
              <w:t>Bore ID – OB16</w:t>
            </w:r>
            <w:r w:rsidR="00615804">
              <w:rPr>
                <w:noProof/>
                <w:webHidden/>
              </w:rPr>
              <w:tab/>
            </w:r>
            <w:r>
              <w:rPr>
                <w:noProof/>
                <w:webHidden/>
              </w:rPr>
              <w:fldChar w:fldCharType="begin"/>
            </w:r>
            <w:r w:rsidR="00615804">
              <w:rPr>
                <w:noProof/>
                <w:webHidden/>
              </w:rPr>
              <w:instrText xml:space="preserve"> PAGEREF _Toc413230096 \h </w:instrText>
            </w:r>
            <w:r>
              <w:rPr>
                <w:noProof/>
                <w:webHidden/>
              </w:rPr>
            </w:r>
            <w:r>
              <w:rPr>
                <w:noProof/>
                <w:webHidden/>
              </w:rPr>
              <w:fldChar w:fldCharType="separate"/>
            </w:r>
            <w:r w:rsidR="00615804">
              <w:rPr>
                <w:noProof/>
                <w:webHidden/>
              </w:rPr>
              <w:t>111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7" w:history="1">
            <w:r w:rsidR="00615804" w:rsidRPr="002E6B64">
              <w:rPr>
                <w:rStyle w:val="Hyperlink"/>
                <w:noProof/>
              </w:rPr>
              <w:t>Bore ID – OB112</w:t>
            </w:r>
            <w:r w:rsidR="00615804">
              <w:rPr>
                <w:noProof/>
                <w:webHidden/>
              </w:rPr>
              <w:tab/>
            </w:r>
            <w:r>
              <w:rPr>
                <w:noProof/>
                <w:webHidden/>
              </w:rPr>
              <w:fldChar w:fldCharType="begin"/>
            </w:r>
            <w:r w:rsidR="00615804">
              <w:rPr>
                <w:noProof/>
                <w:webHidden/>
              </w:rPr>
              <w:instrText xml:space="preserve"> PAGEREF _Toc413230097 \h </w:instrText>
            </w:r>
            <w:r>
              <w:rPr>
                <w:noProof/>
                <w:webHidden/>
              </w:rPr>
            </w:r>
            <w:r>
              <w:rPr>
                <w:noProof/>
                <w:webHidden/>
              </w:rPr>
              <w:fldChar w:fldCharType="separate"/>
            </w:r>
            <w:r w:rsidR="00615804">
              <w:rPr>
                <w:noProof/>
                <w:webHidden/>
              </w:rPr>
              <w:t>112</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8" w:history="1">
            <w:r w:rsidR="00615804" w:rsidRPr="002E6B64">
              <w:rPr>
                <w:rStyle w:val="Hyperlink"/>
                <w:noProof/>
              </w:rPr>
              <w:t>Bore ID – OB116</w:t>
            </w:r>
            <w:r w:rsidR="00615804">
              <w:rPr>
                <w:noProof/>
                <w:webHidden/>
              </w:rPr>
              <w:tab/>
            </w:r>
            <w:r>
              <w:rPr>
                <w:noProof/>
                <w:webHidden/>
              </w:rPr>
              <w:fldChar w:fldCharType="begin"/>
            </w:r>
            <w:r w:rsidR="00615804">
              <w:rPr>
                <w:noProof/>
                <w:webHidden/>
              </w:rPr>
              <w:instrText xml:space="preserve"> PAGEREF _Toc413230098 \h </w:instrText>
            </w:r>
            <w:r>
              <w:rPr>
                <w:noProof/>
                <w:webHidden/>
              </w:rPr>
            </w:r>
            <w:r>
              <w:rPr>
                <w:noProof/>
                <w:webHidden/>
              </w:rPr>
              <w:fldChar w:fldCharType="separate"/>
            </w:r>
            <w:r w:rsidR="00615804">
              <w:rPr>
                <w:noProof/>
                <w:webHidden/>
              </w:rPr>
              <w:t>114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099" w:history="1">
            <w:r w:rsidR="00615804" w:rsidRPr="002E6B64">
              <w:rPr>
                <w:rStyle w:val="Hyperlink"/>
                <w:noProof/>
              </w:rPr>
              <w:t>Bore ID – OB17A</w:t>
            </w:r>
            <w:r w:rsidR="00615804">
              <w:rPr>
                <w:noProof/>
                <w:webHidden/>
              </w:rPr>
              <w:tab/>
            </w:r>
            <w:r>
              <w:rPr>
                <w:noProof/>
                <w:webHidden/>
              </w:rPr>
              <w:fldChar w:fldCharType="begin"/>
            </w:r>
            <w:r w:rsidR="00615804">
              <w:rPr>
                <w:noProof/>
                <w:webHidden/>
              </w:rPr>
              <w:instrText xml:space="preserve"> PAGEREF _Toc413230099 \h </w:instrText>
            </w:r>
            <w:r>
              <w:rPr>
                <w:noProof/>
                <w:webHidden/>
              </w:rPr>
            </w:r>
            <w:r>
              <w:rPr>
                <w:noProof/>
                <w:webHidden/>
              </w:rPr>
              <w:fldChar w:fldCharType="separate"/>
            </w:r>
            <w:r w:rsidR="00615804">
              <w:rPr>
                <w:noProof/>
                <w:webHidden/>
              </w:rPr>
              <w:t>117</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0" w:history="1">
            <w:r w:rsidR="00615804" w:rsidRPr="002E6B64">
              <w:rPr>
                <w:rStyle w:val="Hyperlink"/>
                <w:noProof/>
              </w:rPr>
              <w:t>Bore ID – OB18A</w:t>
            </w:r>
            <w:r w:rsidR="00615804">
              <w:rPr>
                <w:noProof/>
                <w:webHidden/>
              </w:rPr>
              <w:tab/>
            </w:r>
            <w:r>
              <w:rPr>
                <w:noProof/>
                <w:webHidden/>
              </w:rPr>
              <w:fldChar w:fldCharType="begin"/>
            </w:r>
            <w:r w:rsidR="00615804">
              <w:rPr>
                <w:noProof/>
                <w:webHidden/>
              </w:rPr>
              <w:instrText xml:space="preserve"> PAGEREF _Toc413230100 \h </w:instrText>
            </w:r>
            <w:r>
              <w:rPr>
                <w:noProof/>
                <w:webHidden/>
              </w:rPr>
            </w:r>
            <w:r>
              <w:rPr>
                <w:noProof/>
                <w:webHidden/>
              </w:rPr>
              <w:fldChar w:fldCharType="separate"/>
            </w:r>
            <w:r w:rsidR="00615804">
              <w:rPr>
                <w:noProof/>
                <w:webHidden/>
              </w:rPr>
              <w:t>120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1" w:history="1">
            <w:r w:rsidR="00615804" w:rsidRPr="002E6B64">
              <w:rPr>
                <w:rStyle w:val="Hyperlink"/>
                <w:noProof/>
              </w:rPr>
              <w:t>Bore ID – OB19A</w:t>
            </w:r>
            <w:r w:rsidR="00615804">
              <w:rPr>
                <w:noProof/>
                <w:webHidden/>
              </w:rPr>
              <w:tab/>
            </w:r>
            <w:r>
              <w:rPr>
                <w:noProof/>
                <w:webHidden/>
              </w:rPr>
              <w:fldChar w:fldCharType="begin"/>
            </w:r>
            <w:r w:rsidR="00615804">
              <w:rPr>
                <w:noProof/>
                <w:webHidden/>
              </w:rPr>
              <w:instrText xml:space="preserve"> PAGEREF _Toc413230101 \h </w:instrText>
            </w:r>
            <w:r>
              <w:rPr>
                <w:noProof/>
                <w:webHidden/>
              </w:rPr>
            </w:r>
            <w:r>
              <w:rPr>
                <w:noProof/>
                <w:webHidden/>
              </w:rPr>
              <w:fldChar w:fldCharType="separate"/>
            </w:r>
            <w:r w:rsidR="00615804">
              <w:rPr>
                <w:noProof/>
                <w:webHidden/>
              </w:rPr>
              <w:t>121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2" w:history="1">
            <w:r w:rsidR="00615804" w:rsidRPr="002E6B64">
              <w:rPr>
                <w:rStyle w:val="Hyperlink"/>
                <w:noProof/>
              </w:rPr>
              <w:t>Bore ID – OB1A</w:t>
            </w:r>
            <w:r w:rsidR="00615804">
              <w:rPr>
                <w:noProof/>
                <w:webHidden/>
              </w:rPr>
              <w:tab/>
            </w:r>
            <w:r>
              <w:rPr>
                <w:noProof/>
                <w:webHidden/>
              </w:rPr>
              <w:fldChar w:fldCharType="begin"/>
            </w:r>
            <w:r w:rsidR="00615804">
              <w:rPr>
                <w:noProof/>
                <w:webHidden/>
              </w:rPr>
              <w:instrText xml:space="preserve"> PAGEREF _Toc413230102 \h </w:instrText>
            </w:r>
            <w:r>
              <w:rPr>
                <w:noProof/>
                <w:webHidden/>
              </w:rPr>
            </w:r>
            <w:r>
              <w:rPr>
                <w:noProof/>
                <w:webHidden/>
              </w:rPr>
              <w:fldChar w:fldCharType="separate"/>
            </w:r>
            <w:r w:rsidR="00615804">
              <w:rPr>
                <w:noProof/>
                <w:webHidden/>
              </w:rPr>
              <w:t>124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3" w:history="1">
            <w:r w:rsidR="00615804" w:rsidRPr="002E6B64">
              <w:rPr>
                <w:rStyle w:val="Hyperlink"/>
                <w:noProof/>
              </w:rPr>
              <w:t>Bore ID – OB20</w:t>
            </w:r>
            <w:r w:rsidR="00615804">
              <w:rPr>
                <w:noProof/>
                <w:webHidden/>
              </w:rPr>
              <w:tab/>
            </w:r>
            <w:r>
              <w:rPr>
                <w:noProof/>
                <w:webHidden/>
              </w:rPr>
              <w:fldChar w:fldCharType="begin"/>
            </w:r>
            <w:r w:rsidR="00615804">
              <w:rPr>
                <w:noProof/>
                <w:webHidden/>
              </w:rPr>
              <w:instrText xml:space="preserve"> PAGEREF _Toc413230103 \h </w:instrText>
            </w:r>
            <w:r>
              <w:rPr>
                <w:noProof/>
                <w:webHidden/>
              </w:rPr>
            </w:r>
            <w:r>
              <w:rPr>
                <w:noProof/>
                <w:webHidden/>
              </w:rPr>
              <w:fldChar w:fldCharType="separate"/>
            </w:r>
            <w:r w:rsidR="00615804">
              <w:rPr>
                <w:noProof/>
                <w:webHidden/>
              </w:rPr>
              <w:t>127</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4" w:history="1">
            <w:r w:rsidR="00615804" w:rsidRPr="002E6B64">
              <w:rPr>
                <w:rStyle w:val="Hyperlink"/>
                <w:noProof/>
              </w:rPr>
              <w:t>Bore ID – OB21A</w:t>
            </w:r>
            <w:r w:rsidR="00615804">
              <w:rPr>
                <w:noProof/>
                <w:webHidden/>
              </w:rPr>
              <w:tab/>
            </w:r>
            <w:r>
              <w:rPr>
                <w:noProof/>
                <w:webHidden/>
              </w:rPr>
              <w:fldChar w:fldCharType="begin"/>
            </w:r>
            <w:r w:rsidR="00615804">
              <w:rPr>
                <w:noProof/>
                <w:webHidden/>
              </w:rPr>
              <w:instrText xml:space="preserve"> PAGEREF _Toc413230104 \h </w:instrText>
            </w:r>
            <w:r>
              <w:rPr>
                <w:noProof/>
                <w:webHidden/>
              </w:rPr>
            </w:r>
            <w:r>
              <w:rPr>
                <w:noProof/>
                <w:webHidden/>
              </w:rPr>
              <w:fldChar w:fldCharType="separate"/>
            </w:r>
            <w:r w:rsidR="00615804">
              <w:rPr>
                <w:noProof/>
                <w:webHidden/>
              </w:rPr>
              <w:t>130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5" w:history="1">
            <w:r w:rsidR="00615804" w:rsidRPr="002E6B64">
              <w:rPr>
                <w:rStyle w:val="Hyperlink"/>
                <w:noProof/>
              </w:rPr>
              <w:t>Bore ID – OB22</w:t>
            </w:r>
            <w:r w:rsidR="00615804">
              <w:rPr>
                <w:noProof/>
                <w:webHidden/>
              </w:rPr>
              <w:tab/>
            </w:r>
            <w:r>
              <w:rPr>
                <w:noProof/>
                <w:webHidden/>
              </w:rPr>
              <w:fldChar w:fldCharType="begin"/>
            </w:r>
            <w:r w:rsidR="00615804">
              <w:rPr>
                <w:noProof/>
                <w:webHidden/>
              </w:rPr>
              <w:instrText xml:space="preserve"> PAGEREF _Toc413230105 \h </w:instrText>
            </w:r>
            <w:r>
              <w:rPr>
                <w:noProof/>
                <w:webHidden/>
              </w:rPr>
            </w:r>
            <w:r>
              <w:rPr>
                <w:noProof/>
                <w:webHidden/>
              </w:rPr>
              <w:fldChar w:fldCharType="separate"/>
            </w:r>
            <w:r w:rsidR="00615804">
              <w:rPr>
                <w:noProof/>
                <w:webHidden/>
              </w:rPr>
              <w:t>133</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6" w:history="1">
            <w:r w:rsidR="00615804" w:rsidRPr="002E6B64">
              <w:rPr>
                <w:rStyle w:val="Hyperlink"/>
                <w:noProof/>
              </w:rPr>
              <w:t>Bore ID – OB23</w:t>
            </w:r>
            <w:r w:rsidR="00615804">
              <w:rPr>
                <w:noProof/>
                <w:webHidden/>
              </w:rPr>
              <w:tab/>
            </w:r>
            <w:r>
              <w:rPr>
                <w:noProof/>
                <w:webHidden/>
              </w:rPr>
              <w:fldChar w:fldCharType="begin"/>
            </w:r>
            <w:r w:rsidR="00615804">
              <w:rPr>
                <w:noProof/>
                <w:webHidden/>
              </w:rPr>
              <w:instrText xml:space="preserve"> PAGEREF _Toc413230106 \h </w:instrText>
            </w:r>
            <w:r>
              <w:rPr>
                <w:noProof/>
                <w:webHidden/>
              </w:rPr>
            </w:r>
            <w:r>
              <w:rPr>
                <w:noProof/>
                <w:webHidden/>
              </w:rPr>
              <w:fldChar w:fldCharType="separate"/>
            </w:r>
            <w:r w:rsidR="00615804">
              <w:rPr>
                <w:noProof/>
                <w:webHidden/>
              </w:rPr>
              <w:t>134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7" w:history="1">
            <w:r w:rsidR="00615804" w:rsidRPr="002E6B64">
              <w:rPr>
                <w:rStyle w:val="Hyperlink"/>
                <w:noProof/>
              </w:rPr>
              <w:t>Bore ID – OB24</w:t>
            </w:r>
            <w:r w:rsidR="00615804">
              <w:rPr>
                <w:noProof/>
                <w:webHidden/>
              </w:rPr>
              <w:tab/>
            </w:r>
            <w:r>
              <w:rPr>
                <w:noProof/>
                <w:webHidden/>
              </w:rPr>
              <w:fldChar w:fldCharType="begin"/>
            </w:r>
            <w:r w:rsidR="00615804">
              <w:rPr>
                <w:noProof/>
                <w:webHidden/>
              </w:rPr>
              <w:instrText xml:space="preserve"> PAGEREF _Toc413230107 \h </w:instrText>
            </w:r>
            <w:r>
              <w:rPr>
                <w:noProof/>
                <w:webHidden/>
              </w:rPr>
            </w:r>
            <w:r>
              <w:rPr>
                <w:noProof/>
                <w:webHidden/>
              </w:rPr>
              <w:fldChar w:fldCharType="separate"/>
            </w:r>
            <w:r w:rsidR="00615804">
              <w:rPr>
                <w:noProof/>
                <w:webHidden/>
              </w:rPr>
              <w:t>137</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8" w:history="1">
            <w:r w:rsidR="00615804" w:rsidRPr="002E6B64">
              <w:rPr>
                <w:rStyle w:val="Hyperlink"/>
                <w:noProof/>
              </w:rPr>
              <w:t>Bore ID – OB26</w:t>
            </w:r>
            <w:r w:rsidR="00615804">
              <w:rPr>
                <w:noProof/>
                <w:webHidden/>
              </w:rPr>
              <w:tab/>
            </w:r>
            <w:r>
              <w:rPr>
                <w:noProof/>
                <w:webHidden/>
              </w:rPr>
              <w:fldChar w:fldCharType="begin"/>
            </w:r>
            <w:r w:rsidR="00615804">
              <w:rPr>
                <w:noProof/>
                <w:webHidden/>
              </w:rPr>
              <w:instrText xml:space="preserve"> PAGEREF _Toc413230108 \h </w:instrText>
            </w:r>
            <w:r>
              <w:rPr>
                <w:noProof/>
                <w:webHidden/>
              </w:rPr>
            </w:r>
            <w:r>
              <w:rPr>
                <w:noProof/>
                <w:webHidden/>
              </w:rPr>
              <w:fldChar w:fldCharType="separate"/>
            </w:r>
            <w:r w:rsidR="00615804">
              <w:rPr>
                <w:noProof/>
                <w:webHidden/>
              </w:rPr>
              <w:t>140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09" w:history="1">
            <w:r w:rsidR="00615804" w:rsidRPr="002E6B64">
              <w:rPr>
                <w:rStyle w:val="Hyperlink"/>
                <w:noProof/>
              </w:rPr>
              <w:t>Bore ID – OB27</w:t>
            </w:r>
            <w:r w:rsidR="00615804">
              <w:rPr>
                <w:noProof/>
                <w:webHidden/>
              </w:rPr>
              <w:tab/>
            </w:r>
            <w:r>
              <w:rPr>
                <w:noProof/>
                <w:webHidden/>
              </w:rPr>
              <w:fldChar w:fldCharType="begin"/>
            </w:r>
            <w:r w:rsidR="00615804">
              <w:rPr>
                <w:noProof/>
                <w:webHidden/>
              </w:rPr>
              <w:instrText xml:space="preserve"> PAGEREF _Toc413230109 \h </w:instrText>
            </w:r>
            <w:r>
              <w:rPr>
                <w:noProof/>
                <w:webHidden/>
              </w:rPr>
            </w:r>
            <w:r>
              <w:rPr>
                <w:noProof/>
                <w:webHidden/>
              </w:rPr>
              <w:fldChar w:fldCharType="separate"/>
            </w:r>
            <w:r w:rsidR="00615804">
              <w:rPr>
                <w:noProof/>
                <w:webHidden/>
              </w:rPr>
              <w:t>141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0" w:history="1">
            <w:r w:rsidR="00615804" w:rsidRPr="002E6B64">
              <w:rPr>
                <w:rStyle w:val="Hyperlink"/>
                <w:noProof/>
              </w:rPr>
              <w:t>Bore ID – OB28</w:t>
            </w:r>
            <w:r w:rsidR="00615804">
              <w:rPr>
                <w:noProof/>
                <w:webHidden/>
              </w:rPr>
              <w:tab/>
            </w:r>
            <w:r>
              <w:rPr>
                <w:noProof/>
                <w:webHidden/>
              </w:rPr>
              <w:fldChar w:fldCharType="begin"/>
            </w:r>
            <w:r w:rsidR="00615804">
              <w:rPr>
                <w:noProof/>
                <w:webHidden/>
              </w:rPr>
              <w:instrText xml:space="preserve"> PAGEREF _Toc413230110 \h </w:instrText>
            </w:r>
            <w:r>
              <w:rPr>
                <w:noProof/>
                <w:webHidden/>
              </w:rPr>
            </w:r>
            <w:r>
              <w:rPr>
                <w:noProof/>
                <w:webHidden/>
              </w:rPr>
              <w:fldChar w:fldCharType="separate"/>
            </w:r>
            <w:r w:rsidR="00615804">
              <w:rPr>
                <w:noProof/>
                <w:webHidden/>
              </w:rPr>
              <w:t>144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1" w:history="1">
            <w:r w:rsidR="00615804" w:rsidRPr="002E6B64">
              <w:rPr>
                <w:rStyle w:val="Hyperlink"/>
                <w:noProof/>
              </w:rPr>
              <w:t>Bore ID – OB29</w:t>
            </w:r>
            <w:r w:rsidR="00615804">
              <w:rPr>
                <w:noProof/>
                <w:webHidden/>
              </w:rPr>
              <w:tab/>
            </w:r>
            <w:r>
              <w:rPr>
                <w:noProof/>
                <w:webHidden/>
              </w:rPr>
              <w:fldChar w:fldCharType="begin"/>
            </w:r>
            <w:r w:rsidR="00615804">
              <w:rPr>
                <w:noProof/>
                <w:webHidden/>
              </w:rPr>
              <w:instrText xml:space="preserve"> PAGEREF _Toc413230111 \h </w:instrText>
            </w:r>
            <w:r>
              <w:rPr>
                <w:noProof/>
                <w:webHidden/>
              </w:rPr>
            </w:r>
            <w:r>
              <w:rPr>
                <w:noProof/>
                <w:webHidden/>
              </w:rPr>
              <w:fldChar w:fldCharType="separate"/>
            </w:r>
            <w:r w:rsidR="00615804">
              <w:rPr>
                <w:noProof/>
                <w:webHidden/>
              </w:rPr>
              <w:t>147</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2" w:history="1">
            <w:r w:rsidR="00615804" w:rsidRPr="002E6B64">
              <w:rPr>
                <w:rStyle w:val="Hyperlink"/>
                <w:noProof/>
              </w:rPr>
              <w:t>Bore ID – OB30</w:t>
            </w:r>
            <w:r w:rsidR="00615804">
              <w:rPr>
                <w:noProof/>
                <w:webHidden/>
              </w:rPr>
              <w:tab/>
            </w:r>
            <w:r>
              <w:rPr>
                <w:noProof/>
                <w:webHidden/>
              </w:rPr>
              <w:fldChar w:fldCharType="begin"/>
            </w:r>
            <w:r w:rsidR="00615804">
              <w:rPr>
                <w:noProof/>
                <w:webHidden/>
              </w:rPr>
              <w:instrText xml:space="preserve"> PAGEREF _Toc413230112 \h </w:instrText>
            </w:r>
            <w:r>
              <w:rPr>
                <w:noProof/>
                <w:webHidden/>
              </w:rPr>
            </w:r>
            <w:r>
              <w:rPr>
                <w:noProof/>
                <w:webHidden/>
              </w:rPr>
              <w:fldChar w:fldCharType="separate"/>
            </w:r>
            <w:r w:rsidR="00615804">
              <w:rPr>
                <w:noProof/>
                <w:webHidden/>
              </w:rPr>
              <w:t>150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3" w:history="1">
            <w:r w:rsidR="00615804" w:rsidRPr="002E6B64">
              <w:rPr>
                <w:rStyle w:val="Hyperlink"/>
                <w:noProof/>
              </w:rPr>
              <w:t>Bore ID – OB2A</w:t>
            </w:r>
            <w:r w:rsidR="00615804">
              <w:rPr>
                <w:noProof/>
                <w:webHidden/>
              </w:rPr>
              <w:tab/>
            </w:r>
            <w:r>
              <w:rPr>
                <w:noProof/>
                <w:webHidden/>
              </w:rPr>
              <w:fldChar w:fldCharType="begin"/>
            </w:r>
            <w:r w:rsidR="00615804">
              <w:rPr>
                <w:noProof/>
                <w:webHidden/>
              </w:rPr>
              <w:instrText xml:space="preserve"> PAGEREF _Toc413230113 \h </w:instrText>
            </w:r>
            <w:r>
              <w:rPr>
                <w:noProof/>
                <w:webHidden/>
              </w:rPr>
            </w:r>
            <w:r>
              <w:rPr>
                <w:noProof/>
                <w:webHidden/>
              </w:rPr>
              <w:fldChar w:fldCharType="separate"/>
            </w:r>
            <w:r w:rsidR="00615804">
              <w:rPr>
                <w:noProof/>
                <w:webHidden/>
              </w:rPr>
              <w:t>153</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4" w:history="1">
            <w:r w:rsidR="00615804" w:rsidRPr="002E6B64">
              <w:rPr>
                <w:rStyle w:val="Hyperlink"/>
                <w:noProof/>
              </w:rPr>
              <w:t>Bore ID – OB44</w:t>
            </w:r>
            <w:r w:rsidR="00615804">
              <w:rPr>
                <w:noProof/>
                <w:webHidden/>
              </w:rPr>
              <w:tab/>
            </w:r>
            <w:r>
              <w:rPr>
                <w:noProof/>
                <w:webHidden/>
              </w:rPr>
              <w:fldChar w:fldCharType="begin"/>
            </w:r>
            <w:r w:rsidR="00615804">
              <w:rPr>
                <w:noProof/>
                <w:webHidden/>
              </w:rPr>
              <w:instrText xml:space="preserve"> PAGEREF _Toc413230114 \h </w:instrText>
            </w:r>
            <w:r>
              <w:rPr>
                <w:noProof/>
                <w:webHidden/>
              </w:rPr>
            </w:r>
            <w:r>
              <w:rPr>
                <w:noProof/>
                <w:webHidden/>
              </w:rPr>
              <w:fldChar w:fldCharType="separate"/>
            </w:r>
            <w:r w:rsidR="00615804">
              <w:rPr>
                <w:noProof/>
                <w:webHidden/>
              </w:rPr>
              <w:t>156</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5" w:history="1">
            <w:r w:rsidR="00615804" w:rsidRPr="002E6B64">
              <w:rPr>
                <w:rStyle w:val="Hyperlink"/>
                <w:noProof/>
              </w:rPr>
              <w:t>Bore ID –</w:t>
            </w:r>
            <w:r w:rsidR="001A6246">
              <w:rPr>
                <w:rStyle w:val="Hyperlink"/>
                <w:noProof/>
              </w:rPr>
              <w:t xml:space="preserve"> </w:t>
            </w:r>
            <w:r w:rsidR="00615804" w:rsidRPr="002E6B64">
              <w:rPr>
                <w:rStyle w:val="Hyperlink"/>
                <w:noProof/>
              </w:rPr>
              <w:t>OB46</w:t>
            </w:r>
            <w:r w:rsidR="00615804">
              <w:rPr>
                <w:noProof/>
                <w:webHidden/>
              </w:rPr>
              <w:tab/>
            </w:r>
            <w:r>
              <w:rPr>
                <w:noProof/>
                <w:webHidden/>
              </w:rPr>
              <w:fldChar w:fldCharType="begin"/>
            </w:r>
            <w:r w:rsidR="00615804">
              <w:rPr>
                <w:noProof/>
                <w:webHidden/>
              </w:rPr>
              <w:instrText xml:space="preserve"> PAGEREF _Toc413230115 \h </w:instrText>
            </w:r>
            <w:r>
              <w:rPr>
                <w:noProof/>
                <w:webHidden/>
              </w:rPr>
            </w:r>
            <w:r>
              <w:rPr>
                <w:noProof/>
                <w:webHidden/>
              </w:rPr>
              <w:fldChar w:fldCharType="separate"/>
            </w:r>
            <w:r w:rsidR="00615804">
              <w:rPr>
                <w:noProof/>
                <w:webHidden/>
              </w:rPr>
              <w:t>159</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6" w:history="1">
            <w:r w:rsidR="00615804" w:rsidRPr="002E6B64">
              <w:rPr>
                <w:rStyle w:val="Hyperlink"/>
                <w:noProof/>
              </w:rPr>
              <w:t>Bore ID –</w:t>
            </w:r>
            <w:r w:rsidR="001A6246">
              <w:rPr>
                <w:rStyle w:val="Hyperlink"/>
                <w:noProof/>
              </w:rPr>
              <w:t xml:space="preserve"> </w:t>
            </w:r>
            <w:r w:rsidR="00615804" w:rsidRPr="002E6B64">
              <w:rPr>
                <w:rStyle w:val="Hyperlink"/>
                <w:noProof/>
              </w:rPr>
              <w:t>OB47</w:t>
            </w:r>
            <w:r w:rsidR="00615804">
              <w:rPr>
                <w:noProof/>
                <w:webHidden/>
              </w:rPr>
              <w:tab/>
            </w:r>
            <w:r>
              <w:rPr>
                <w:noProof/>
                <w:webHidden/>
              </w:rPr>
              <w:fldChar w:fldCharType="begin"/>
            </w:r>
            <w:r w:rsidR="00615804">
              <w:rPr>
                <w:noProof/>
                <w:webHidden/>
              </w:rPr>
              <w:instrText xml:space="preserve"> PAGEREF _Toc413230116 \h </w:instrText>
            </w:r>
            <w:r>
              <w:rPr>
                <w:noProof/>
                <w:webHidden/>
              </w:rPr>
            </w:r>
            <w:r>
              <w:rPr>
                <w:noProof/>
                <w:webHidden/>
              </w:rPr>
              <w:fldChar w:fldCharType="separate"/>
            </w:r>
            <w:r w:rsidR="00615804">
              <w:rPr>
                <w:noProof/>
                <w:webHidden/>
              </w:rPr>
              <w:t>160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7" w:history="1">
            <w:r w:rsidR="00615804" w:rsidRPr="002E6B64">
              <w:rPr>
                <w:rStyle w:val="Hyperlink"/>
                <w:noProof/>
              </w:rPr>
              <w:t>Bore ID –</w:t>
            </w:r>
            <w:r w:rsidR="001A6246">
              <w:rPr>
                <w:rStyle w:val="Hyperlink"/>
                <w:noProof/>
              </w:rPr>
              <w:t xml:space="preserve"> </w:t>
            </w:r>
            <w:r w:rsidR="00615804" w:rsidRPr="002E6B64">
              <w:rPr>
                <w:rStyle w:val="Hyperlink"/>
                <w:noProof/>
              </w:rPr>
              <w:t>OB48</w:t>
            </w:r>
            <w:r w:rsidR="00615804">
              <w:rPr>
                <w:noProof/>
                <w:webHidden/>
              </w:rPr>
              <w:tab/>
            </w:r>
            <w:r>
              <w:rPr>
                <w:noProof/>
                <w:webHidden/>
              </w:rPr>
              <w:fldChar w:fldCharType="begin"/>
            </w:r>
            <w:r w:rsidR="00615804">
              <w:rPr>
                <w:noProof/>
                <w:webHidden/>
              </w:rPr>
              <w:instrText xml:space="preserve"> PAGEREF _Toc413230117 \h </w:instrText>
            </w:r>
            <w:r>
              <w:rPr>
                <w:noProof/>
                <w:webHidden/>
              </w:rPr>
            </w:r>
            <w:r>
              <w:rPr>
                <w:noProof/>
                <w:webHidden/>
              </w:rPr>
              <w:fldChar w:fldCharType="separate"/>
            </w:r>
            <w:r w:rsidR="00615804">
              <w:rPr>
                <w:noProof/>
                <w:webHidden/>
              </w:rPr>
              <w:t>161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8" w:history="1">
            <w:r w:rsidR="00615804" w:rsidRPr="002E6B64">
              <w:rPr>
                <w:rStyle w:val="Hyperlink"/>
                <w:noProof/>
              </w:rPr>
              <w:t>Bore ID –</w:t>
            </w:r>
            <w:r w:rsidR="001A6246">
              <w:rPr>
                <w:rStyle w:val="Hyperlink"/>
                <w:noProof/>
              </w:rPr>
              <w:t xml:space="preserve"> </w:t>
            </w:r>
            <w:r w:rsidR="00615804" w:rsidRPr="002E6B64">
              <w:rPr>
                <w:rStyle w:val="Hyperlink"/>
                <w:noProof/>
              </w:rPr>
              <w:t>OB49</w:t>
            </w:r>
            <w:r w:rsidR="00615804">
              <w:rPr>
                <w:noProof/>
                <w:webHidden/>
              </w:rPr>
              <w:tab/>
            </w:r>
            <w:r>
              <w:rPr>
                <w:noProof/>
                <w:webHidden/>
              </w:rPr>
              <w:fldChar w:fldCharType="begin"/>
            </w:r>
            <w:r w:rsidR="00615804">
              <w:rPr>
                <w:noProof/>
                <w:webHidden/>
              </w:rPr>
              <w:instrText xml:space="preserve"> PAGEREF _Toc413230118 \h </w:instrText>
            </w:r>
            <w:r>
              <w:rPr>
                <w:noProof/>
                <w:webHidden/>
              </w:rPr>
            </w:r>
            <w:r>
              <w:rPr>
                <w:noProof/>
                <w:webHidden/>
              </w:rPr>
              <w:fldChar w:fldCharType="separate"/>
            </w:r>
            <w:r w:rsidR="00615804">
              <w:rPr>
                <w:noProof/>
                <w:webHidden/>
              </w:rPr>
              <w:t>162</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19" w:history="1">
            <w:r w:rsidR="00615804" w:rsidRPr="002E6B64">
              <w:rPr>
                <w:rStyle w:val="Hyperlink"/>
                <w:noProof/>
              </w:rPr>
              <w:t>Bore ID –</w:t>
            </w:r>
            <w:r w:rsidR="001A6246">
              <w:rPr>
                <w:rStyle w:val="Hyperlink"/>
                <w:noProof/>
              </w:rPr>
              <w:t xml:space="preserve"> </w:t>
            </w:r>
            <w:r w:rsidR="00615804" w:rsidRPr="002E6B64">
              <w:rPr>
                <w:rStyle w:val="Hyperlink"/>
                <w:noProof/>
              </w:rPr>
              <w:t>OB50</w:t>
            </w:r>
            <w:r w:rsidR="00615804">
              <w:rPr>
                <w:noProof/>
                <w:webHidden/>
              </w:rPr>
              <w:tab/>
            </w:r>
            <w:r>
              <w:rPr>
                <w:noProof/>
                <w:webHidden/>
              </w:rPr>
              <w:fldChar w:fldCharType="begin"/>
            </w:r>
            <w:r w:rsidR="00615804">
              <w:rPr>
                <w:noProof/>
                <w:webHidden/>
              </w:rPr>
              <w:instrText xml:space="preserve"> PAGEREF _Toc413230119 \h </w:instrText>
            </w:r>
            <w:r>
              <w:rPr>
                <w:noProof/>
                <w:webHidden/>
              </w:rPr>
            </w:r>
            <w:r>
              <w:rPr>
                <w:noProof/>
                <w:webHidden/>
              </w:rPr>
              <w:fldChar w:fldCharType="separate"/>
            </w:r>
            <w:r w:rsidR="00615804">
              <w:rPr>
                <w:noProof/>
                <w:webHidden/>
              </w:rPr>
              <w:t>163</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0" w:history="1">
            <w:r w:rsidR="00615804" w:rsidRPr="002E6B64">
              <w:rPr>
                <w:rStyle w:val="Hyperlink"/>
                <w:noProof/>
              </w:rPr>
              <w:t>Bore ID –</w:t>
            </w:r>
            <w:r w:rsidR="001A6246">
              <w:rPr>
                <w:rStyle w:val="Hyperlink"/>
                <w:noProof/>
              </w:rPr>
              <w:t xml:space="preserve"> </w:t>
            </w:r>
            <w:r w:rsidR="00615804" w:rsidRPr="002E6B64">
              <w:rPr>
                <w:rStyle w:val="Hyperlink"/>
                <w:noProof/>
              </w:rPr>
              <w:t>OB51</w:t>
            </w:r>
            <w:r w:rsidR="00615804">
              <w:rPr>
                <w:noProof/>
                <w:webHidden/>
              </w:rPr>
              <w:tab/>
            </w:r>
            <w:r>
              <w:rPr>
                <w:noProof/>
                <w:webHidden/>
              </w:rPr>
              <w:fldChar w:fldCharType="begin"/>
            </w:r>
            <w:r w:rsidR="00615804">
              <w:rPr>
                <w:noProof/>
                <w:webHidden/>
              </w:rPr>
              <w:instrText xml:space="preserve"> PAGEREF _Toc413230120 \h </w:instrText>
            </w:r>
            <w:r>
              <w:rPr>
                <w:noProof/>
                <w:webHidden/>
              </w:rPr>
            </w:r>
            <w:r>
              <w:rPr>
                <w:noProof/>
                <w:webHidden/>
              </w:rPr>
              <w:fldChar w:fldCharType="separate"/>
            </w:r>
            <w:r w:rsidR="00615804">
              <w:rPr>
                <w:noProof/>
                <w:webHidden/>
              </w:rPr>
              <w:t>164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1" w:history="1">
            <w:r w:rsidR="00615804" w:rsidRPr="002E6B64">
              <w:rPr>
                <w:rStyle w:val="Hyperlink"/>
                <w:noProof/>
              </w:rPr>
              <w:t>Bore ID –</w:t>
            </w:r>
            <w:r w:rsidR="001A6246">
              <w:rPr>
                <w:rStyle w:val="Hyperlink"/>
                <w:noProof/>
              </w:rPr>
              <w:t xml:space="preserve"> </w:t>
            </w:r>
            <w:r w:rsidR="00615804" w:rsidRPr="002E6B64">
              <w:rPr>
                <w:rStyle w:val="Hyperlink"/>
                <w:noProof/>
              </w:rPr>
              <w:t>OB4A</w:t>
            </w:r>
            <w:r w:rsidR="00615804">
              <w:rPr>
                <w:noProof/>
                <w:webHidden/>
              </w:rPr>
              <w:tab/>
            </w:r>
            <w:r>
              <w:rPr>
                <w:noProof/>
                <w:webHidden/>
              </w:rPr>
              <w:fldChar w:fldCharType="begin"/>
            </w:r>
            <w:r w:rsidR="00615804">
              <w:rPr>
                <w:noProof/>
                <w:webHidden/>
              </w:rPr>
              <w:instrText xml:space="preserve"> PAGEREF _Toc413230121 \h </w:instrText>
            </w:r>
            <w:r>
              <w:rPr>
                <w:noProof/>
                <w:webHidden/>
              </w:rPr>
            </w:r>
            <w:r>
              <w:rPr>
                <w:noProof/>
                <w:webHidden/>
              </w:rPr>
              <w:fldChar w:fldCharType="separate"/>
            </w:r>
            <w:r w:rsidR="00615804">
              <w:rPr>
                <w:noProof/>
                <w:webHidden/>
              </w:rPr>
              <w:t>165</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2" w:history="1">
            <w:r w:rsidR="00615804" w:rsidRPr="002E6B64">
              <w:rPr>
                <w:rStyle w:val="Hyperlink"/>
                <w:noProof/>
              </w:rPr>
              <w:t>Bore ID –</w:t>
            </w:r>
            <w:r w:rsidR="001A6246">
              <w:rPr>
                <w:rStyle w:val="Hyperlink"/>
                <w:noProof/>
              </w:rPr>
              <w:t xml:space="preserve"> </w:t>
            </w:r>
            <w:r w:rsidR="00615804" w:rsidRPr="002E6B64">
              <w:rPr>
                <w:rStyle w:val="Hyperlink"/>
                <w:noProof/>
              </w:rPr>
              <w:t>OB6</w:t>
            </w:r>
            <w:r w:rsidR="00615804">
              <w:rPr>
                <w:noProof/>
                <w:webHidden/>
              </w:rPr>
              <w:tab/>
            </w:r>
            <w:r>
              <w:rPr>
                <w:noProof/>
                <w:webHidden/>
              </w:rPr>
              <w:fldChar w:fldCharType="begin"/>
            </w:r>
            <w:r w:rsidR="00615804">
              <w:rPr>
                <w:noProof/>
                <w:webHidden/>
              </w:rPr>
              <w:instrText xml:space="preserve"> PAGEREF _Toc413230122 \h </w:instrText>
            </w:r>
            <w:r>
              <w:rPr>
                <w:noProof/>
                <w:webHidden/>
              </w:rPr>
            </w:r>
            <w:r>
              <w:rPr>
                <w:noProof/>
                <w:webHidden/>
              </w:rPr>
              <w:fldChar w:fldCharType="separate"/>
            </w:r>
            <w:r w:rsidR="00615804">
              <w:rPr>
                <w:noProof/>
                <w:webHidden/>
              </w:rPr>
              <w:t>168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3" w:history="1">
            <w:r w:rsidR="00615804" w:rsidRPr="002E6B64">
              <w:rPr>
                <w:rStyle w:val="Hyperlink"/>
                <w:noProof/>
              </w:rPr>
              <w:t>Bore ID –</w:t>
            </w:r>
            <w:r w:rsidR="001A6246">
              <w:rPr>
                <w:rStyle w:val="Hyperlink"/>
                <w:noProof/>
              </w:rPr>
              <w:t xml:space="preserve"> </w:t>
            </w:r>
            <w:r w:rsidR="00615804" w:rsidRPr="002E6B64">
              <w:rPr>
                <w:rStyle w:val="Hyperlink"/>
                <w:noProof/>
              </w:rPr>
              <w:t>OB6A</w:t>
            </w:r>
            <w:r w:rsidR="00615804">
              <w:rPr>
                <w:noProof/>
                <w:webHidden/>
              </w:rPr>
              <w:tab/>
            </w:r>
            <w:r>
              <w:rPr>
                <w:noProof/>
                <w:webHidden/>
              </w:rPr>
              <w:fldChar w:fldCharType="begin"/>
            </w:r>
            <w:r w:rsidR="00615804">
              <w:rPr>
                <w:noProof/>
                <w:webHidden/>
              </w:rPr>
              <w:instrText xml:space="preserve"> PAGEREF _Toc413230123 \h </w:instrText>
            </w:r>
            <w:r>
              <w:rPr>
                <w:noProof/>
                <w:webHidden/>
              </w:rPr>
            </w:r>
            <w:r>
              <w:rPr>
                <w:noProof/>
                <w:webHidden/>
              </w:rPr>
              <w:fldChar w:fldCharType="separate"/>
            </w:r>
            <w:r w:rsidR="00615804">
              <w:rPr>
                <w:noProof/>
                <w:webHidden/>
              </w:rPr>
              <w:t>171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4" w:history="1">
            <w:r w:rsidR="00615804" w:rsidRPr="002E6B64">
              <w:rPr>
                <w:rStyle w:val="Hyperlink"/>
                <w:noProof/>
              </w:rPr>
              <w:t>Bore ID –</w:t>
            </w:r>
            <w:r w:rsidR="001A6246">
              <w:rPr>
                <w:rStyle w:val="Hyperlink"/>
                <w:noProof/>
              </w:rPr>
              <w:t xml:space="preserve"> </w:t>
            </w:r>
            <w:r w:rsidR="00615804" w:rsidRPr="002E6B64">
              <w:rPr>
                <w:rStyle w:val="Hyperlink"/>
                <w:noProof/>
              </w:rPr>
              <w:t>OB7A</w:t>
            </w:r>
            <w:r w:rsidR="00615804">
              <w:rPr>
                <w:noProof/>
                <w:webHidden/>
              </w:rPr>
              <w:tab/>
            </w:r>
            <w:r>
              <w:rPr>
                <w:noProof/>
                <w:webHidden/>
              </w:rPr>
              <w:fldChar w:fldCharType="begin"/>
            </w:r>
            <w:r w:rsidR="00615804">
              <w:rPr>
                <w:noProof/>
                <w:webHidden/>
              </w:rPr>
              <w:instrText xml:space="preserve"> PAGEREF _Toc413230124 \h </w:instrText>
            </w:r>
            <w:r>
              <w:rPr>
                <w:noProof/>
                <w:webHidden/>
              </w:rPr>
            </w:r>
            <w:r>
              <w:rPr>
                <w:noProof/>
                <w:webHidden/>
              </w:rPr>
              <w:fldChar w:fldCharType="separate"/>
            </w:r>
            <w:r w:rsidR="00615804">
              <w:rPr>
                <w:noProof/>
                <w:webHidden/>
              </w:rPr>
              <w:t>174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5" w:history="1">
            <w:r w:rsidR="00615804" w:rsidRPr="002E6B64">
              <w:rPr>
                <w:rStyle w:val="Hyperlink"/>
                <w:noProof/>
              </w:rPr>
              <w:t>Bore ID –</w:t>
            </w:r>
            <w:r w:rsidR="001A6246">
              <w:rPr>
                <w:rStyle w:val="Hyperlink"/>
                <w:noProof/>
              </w:rPr>
              <w:t xml:space="preserve"> </w:t>
            </w:r>
            <w:r w:rsidR="00615804" w:rsidRPr="002E6B64">
              <w:rPr>
                <w:rStyle w:val="Hyperlink"/>
                <w:noProof/>
              </w:rPr>
              <w:t>OB9A</w:t>
            </w:r>
            <w:r w:rsidR="00615804">
              <w:rPr>
                <w:noProof/>
                <w:webHidden/>
              </w:rPr>
              <w:tab/>
            </w:r>
            <w:r>
              <w:rPr>
                <w:noProof/>
                <w:webHidden/>
              </w:rPr>
              <w:fldChar w:fldCharType="begin"/>
            </w:r>
            <w:r w:rsidR="00615804">
              <w:rPr>
                <w:noProof/>
                <w:webHidden/>
              </w:rPr>
              <w:instrText xml:space="preserve"> PAGEREF _Toc413230125 \h </w:instrText>
            </w:r>
            <w:r>
              <w:rPr>
                <w:noProof/>
                <w:webHidden/>
              </w:rPr>
            </w:r>
            <w:r>
              <w:rPr>
                <w:noProof/>
                <w:webHidden/>
              </w:rPr>
              <w:fldChar w:fldCharType="separate"/>
            </w:r>
            <w:r w:rsidR="00615804">
              <w:rPr>
                <w:noProof/>
                <w:webHidden/>
              </w:rPr>
              <w:t>177</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6" w:history="1">
            <w:r w:rsidR="00615804" w:rsidRPr="002E6B64">
              <w:rPr>
                <w:rStyle w:val="Hyperlink"/>
                <w:noProof/>
              </w:rPr>
              <w:t>Bore ID – RN22211</w:t>
            </w:r>
            <w:r w:rsidR="00615804">
              <w:rPr>
                <w:noProof/>
                <w:webHidden/>
              </w:rPr>
              <w:tab/>
            </w:r>
            <w:r>
              <w:rPr>
                <w:noProof/>
                <w:webHidden/>
              </w:rPr>
              <w:fldChar w:fldCharType="begin"/>
            </w:r>
            <w:r w:rsidR="00615804">
              <w:rPr>
                <w:noProof/>
                <w:webHidden/>
              </w:rPr>
              <w:instrText xml:space="preserve"> PAGEREF _Toc413230126 \h </w:instrText>
            </w:r>
            <w:r>
              <w:rPr>
                <w:noProof/>
                <w:webHidden/>
              </w:rPr>
            </w:r>
            <w:r>
              <w:rPr>
                <w:noProof/>
                <w:webHidden/>
              </w:rPr>
              <w:fldChar w:fldCharType="separate"/>
            </w:r>
            <w:r w:rsidR="00615804">
              <w:rPr>
                <w:noProof/>
                <w:webHidden/>
              </w:rPr>
              <w:t>178</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7" w:history="1">
            <w:r w:rsidR="00615804" w:rsidRPr="002E6B64">
              <w:rPr>
                <w:rStyle w:val="Hyperlink"/>
                <w:noProof/>
              </w:rPr>
              <w:t>Bore ID – RN23551</w:t>
            </w:r>
            <w:r w:rsidR="00615804">
              <w:rPr>
                <w:noProof/>
                <w:webHidden/>
              </w:rPr>
              <w:tab/>
            </w:r>
            <w:r>
              <w:rPr>
                <w:noProof/>
                <w:webHidden/>
              </w:rPr>
              <w:fldChar w:fldCharType="begin"/>
            </w:r>
            <w:r w:rsidR="00615804">
              <w:rPr>
                <w:noProof/>
                <w:webHidden/>
              </w:rPr>
              <w:instrText xml:space="preserve"> PAGEREF _Toc413230127 \h </w:instrText>
            </w:r>
            <w:r>
              <w:rPr>
                <w:noProof/>
                <w:webHidden/>
              </w:rPr>
            </w:r>
            <w:r>
              <w:rPr>
                <w:noProof/>
                <w:webHidden/>
              </w:rPr>
              <w:fldChar w:fldCharType="separate"/>
            </w:r>
            <w:r w:rsidR="00615804">
              <w:rPr>
                <w:noProof/>
                <w:webHidden/>
              </w:rPr>
              <w:t>181</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8" w:history="1">
            <w:r w:rsidR="00615804" w:rsidRPr="002E6B64">
              <w:rPr>
                <w:rStyle w:val="Hyperlink"/>
                <w:noProof/>
              </w:rPr>
              <w:t>Bore ID – RN23556</w:t>
            </w:r>
            <w:r w:rsidR="00615804">
              <w:rPr>
                <w:noProof/>
                <w:webHidden/>
              </w:rPr>
              <w:tab/>
            </w:r>
            <w:r>
              <w:rPr>
                <w:noProof/>
                <w:webHidden/>
              </w:rPr>
              <w:fldChar w:fldCharType="begin"/>
            </w:r>
            <w:r w:rsidR="00615804">
              <w:rPr>
                <w:noProof/>
                <w:webHidden/>
              </w:rPr>
              <w:instrText xml:space="preserve"> PAGEREF _Toc413230128 \h </w:instrText>
            </w:r>
            <w:r>
              <w:rPr>
                <w:noProof/>
                <w:webHidden/>
              </w:rPr>
            </w:r>
            <w:r>
              <w:rPr>
                <w:noProof/>
                <w:webHidden/>
              </w:rPr>
              <w:fldChar w:fldCharType="separate"/>
            </w:r>
            <w:r w:rsidR="00615804">
              <w:rPr>
                <w:noProof/>
                <w:webHidden/>
              </w:rPr>
              <w:t>184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29" w:history="1">
            <w:r w:rsidR="00615804" w:rsidRPr="002E6B64">
              <w:rPr>
                <w:rStyle w:val="Hyperlink"/>
                <w:noProof/>
              </w:rPr>
              <w:t>Bore ID – RN23562</w:t>
            </w:r>
            <w:r w:rsidR="00615804">
              <w:rPr>
                <w:noProof/>
                <w:webHidden/>
              </w:rPr>
              <w:tab/>
            </w:r>
            <w:r>
              <w:rPr>
                <w:noProof/>
                <w:webHidden/>
              </w:rPr>
              <w:fldChar w:fldCharType="begin"/>
            </w:r>
            <w:r w:rsidR="00615804">
              <w:rPr>
                <w:noProof/>
                <w:webHidden/>
              </w:rPr>
              <w:instrText xml:space="preserve"> PAGEREF _Toc413230129 \h </w:instrText>
            </w:r>
            <w:r>
              <w:rPr>
                <w:noProof/>
                <w:webHidden/>
              </w:rPr>
            </w:r>
            <w:r>
              <w:rPr>
                <w:noProof/>
                <w:webHidden/>
              </w:rPr>
              <w:fldChar w:fldCharType="separate"/>
            </w:r>
            <w:r w:rsidR="00615804">
              <w:rPr>
                <w:noProof/>
                <w:webHidden/>
              </w:rPr>
              <w:t>187</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30" w:history="1">
            <w:r w:rsidR="00615804" w:rsidRPr="002E6B64">
              <w:rPr>
                <w:rStyle w:val="Hyperlink"/>
                <w:noProof/>
              </w:rPr>
              <w:t>Bore ID – RN23566</w:t>
            </w:r>
            <w:r w:rsidR="00615804">
              <w:rPr>
                <w:noProof/>
                <w:webHidden/>
              </w:rPr>
              <w:tab/>
            </w:r>
            <w:r>
              <w:rPr>
                <w:noProof/>
                <w:webHidden/>
              </w:rPr>
              <w:fldChar w:fldCharType="begin"/>
            </w:r>
            <w:r w:rsidR="00615804">
              <w:rPr>
                <w:noProof/>
                <w:webHidden/>
              </w:rPr>
              <w:instrText xml:space="preserve"> PAGEREF _Toc413230130 \h </w:instrText>
            </w:r>
            <w:r>
              <w:rPr>
                <w:noProof/>
                <w:webHidden/>
              </w:rPr>
            </w:r>
            <w:r>
              <w:rPr>
                <w:noProof/>
                <w:webHidden/>
              </w:rPr>
              <w:fldChar w:fldCharType="separate"/>
            </w:r>
            <w:r w:rsidR="00615804">
              <w:rPr>
                <w:noProof/>
                <w:webHidden/>
              </w:rPr>
              <w:t>190</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31" w:history="1">
            <w:r w:rsidR="00615804" w:rsidRPr="002E6B64">
              <w:rPr>
                <w:rStyle w:val="Hyperlink"/>
                <w:noProof/>
              </w:rPr>
              <w:t>Bore ID – RN23568</w:t>
            </w:r>
            <w:r w:rsidR="00615804">
              <w:rPr>
                <w:noProof/>
                <w:webHidden/>
              </w:rPr>
              <w:tab/>
            </w:r>
            <w:r>
              <w:rPr>
                <w:noProof/>
                <w:webHidden/>
              </w:rPr>
              <w:fldChar w:fldCharType="begin"/>
            </w:r>
            <w:r w:rsidR="00615804">
              <w:rPr>
                <w:noProof/>
                <w:webHidden/>
              </w:rPr>
              <w:instrText xml:space="preserve"> PAGEREF _Toc413230131 \h </w:instrText>
            </w:r>
            <w:r>
              <w:rPr>
                <w:noProof/>
                <w:webHidden/>
              </w:rPr>
            </w:r>
            <w:r>
              <w:rPr>
                <w:noProof/>
                <w:webHidden/>
              </w:rPr>
              <w:fldChar w:fldCharType="separate"/>
            </w:r>
            <w:r w:rsidR="00615804">
              <w:rPr>
                <w:noProof/>
                <w:webHidden/>
              </w:rPr>
              <w:t>193</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32" w:history="1">
            <w:r w:rsidR="00615804" w:rsidRPr="002E6B64">
              <w:rPr>
                <w:rStyle w:val="Hyperlink"/>
                <w:noProof/>
              </w:rPr>
              <w:t>Bore ID – RN8708</w:t>
            </w:r>
            <w:r w:rsidR="00615804">
              <w:rPr>
                <w:noProof/>
                <w:webHidden/>
              </w:rPr>
              <w:tab/>
            </w:r>
            <w:r>
              <w:rPr>
                <w:noProof/>
                <w:webHidden/>
              </w:rPr>
              <w:fldChar w:fldCharType="begin"/>
            </w:r>
            <w:r w:rsidR="00615804">
              <w:rPr>
                <w:noProof/>
                <w:webHidden/>
              </w:rPr>
              <w:instrText xml:space="preserve"> PAGEREF _Toc413230132 \h </w:instrText>
            </w:r>
            <w:r>
              <w:rPr>
                <w:noProof/>
                <w:webHidden/>
              </w:rPr>
            </w:r>
            <w:r>
              <w:rPr>
                <w:noProof/>
                <w:webHidden/>
              </w:rPr>
              <w:fldChar w:fldCharType="separate"/>
            </w:r>
            <w:r w:rsidR="00615804">
              <w:rPr>
                <w:noProof/>
                <w:webHidden/>
              </w:rPr>
              <w:t>196</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33" w:history="1">
            <w:r w:rsidR="00615804" w:rsidRPr="002E6B64">
              <w:rPr>
                <w:rStyle w:val="Hyperlink"/>
                <w:noProof/>
              </w:rPr>
              <w:t>Bore ID – RN9329</w:t>
            </w:r>
            <w:r w:rsidR="00615804">
              <w:rPr>
                <w:noProof/>
                <w:webHidden/>
              </w:rPr>
              <w:tab/>
            </w:r>
            <w:r>
              <w:rPr>
                <w:noProof/>
                <w:webHidden/>
              </w:rPr>
              <w:fldChar w:fldCharType="begin"/>
            </w:r>
            <w:r w:rsidR="00615804">
              <w:rPr>
                <w:noProof/>
                <w:webHidden/>
              </w:rPr>
              <w:instrText xml:space="preserve"> PAGEREF _Toc413230133 \h </w:instrText>
            </w:r>
            <w:r>
              <w:rPr>
                <w:noProof/>
                <w:webHidden/>
              </w:rPr>
            </w:r>
            <w:r>
              <w:rPr>
                <w:noProof/>
                <w:webHidden/>
              </w:rPr>
              <w:fldChar w:fldCharType="separate"/>
            </w:r>
            <w:r w:rsidR="00615804">
              <w:rPr>
                <w:noProof/>
                <w:webHidden/>
              </w:rPr>
              <w:t>199</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34" w:history="1">
            <w:r w:rsidR="00615804" w:rsidRPr="002E6B64">
              <w:rPr>
                <w:rStyle w:val="Hyperlink"/>
                <w:noProof/>
              </w:rPr>
              <w:t>Bore ID – RP1N1 and RP1N2</w:t>
            </w:r>
            <w:r w:rsidR="00615804">
              <w:rPr>
                <w:noProof/>
                <w:webHidden/>
              </w:rPr>
              <w:tab/>
            </w:r>
            <w:r>
              <w:rPr>
                <w:noProof/>
                <w:webHidden/>
              </w:rPr>
              <w:fldChar w:fldCharType="begin"/>
            </w:r>
            <w:r w:rsidR="00615804">
              <w:rPr>
                <w:noProof/>
                <w:webHidden/>
              </w:rPr>
              <w:instrText xml:space="preserve"> PAGEREF _Toc413230134 \h </w:instrText>
            </w:r>
            <w:r>
              <w:rPr>
                <w:noProof/>
                <w:webHidden/>
              </w:rPr>
            </w:r>
            <w:r>
              <w:rPr>
                <w:noProof/>
                <w:webHidden/>
              </w:rPr>
              <w:fldChar w:fldCharType="separate"/>
            </w:r>
            <w:r w:rsidR="00615804">
              <w:rPr>
                <w:noProof/>
                <w:webHidden/>
              </w:rPr>
              <w:t>202</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35" w:history="1">
            <w:r w:rsidR="00615804" w:rsidRPr="002E6B64">
              <w:rPr>
                <w:rStyle w:val="Hyperlink"/>
                <w:noProof/>
              </w:rPr>
              <w:t>Bore ID – OB79/6A</w:t>
            </w:r>
            <w:r w:rsidR="00615804">
              <w:rPr>
                <w:noProof/>
                <w:webHidden/>
              </w:rPr>
              <w:tab/>
            </w:r>
            <w:r>
              <w:rPr>
                <w:noProof/>
                <w:webHidden/>
              </w:rPr>
              <w:fldChar w:fldCharType="begin"/>
            </w:r>
            <w:r w:rsidR="00615804">
              <w:rPr>
                <w:noProof/>
                <w:webHidden/>
              </w:rPr>
              <w:instrText xml:space="preserve"> PAGEREF _Toc413230135 \h </w:instrText>
            </w:r>
            <w:r>
              <w:rPr>
                <w:noProof/>
                <w:webHidden/>
              </w:rPr>
            </w:r>
            <w:r>
              <w:rPr>
                <w:noProof/>
                <w:webHidden/>
              </w:rPr>
              <w:fldChar w:fldCharType="separate"/>
            </w:r>
            <w:r w:rsidR="00615804">
              <w:rPr>
                <w:noProof/>
                <w:webHidden/>
              </w:rPr>
              <w:t>203</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36" w:history="1">
            <w:r w:rsidR="00615804" w:rsidRPr="002E6B64">
              <w:rPr>
                <w:rStyle w:val="Hyperlink"/>
                <w:noProof/>
              </w:rPr>
              <w:t>Bore ID – R.P. 79/ 2</w:t>
            </w:r>
            <w:r w:rsidR="00615804">
              <w:rPr>
                <w:noProof/>
                <w:webHidden/>
              </w:rPr>
              <w:tab/>
            </w:r>
            <w:r>
              <w:rPr>
                <w:noProof/>
                <w:webHidden/>
              </w:rPr>
              <w:fldChar w:fldCharType="begin"/>
            </w:r>
            <w:r w:rsidR="00615804">
              <w:rPr>
                <w:noProof/>
                <w:webHidden/>
              </w:rPr>
              <w:instrText xml:space="preserve"> PAGEREF _Toc413230136 \h </w:instrText>
            </w:r>
            <w:r>
              <w:rPr>
                <w:noProof/>
                <w:webHidden/>
              </w:rPr>
            </w:r>
            <w:r>
              <w:rPr>
                <w:noProof/>
                <w:webHidden/>
              </w:rPr>
              <w:fldChar w:fldCharType="separate"/>
            </w:r>
            <w:r w:rsidR="00615804">
              <w:rPr>
                <w:noProof/>
                <w:webHidden/>
              </w:rPr>
              <w:t>204</w:t>
            </w:r>
            <w:r>
              <w:rPr>
                <w:noProof/>
                <w:webHidden/>
              </w:rPr>
              <w:fldChar w:fldCharType="end"/>
            </w:r>
          </w:hyperlink>
        </w:p>
        <w:p w:rsidR="00615804" w:rsidRDefault="00BA3FC5">
          <w:pPr>
            <w:pStyle w:val="TOC3"/>
            <w:rPr>
              <w:rFonts w:asciiTheme="minorHAnsi" w:eastAsiaTheme="minorEastAsia" w:hAnsiTheme="minorHAnsi" w:cstheme="minorBidi"/>
              <w:noProof/>
              <w:sz w:val="22"/>
              <w:szCs w:val="22"/>
              <w:lang w:eastAsia="en-AU"/>
            </w:rPr>
          </w:pPr>
          <w:hyperlink w:anchor="_Toc413230137" w:history="1">
            <w:r w:rsidR="00615804" w:rsidRPr="002E6B64">
              <w:rPr>
                <w:rStyle w:val="Hyperlink"/>
                <w:noProof/>
              </w:rPr>
              <w:t>Bore ID – R.P. 79/ 2</w:t>
            </w:r>
            <w:r w:rsidR="00615804">
              <w:rPr>
                <w:noProof/>
                <w:webHidden/>
              </w:rPr>
              <w:tab/>
            </w:r>
            <w:r>
              <w:rPr>
                <w:noProof/>
                <w:webHidden/>
              </w:rPr>
              <w:fldChar w:fldCharType="begin"/>
            </w:r>
            <w:r w:rsidR="00615804">
              <w:rPr>
                <w:noProof/>
                <w:webHidden/>
              </w:rPr>
              <w:instrText xml:space="preserve"> PAGEREF _Toc413230137 \h </w:instrText>
            </w:r>
            <w:r>
              <w:rPr>
                <w:noProof/>
                <w:webHidden/>
              </w:rPr>
            </w:r>
            <w:r>
              <w:rPr>
                <w:noProof/>
                <w:webHidden/>
              </w:rPr>
              <w:fldChar w:fldCharType="separate"/>
            </w:r>
            <w:r w:rsidR="00615804">
              <w:rPr>
                <w:noProof/>
                <w:webHidden/>
              </w:rPr>
              <w:t>204</w:t>
            </w:r>
            <w:r>
              <w:rPr>
                <w:noProof/>
                <w:webHidden/>
              </w:rPr>
              <w:fldChar w:fldCharType="end"/>
            </w:r>
          </w:hyperlink>
        </w:p>
        <w:p w:rsidR="00615804" w:rsidRDefault="00BA3FC5">
          <w:pPr>
            <w:pStyle w:val="TOC1"/>
            <w:rPr>
              <w:rFonts w:asciiTheme="minorHAnsi" w:eastAsiaTheme="minorEastAsia" w:hAnsiTheme="minorHAnsi" w:cstheme="minorBidi"/>
              <w:b w:val="0"/>
              <w:noProof/>
              <w:sz w:val="22"/>
              <w:szCs w:val="22"/>
              <w:lang w:eastAsia="en-AU"/>
            </w:rPr>
          </w:pPr>
          <w:hyperlink w:anchor="_Toc413230138" w:history="1">
            <w:r w:rsidR="00615804" w:rsidRPr="002E6B64">
              <w:rPr>
                <w:rStyle w:val="Hyperlink"/>
                <w:noProof/>
              </w:rPr>
              <w:t>Appendix 2</w:t>
            </w:r>
            <w:r w:rsidR="00615804">
              <w:rPr>
                <w:noProof/>
                <w:webHidden/>
              </w:rPr>
              <w:tab/>
            </w:r>
            <w:r>
              <w:rPr>
                <w:noProof/>
                <w:webHidden/>
              </w:rPr>
              <w:fldChar w:fldCharType="begin"/>
            </w:r>
            <w:r w:rsidR="00615804">
              <w:rPr>
                <w:noProof/>
                <w:webHidden/>
              </w:rPr>
              <w:instrText xml:space="preserve"> PAGEREF _Toc413230138 \h </w:instrText>
            </w:r>
            <w:r>
              <w:rPr>
                <w:noProof/>
                <w:webHidden/>
              </w:rPr>
            </w:r>
            <w:r>
              <w:rPr>
                <w:noProof/>
                <w:webHidden/>
              </w:rPr>
              <w:fldChar w:fldCharType="separate"/>
            </w:r>
            <w:r w:rsidR="00615804">
              <w:rPr>
                <w:noProof/>
                <w:webHidden/>
              </w:rPr>
              <w:t>205</w:t>
            </w:r>
            <w:r>
              <w:rPr>
                <w:noProof/>
                <w:webHidden/>
              </w:rPr>
              <w:fldChar w:fldCharType="end"/>
            </w:r>
          </w:hyperlink>
        </w:p>
        <w:p w:rsidR="00615804" w:rsidRDefault="00BA3FC5">
          <w:pPr>
            <w:pStyle w:val="TOC2"/>
            <w:rPr>
              <w:rFonts w:asciiTheme="minorHAnsi" w:eastAsiaTheme="minorEastAsia" w:hAnsiTheme="minorHAnsi" w:cstheme="minorBidi"/>
              <w:noProof/>
              <w:szCs w:val="22"/>
              <w:lang w:eastAsia="en-AU"/>
            </w:rPr>
          </w:pPr>
          <w:hyperlink w:anchor="_Toc413230139" w:history="1">
            <w:r w:rsidR="00615804" w:rsidRPr="002E6B64">
              <w:rPr>
                <w:rStyle w:val="Hyperlink"/>
                <w:noProof/>
              </w:rPr>
              <w:t>Bore water metal and radionuclide data</w:t>
            </w:r>
            <w:r w:rsidR="00615804">
              <w:rPr>
                <w:noProof/>
                <w:webHidden/>
              </w:rPr>
              <w:tab/>
            </w:r>
            <w:r>
              <w:rPr>
                <w:noProof/>
                <w:webHidden/>
              </w:rPr>
              <w:fldChar w:fldCharType="begin"/>
            </w:r>
            <w:r w:rsidR="00615804">
              <w:rPr>
                <w:noProof/>
                <w:webHidden/>
              </w:rPr>
              <w:instrText xml:space="preserve"> PAGEREF _Toc413230139 \h </w:instrText>
            </w:r>
            <w:r>
              <w:rPr>
                <w:noProof/>
                <w:webHidden/>
              </w:rPr>
            </w:r>
            <w:r>
              <w:rPr>
                <w:noProof/>
                <w:webHidden/>
              </w:rPr>
              <w:fldChar w:fldCharType="separate"/>
            </w:r>
            <w:r w:rsidR="00615804">
              <w:rPr>
                <w:noProof/>
                <w:webHidden/>
              </w:rPr>
              <w:t>205</w:t>
            </w:r>
            <w:r>
              <w:rPr>
                <w:noProof/>
                <w:webHidden/>
              </w:rPr>
              <w:fldChar w:fldCharType="end"/>
            </w:r>
          </w:hyperlink>
        </w:p>
        <w:p w:rsidR="00615804" w:rsidRDefault="00BA3FC5">
          <w:pPr>
            <w:pStyle w:val="TOC1"/>
            <w:rPr>
              <w:rFonts w:asciiTheme="minorHAnsi" w:eastAsiaTheme="minorEastAsia" w:hAnsiTheme="minorHAnsi" w:cstheme="minorBidi"/>
              <w:b w:val="0"/>
              <w:noProof/>
              <w:sz w:val="22"/>
              <w:szCs w:val="22"/>
              <w:lang w:eastAsia="en-AU"/>
            </w:rPr>
          </w:pPr>
          <w:hyperlink w:anchor="_Toc413230140" w:history="1">
            <w:r w:rsidR="00615804" w:rsidRPr="002E6B64">
              <w:rPr>
                <w:rStyle w:val="Hyperlink"/>
                <w:noProof/>
              </w:rPr>
              <w:t>Appendix 3</w:t>
            </w:r>
            <w:r w:rsidR="00615804">
              <w:rPr>
                <w:noProof/>
                <w:webHidden/>
              </w:rPr>
              <w:tab/>
            </w:r>
            <w:r>
              <w:rPr>
                <w:noProof/>
                <w:webHidden/>
              </w:rPr>
              <w:fldChar w:fldCharType="begin"/>
            </w:r>
            <w:r w:rsidR="00615804">
              <w:rPr>
                <w:noProof/>
                <w:webHidden/>
              </w:rPr>
              <w:instrText xml:space="preserve"> PAGEREF _Toc413230140 \h </w:instrText>
            </w:r>
            <w:r>
              <w:rPr>
                <w:noProof/>
                <w:webHidden/>
              </w:rPr>
            </w:r>
            <w:r>
              <w:rPr>
                <w:noProof/>
                <w:webHidden/>
              </w:rPr>
              <w:fldChar w:fldCharType="separate"/>
            </w:r>
            <w:r w:rsidR="00615804">
              <w:rPr>
                <w:noProof/>
                <w:webHidden/>
              </w:rPr>
              <w:t>217</w:t>
            </w:r>
            <w:r>
              <w:rPr>
                <w:noProof/>
                <w:webHidden/>
              </w:rPr>
              <w:fldChar w:fldCharType="end"/>
            </w:r>
          </w:hyperlink>
        </w:p>
        <w:p w:rsidR="00615804" w:rsidRDefault="00BA3FC5">
          <w:pPr>
            <w:pStyle w:val="TOC2"/>
            <w:rPr>
              <w:rFonts w:asciiTheme="minorHAnsi" w:eastAsiaTheme="minorEastAsia" w:hAnsiTheme="minorHAnsi" w:cstheme="minorBidi"/>
              <w:noProof/>
              <w:szCs w:val="22"/>
              <w:lang w:eastAsia="en-AU"/>
            </w:rPr>
          </w:pPr>
          <w:hyperlink w:anchor="_Toc413230141" w:history="1">
            <w:r w:rsidR="00615804" w:rsidRPr="002E6B64">
              <w:rPr>
                <w:rStyle w:val="Hyperlink"/>
                <w:noProof/>
              </w:rPr>
              <w:t>Bore water electrical conductivity and pH data</w:t>
            </w:r>
            <w:r w:rsidR="00615804">
              <w:rPr>
                <w:noProof/>
                <w:webHidden/>
              </w:rPr>
              <w:tab/>
            </w:r>
            <w:r>
              <w:rPr>
                <w:noProof/>
                <w:webHidden/>
              </w:rPr>
              <w:fldChar w:fldCharType="begin"/>
            </w:r>
            <w:r w:rsidR="00615804">
              <w:rPr>
                <w:noProof/>
                <w:webHidden/>
              </w:rPr>
              <w:instrText xml:space="preserve"> PAGEREF _Toc413230141 \h </w:instrText>
            </w:r>
            <w:r>
              <w:rPr>
                <w:noProof/>
                <w:webHidden/>
              </w:rPr>
            </w:r>
            <w:r>
              <w:rPr>
                <w:noProof/>
                <w:webHidden/>
              </w:rPr>
              <w:fldChar w:fldCharType="separate"/>
            </w:r>
            <w:r w:rsidR="00615804">
              <w:rPr>
                <w:noProof/>
                <w:webHidden/>
              </w:rPr>
              <w:t>217</w:t>
            </w:r>
            <w:r>
              <w:rPr>
                <w:noProof/>
                <w:webHidden/>
              </w:rPr>
              <w:fldChar w:fldCharType="end"/>
            </w:r>
          </w:hyperlink>
        </w:p>
        <w:p w:rsidR="00B57923" w:rsidRDefault="00BA3FC5">
          <w:r>
            <w:fldChar w:fldCharType="end"/>
          </w:r>
        </w:p>
      </w:sdtContent>
    </w:sdt>
    <w:p w:rsidR="00885B0A" w:rsidRDefault="00885B0A"/>
    <w:p w:rsidR="00885B0A" w:rsidRDefault="00885B0A">
      <w:pPr>
        <w:pStyle w:val="Heading1"/>
        <w:sectPr w:rsidR="00885B0A">
          <w:footerReference w:type="default" r:id="rId23"/>
          <w:pgSz w:w="11906" w:h="16838" w:code="9"/>
          <w:pgMar w:top="1440" w:right="1800" w:bottom="1440" w:left="1800" w:header="1080" w:footer="835" w:gutter="0"/>
          <w:pgNumType w:fmt="lowerRoman"/>
          <w:cols w:space="360"/>
          <w:noEndnote/>
        </w:sectPr>
      </w:pPr>
    </w:p>
    <w:p w:rsidR="00E82A74" w:rsidRDefault="00C220C4" w:rsidP="005A3AB9">
      <w:pPr>
        <w:pStyle w:val="Heading1"/>
      </w:pPr>
      <w:bookmarkStart w:id="29" w:name="_Toc413230052"/>
      <w:bookmarkEnd w:id="25"/>
      <w:bookmarkEnd w:id="26"/>
      <w:bookmarkEnd w:id="27"/>
      <w:bookmarkEnd w:id="28"/>
      <w:r>
        <w:t xml:space="preserve">1 </w:t>
      </w:r>
      <w:r w:rsidR="005A3AB9">
        <w:t>Background</w:t>
      </w:r>
      <w:bookmarkEnd w:id="29"/>
    </w:p>
    <w:p w:rsidR="005A3AB9" w:rsidRDefault="005A3AB9" w:rsidP="005A3AB9">
      <w:r>
        <w:t xml:space="preserve">Groundwater samples from bores around the Ranger </w:t>
      </w:r>
      <w:r w:rsidR="00F102EB">
        <w:t xml:space="preserve">uranium </w:t>
      </w:r>
      <w:r>
        <w:t>mine have been collected by the Environmental Research Institute of the Supervising Scientist (</w:t>
      </w:r>
      <w:r w:rsidR="00DC4556" w:rsidRPr="00DC4556">
        <w:rPr>
          <w:b/>
          <w:i/>
          <w:sz w:val="28"/>
          <w:szCs w:val="28"/>
        </w:rPr>
        <w:t>eriss</w:t>
      </w:r>
      <w:r>
        <w:t xml:space="preserve">), Energy Resources of Australia Ltd (ERA) and the Northern Territory Government Department of Mines and Energy (DME) for more than 30 years. These groundwater samples were primarily collected to monitor seepage of contaminants from the tailings storage facility (TSF) and the land application areas (LAAs) into the surrounding environment. </w:t>
      </w:r>
    </w:p>
    <w:p w:rsidR="005A3AB9" w:rsidRDefault="005A3AB9" w:rsidP="005A3AB9">
      <w:r>
        <w:t xml:space="preserve">Mining of pit 1 started in 1981 and ceased in 1996, mining of pit 3 started in 1998 and continued through to the end of December 2012. The two pits have been acting as groundwater sinks while being mined, and </w:t>
      </w:r>
      <w:r w:rsidR="00647F7A">
        <w:t>have been of</w:t>
      </w:r>
      <w:r>
        <w:t xml:space="preserve"> less interest during this period from a groundwater monitoring perspective. However, pit 1 has now been filled with tailings, wicks have been installed for de-watering, and tailings are being covered with waste rock to create a final landform above the pit. Pit 3 is also being being prepared to accept brines from the brine concentrator and tailings from the tailings storage facility from 2015 onwards. Consequently, more attention has been given to pits 1 and 3, including both monitoring groundwater quality and groundwater movement, and modelling groundwater behaviour in the vicinity of the two pits.</w:t>
      </w:r>
    </w:p>
    <w:p w:rsidR="005A3AB9" w:rsidRDefault="005A3AB9" w:rsidP="005A3AB9">
      <w:r>
        <w:t xml:space="preserve">Groundwater quality parameters routinely measured include </w:t>
      </w:r>
      <w:r w:rsidRPr="00892BD8">
        <w:rPr>
          <w:b/>
        </w:rPr>
        <w:t>major ions</w:t>
      </w:r>
      <w:r>
        <w:t xml:space="preserve"> (ERA/DME), </w:t>
      </w:r>
      <w:r w:rsidRPr="00892BD8">
        <w:rPr>
          <w:b/>
        </w:rPr>
        <w:t>heavy metals</w:t>
      </w:r>
      <w:r>
        <w:t xml:space="preserve"> (ERA/DME/</w:t>
      </w:r>
      <w:r w:rsidRPr="008B6579">
        <w:rPr>
          <w:b/>
          <w:i/>
          <w:sz w:val="28"/>
          <w:szCs w:val="28"/>
        </w:rPr>
        <w:t>eriss</w:t>
      </w:r>
      <w:r>
        <w:t xml:space="preserve">) and </w:t>
      </w:r>
      <w:r w:rsidRPr="00892BD8">
        <w:rPr>
          <w:b/>
        </w:rPr>
        <w:t>radionuclides</w:t>
      </w:r>
      <w:r>
        <w:t xml:space="preserve"> (ERA/</w:t>
      </w:r>
      <w:r w:rsidR="00DC4556" w:rsidRPr="00DC4556">
        <w:rPr>
          <w:b/>
          <w:i/>
          <w:sz w:val="28"/>
          <w:szCs w:val="28"/>
        </w:rPr>
        <w:t>eriss</w:t>
      </w:r>
      <w:r>
        <w:t xml:space="preserve">) (e.g. Martin &amp; Akber 1994, 1999; Klessa 2001; ERA 2012). ERA is collecting groundwater samples from </w:t>
      </w:r>
      <w:r w:rsidR="00647F7A">
        <w:t xml:space="preserve">four </w:t>
      </w:r>
      <w:r>
        <w:t>statutory and a large number of operational monitoring bores on a quarterly or biannually basis (ERA 2013), for the purpose of analysing major cations and anions, metals and radium (for some of the bores).</w:t>
      </w:r>
    </w:p>
    <w:p w:rsidR="005A3AB9" w:rsidRDefault="005A3AB9" w:rsidP="005A3AB9">
      <w:r>
        <w:t xml:space="preserve">Between 1996 and 2003, a number of bores were routinely sampled annually and analysed by </w:t>
      </w:r>
      <w:r w:rsidRPr="008B6579">
        <w:rPr>
          <w:b/>
          <w:bCs/>
          <w:i/>
          <w:iCs/>
          <w:sz w:val="28"/>
          <w:szCs w:val="28"/>
        </w:rPr>
        <w:t>eriss</w:t>
      </w:r>
      <w:r>
        <w:t xml:space="preserve">. However, due to operational reasons, in 2003 the decision was made that radionuclides and metals would be analysed in aliquots of bore waters sampled by DME (biannually) and, consequently, groundwater collection by </w:t>
      </w:r>
      <w:r w:rsidRPr="008B6579">
        <w:rPr>
          <w:b/>
          <w:i/>
          <w:sz w:val="28"/>
          <w:szCs w:val="28"/>
        </w:rPr>
        <w:t>eriss</w:t>
      </w:r>
      <w:r>
        <w:t xml:space="preserve"> was discontinued. Since 2004, </w:t>
      </w:r>
      <w:r w:rsidRPr="008B6579">
        <w:rPr>
          <w:b/>
          <w:i/>
          <w:sz w:val="28"/>
          <w:szCs w:val="28"/>
        </w:rPr>
        <w:t>eriss</w:t>
      </w:r>
      <w:r>
        <w:t xml:space="preserve"> has received aliquots of samples collected by DME at the end of the dry season (September/ October) around the Ranger mine site. DME analyses these samples routinely for metals and major ions. Results of ERA’s comprehensive groundwater monitoring program are published regularly in their annual </w:t>
      </w:r>
      <w:r w:rsidR="00DC4556" w:rsidRPr="00DC4556">
        <w:rPr>
          <w:i/>
        </w:rPr>
        <w:t>Ranger Wet Season Groundwater Report</w:t>
      </w:r>
      <w:r>
        <w:t xml:space="preserve"> (e.g. ERA 2012).</w:t>
      </w:r>
    </w:p>
    <w:p w:rsidR="005A3AB9" w:rsidRDefault="005A3AB9" w:rsidP="005A3AB9">
      <w:pPr>
        <w:rPr>
          <w:szCs w:val="22"/>
        </w:rPr>
      </w:pPr>
      <w:r w:rsidRPr="002E2696">
        <w:rPr>
          <w:szCs w:val="22"/>
        </w:rPr>
        <w:t xml:space="preserve">A review of the </w:t>
      </w:r>
      <w:r w:rsidRPr="008B6579">
        <w:rPr>
          <w:b/>
          <w:i/>
          <w:sz w:val="28"/>
          <w:szCs w:val="28"/>
        </w:rPr>
        <w:t>eriss</w:t>
      </w:r>
      <w:r w:rsidRPr="002E2696">
        <w:rPr>
          <w:szCs w:val="22"/>
        </w:rPr>
        <w:t xml:space="preserve"> research program and groundwater </w:t>
      </w:r>
      <w:r>
        <w:rPr>
          <w:szCs w:val="22"/>
        </w:rPr>
        <w:t>related research</w:t>
      </w:r>
      <w:r w:rsidRPr="002E2696">
        <w:rPr>
          <w:szCs w:val="22"/>
        </w:rPr>
        <w:t xml:space="preserve"> in 1989 </w:t>
      </w:r>
      <w:r w:rsidR="00A553BE">
        <w:rPr>
          <w:szCs w:val="22"/>
        </w:rPr>
        <w:t>emphasised</w:t>
      </w:r>
      <w:r w:rsidRPr="002E2696">
        <w:rPr>
          <w:szCs w:val="22"/>
        </w:rPr>
        <w:t xml:space="preserve"> that dispersion of contaminants </w:t>
      </w:r>
      <w:r>
        <w:rPr>
          <w:szCs w:val="22"/>
        </w:rPr>
        <w:t xml:space="preserve">via the groundwater pathway </w:t>
      </w:r>
      <w:r w:rsidRPr="002E2696">
        <w:rPr>
          <w:szCs w:val="22"/>
        </w:rPr>
        <w:t>occurs on a long time scale and is likely to reach its most significant impact after rehabilitation (OSS 1989). Consequently</w:t>
      </w:r>
      <w:r>
        <w:rPr>
          <w:szCs w:val="22"/>
        </w:rPr>
        <w:t>,</w:t>
      </w:r>
      <w:r w:rsidRPr="002E2696">
        <w:rPr>
          <w:szCs w:val="22"/>
        </w:rPr>
        <w:t xml:space="preserve"> it is important that these long time scales are acknowledged in any groundwater quality monitoring program. At </w:t>
      </w:r>
      <w:r>
        <w:rPr>
          <w:szCs w:val="22"/>
        </w:rPr>
        <w:t>its</w:t>
      </w:r>
      <w:r w:rsidRPr="002E2696">
        <w:rPr>
          <w:szCs w:val="22"/>
        </w:rPr>
        <w:t xml:space="preserve"> 12</w:t>
      </w:r>
      <w:r w:rsidRPr="002E2696">
        <w:rPr>
          <w:szCs w:val="22"/>
          <w:vertAlign w:val="superscript"/>
        </w:rPr>
        <w:t>th</w:t>
      </w:r>
      <w:r w:rsidRPr="002E2696">
        <w:rPr>
          <w:szCs w:val="22"/>
        </w:rPr>
        <w:t xml:space="preserve"> meeting in April 2003, the Alligator Rivers Region Technical Committee (ARRTC) identified </w:t>
      </w:r>
      <w:r>
        <w:rPr>
          <w:szCs w:val="22"/>
        </w:rPr>
        <w:t xml:space="preserve">that </w:t>
      </w:r>
      <w:r w:rsidRPr="00C76190">
        <w:rPr>
          <w:szCs w:val="22"/>
        </w:rPr>
        <w:t>further research on groundwater pathways was needed</w:t>
      </w:r>
      <w:r>
        <w:rPr>
          <w:szCs w:val="22"/>
        </w:rPr>
        <w:t>. The following t</w:t>
      </w:r>
      <w:r w:rsidRPr="002E2696">
        <w:rPr>
          <w:szCs w:val="22"/>
        </w:rPr>
        <w:t>wo key areas were</w:t>
      </w:r>
      <w:r>
        <w:rPr>
          <w:szCs w:val="22"/>
        </w:rPr>
        <w:t xml:space="preserve"> </w:t>
      </w:r>
      <w:r w:rsidRPr="002E2696">
        <w:rPr>
          <w:szCs w:val="22"/>
        </w:rPr>
        <w:t xml:space="preserve">identified </w:t>
      </w:r>
      <w:r>
        <w:rPr>
          <w:szCs w:val="22"/>
        </w:rPr>
        <w:t>in a</w:t>
      </w:r>
      <w:r w:rsidRPr="002E2696">
        <w:rPr>
          <w:szCs w:val="22"/>
        </w:rPr>
        <w:t xml:space="preserve"> review by Johnston &amp; Milnes (200</w:t>
      </w:r>
      <w:r>
        <w:rPr>
          <w:szCs w:val="22"/>
        </w:rPr>
        <w:t>7</w:t>
      </w:r>
      <w:r w:rsidRPr="002E2696">
        <w:rPr>
          <w:szCs w:val="22"/>
        </w:rPr>
        <w:t>) and subsequently supported by ARRTC</w:t>
      </w:r>
      <w:r>
        <w:rPr>
          <w:szCs w:val="22"/>
        </w:rPr>
        <w:t>:</w:t>
      </w:r>
      <w:r w:rsidRPr="002E2696">
        <w:rPr>
          <w:szCs w:val="22"/>
        </w:rPr>
        <w:t xml:space="preserve"> </w:t>
      </w:r>
    </w:p>
    <w:p w:rsidR="005A3AB9" w:rsidRDefault="005A3AB9" w:rsidP="005A3AB9">
      <w:pPr>
        <w:numPr>
          <w:ilvl w:val="0"/>
          <w:numId w:val="14"/>
        </w:numPr>
        <w:rPr>
          <w:szCs w:val="22"/>
        </w:rPr>
      </w:pPr>
      <w:r>
        <w:rPr>
          <w:szCs w:val="22"/>
        </w:rPr>
        <w:t xml:space="preserve">To </w:t>
      </w:r>
      <w:r w:rsidRPr="002E2696">
        <w:rPr>
          <w:szCs w:val="22"/>
        </w:rPr>
        <w:t>investigate options for the management of seepage, in particular from the</w:t>
      </w:r>
      <w:r>
        <w:rPr>
          <w:szCs w:val="22"/>
        </w:rPr>
        <w:t xml:space="preserve"> TSF</w:t>
      </w:r>
      <w:r w:rsidRPr="002E2696">
        <w:rPr>
          <w:szCs w:val="22"/>
        </w:rPr>
        <w:t>, to ensure that there are no detrimental impacts to downstream water quality</w:t>
      </w:r>
      <w:r>
        <w:rPr>
          <w:szCs w:val="22"/>
        </w:rPr>
        <w:t xml:space="preserve"> at Ranger uranium mine; and</w:t>
      </w:r>
    </w:p>
    <w:p w:rsidR="005A3AB9" w:rsidRDefault="005A3AB9" w:rsidP="005A3AB9">
      <w:pPr>
        <w:numPr>
          <w:ilvl w:val="0"/>
          <w:numId w:val="14"/>
        </w:numPr>
        <w:rPr>
          <w:szCs w:val="22"/>
        </w:rPr>
      </w:pPr>
      <w:proofErr w:type="gramStart"/>
      <w:r w:rsidRPr="002E2696">
        <w:rPr>
          <w:szCs w:val="22"/>
        </w:rPr>
        <w:t>to</w:t>
      </w:r>
      <w:proofErr w:type="gramEnd"/>
      <w:r w:rsidRPr="002E2696">
        <w:rPr>
          <w:szCs w:val="22"/>
        </w:rPr>
        <w:t xml:space="preserve"> study the behaviour of the groundwater mound under the </w:t>
      </w:r>
      <w:r>
        <w:rPr>
          <w:szCs w:val="22"/>
        </w:rPr>
        <w:t>TSF</w:t>
      </w:r>
      <w:r w:rsidRPr="002E2696">
        <w:rPr>
          <w:szCs w:val="22"/>
        </w:rPr>
        <w:t xml:space="preserve"> following de-commissioning and rehabilitation</w:t>
      </w:r>
      <w:r>
        <w:rPr>
          <w:szCs w:val="22"/>
        </w:rPr>
        <w:t xml:space="preserve"> of the mine</w:t>
      </w:r>
      <w:r w:rsidRPr="002E2696">
        <w:rPr>
          <w:szCs w:val="22"/>
        </w:rPr>
        <w:t xml:space="preserve">. </w:t>
      </w:r>
    </w:p>
    <w:p w:rsidR="005A3AB9" w:rsidRDefault="005A3AB9" w:rsidP="005A3AB9">
      <w:r w:rsidRPr="002E2696">
        <w:rPr>
          <w:szCs w:val="22"/>
        </w:rPr>
        <w:t>ARRTC has</w:t>
      </w:r>
      <w:r>
        <w:rPr>
          <w:szCs w:val="22"/>
        </w:rPr>
        <w:t xml:space="preserve"> also</w:t>
      </w:r>
      <w:r w:rsidRPr="002E2696">
        <w:rPr>
          <w:szCs w:val="22"/>
        </w:rPr>
        <w:t xml:space="preserve"> identified groundwater dispersion as one of the Key Knowledge Needs that need to be addressed from a monitoring perspective</w:t>
      </w:r>
      <w:r>
        <w:rPr>
          <w:szCs w:val="22"/>
        </w:rPr>
        <w:t xml:space="preserve">. </w:t>
      </w:r>
      <w:r>
        <w:t xml:space="preserve">Monitoring of groundwater should target the </w:t>
      </w:r>
      <w:r>
        <w:rPr>
          <w:szCs w:val="22"/>
        </w:rPr>
        <w:t>TSF</w:t>
      </w:r>
      <w:r>
        <w:t xml:space="preserve">, pit 1 and pit 3, where tailings are stored at present and will be stored following rehabilitation, and will have to continue during and following rehabilitation for a timeframe suitable to assess the success of rehabilitation and the integrity of the pits as tailings repositories in the long term. </w:t>
      </w:r>
    </w:p>
    <w:p w:rsidR="005A3AB9" w:rsidRDefault="005A3AB9" w:rsidP="005A3AB9">
      <w:pPr>
        <w:tabs>
          <w:tab w:val="left" w:pos="5529"/>
        </w:tabs>
      </w:pPr>
      <w:r>
        <w:t xml:space="preserve">ARRTC also recommended that a whole-of-footprint solute transport model based on a fractured rock simulation should be developed. The hydrogeological modelling is performed by ERA and consultants, mainly the Commonwealth Scientific and Industrial Research Organisation (CSIRO) and INTERA, </w:t>
      </w:r>
      <w:r w:rsidRPr="00D353C3">
        <w:t>a geosciences and engineering consulting firm</w:t>
      </w:r>
      <w:r>
        <w:t xml:space="preserve"> based in Austin, Texas. Whereas previous model development and application has focussed on the TSF (e.g. Puhalovich et al 2012a</w:t>
      </w:r>
      <w:proofErr w:type="gramStart"/>
      <w:r>
        <w:t>,b</w:t>
      </w:r>
      <w:proofErr w:type="gramEnd"/>
      <w:r>
        <w:t>), pit 1 (Kalf &amp; Associates 2004; Anderson &amp; Timms, 2009) and pit 3 (Salama et al 1998a-c; 1999) in isolation, INTERA has developed a groundwater model for ERA including both, pits 1 and 3. Such modelling will, ultimately, need to integrate groundwater seepage and surface water runoff from the whole rehabilitated landform.</w:t>
      </w:r>
    </w:p>
    <w:p w:rsidR="005A3AB9" w:rsidRDefault="005A3AB9" w:rsidP="005A3AB9">
      <w:r>
        <w:t xml:space="preserve">The focus of </w:t>
      </w:r>
      <w:r w:rsidRPr="008B6579">
        <w:rPr>
          <w:b/>
          <w:i/>
          <w:sz w:val="28"/>
          <w:szCs w:val="28"/>
        </w:rPr>
        <w:t>eriss</w:t>
      </w:r>
      <w:r>
        <w:t>’ groundwater monitoring and research projects has been the measurement of groundwater radionuclide activity concentrations in various bores around the mine, with some time records going back to the early 1980s</w:t>
      </w:r>
      <w:r>
        <w:rPr>
          <w:snapToGrid w:val="0"/>
        </w:rPr>
        <w:t xml:space="preserve">. Whereas radium isotopes and radium activity ratios were used as a process tracer and provided information about adsorption and desorption mechanisms of radium in groundwater (Martin &amp; Akber 1996, 1999), uranium and uranium activity ratios are often used as a source tracer to investigate the potential sources of uranium in groundwater (Ivanovich &amp; Harmon, 1994; </w:t>
      </w:r>
      <w:r>
        <w:t>Zielinski et al 1997; Iles et al 2002</w:t>
      </w:r>
      <w:r>
        <w:rPr>
          <w:snapToGrid w:val="0"/>
        </w:rPr>
        <w:t xml:space="preserve">). However, longer time series are needed to detect any changes in those parameters, which were not available in 2003 (Johnston &amp; Milnes 2007). </w:t>
      </w:r>
      <w:r>
        <w:t xml:space="preserve">Consequently, it was decided that </w:t>
      </w:r>
      <w:r w:rsidRPr="008B6579">
        <w:rPr>
          <w:b/>
          <w:i/>
          <w:sz w:val="28"/>
          <w:szCs w:val="28"/>
        </w:rPr>
        <w:t>eriss</w:t>
      </w:r>
      <w:r>
        <w:t xml:space="preserve"> would continue the groundwater monitoring program around Ranger and focus on the measurement of </w:t>
      </w:r>
      <w:r w:rsidRPr="00127DA8">
        <w:rPr>
          <w:snapToGrid w:val="0"/>
          <w:color w:val="000000"/>
          <w:position w:val="6"/>
          <w:sz w:val="16"/>
          <w:szCs w:val="0"/>
          <w:u w:color="000000"/>
        </w:rPr>
        <w:t>226</w:t>
      </w:r>
      <w:r>
        <w:t xml:space="preserve">Ra and </w:t>
      </w:r>
      <w:r w:rsidRPr="00127DA8">
        <w:rPr>
          <w:snapToGrid w:val="0"/>
          <w:color w:val="000000"/>
          <w:position w:val="6"/>
          <w:sz w:val="16"/>
          <w:szCs w:val="0"/>
          <w:u w:color="000000"/>
        </w:rPr>
        <w:t>238</w:t>
      </w:r>
      <w:r>
        <w:t xml:space="preserve">U activity concentrations, and the </w:t>
      </w:r>
      <w:r w:rsidRPr="00127DA8">
        <w:rPr>
          <w:snapToGrid w:val="0"/>
          <w:color w:val="000000"/>
          <w:position w:val="6"/>
          <w:sz w:val="16"/>
          <w:szCs w:val="0"/>
          <w:u w:color="000000"/>
        </w:rPr>
        <w:t>234</w:t>
      </w:r>
      <w:r>
        <w:t>U/</w:t>
      </w:r>
      <w:r w:rsidRPr="00127DA8">
        <w:rPr>
          <w:snapToGrid w:val="0"/>
          <w:color w:val="000000"/>
          <w:position w:val="6"/>
          <w:sz w:val="16"/>
          <w:szCs w:val="0"/>
          <w:u w:color="000000"/>
        </w:rPr>
        <w:t>238</w:t>
      </w:r>
      <w:r>
        <w:t xml:space="preserve">U activity ratio in bore waters. </w:t>
      </w:r>
      <w:r>
        <w:rPr>
          <w:snapToGrid w:val="0"/>
        </w:rPr>
        <w:t xml:space="preserve">Uranium and radium </w:t>
      </w:r>
      <w:r>
        <w:t>activity concentrations h</w:t>
      </w:r>
      <w:r>
        <w:rPr>
          <w:snapToGrid w:val="0"/>
        </w:rPr>
        <w:t xml:space="preserve">ave also been investigated at the rehabilitated Nabarlek uranium mine and results of these investigations have been published in Ryan &amp; </w:t>
      </w:r>
      <w:r w:rsidRPr="009C2BC9">
        <w:rPr>
          <w:snapToGrid w:val="0"/>
        </w:rPr>
        <w:t xml:space="preserve">Bollhöfer </w:t>
      </w:r>
      <w:r>
        <w:rPr>
          <w:snapToGrid w:val="0"/>
        </w:rPr>
        <w:t>(2007) and Ryan et al (2007).</w:t>
      </w:r>
    </w:p>
    <w:p w:rsidR="005A3AB9" w:rsidRPr="008C75DE" w:rsidRDefault="005A3AB9" w:rsidP="005A3AB9">
      <w:r>
        <w:t xml:space="preserve">In their conceptual pollution model for the operational phase of Ranger, Bartolo et al (2013) identified </w:t>
      </w:r>
      <w:r w:rsidRPr="00F5500E">
        <w:t>the transport of inorganic toxicants</w:t>
      </w:r>
      <w:r>
        <w:t xml:space="preserve"> and radionuclides</w:t>
      </w:r>
      <w:r w:rsidRPr="00F5500E">
        <w:t xml:space="preserve"> via </w:t>
      </w:r>
      <w:r>
        <w:t>the ‘</w:t>
      </w:r>
      <w:r w:rsidRPr="008C75DE">
        <w:t>seepage to groundwater to surface water pathway</w:t>
      </w:r>
      <w:r>
        <w:t>’</w:t>
      </w:r>
      <w:r w:rsidRPr="008C75DE">
        <w:t xml:space="preserve"> as a pathway of medium importance, </w:t>
      </w:r>
      <w:r>
        <w:t>with</w:t>
      </w:r>
      <w:r w:rsidRPr="008C75DE">
        <w:t xml:space="preserve"> a medium scientific knowledge base. Although significant progress has been made with regards to groundwater modelling and tailings characterisation, some of the information is still not used to its full extent, due to </w:t>
      </w:r>
      <w:r>
        <w:t xml:space="preserve">a </w:t>
      </w:r>
      <w:r w:rsidRPr="008C75DE">
        <w:t xml:space="preserve">disconnect </w:t>
      </w:r>
      <w:r>
        <w:t>between</w:t>
      </w:r>
      <w:r w:rsidRPr="008C75DE">
        <w:t xml:space="preserve"> the various programs involved in groundwater monitoring at Ranger. Groundwater quality data are currently stored in various individual databases and formats. </w:t>
      </w:r>
      <w:r>
        <w:t>A</w:t>
      </w:r>
      <w:r w:rsidRPr="008C75DE">
        <w:t xml:space="preserve"> meeting led by groundwater experts from ERA was held in November 2011 to discuss a joint organisational approach, as part of an effort to improve the Ranger groundwater knowledge base, facilitate a more coordinated approach to the acquisition and storage of groundwater data and to progress the development of closure criteria for Ranger. As an outcome of the meeting, </w:t>
      </w:r>
      <w:r w:rsidRPr="008B6579">
        <w:rPr>
          <w:b/>
          <w:i/>
          <w:sz w:val="28"/>
          <w:szCs w:val="28"/>
        </w:rPr>
        <w:t>eriss</w:t>
      </w:r>
      <w:r w:rsidRPr="008C75DE">
        <w:t xml:space="preserve"> radionuclide data from bores sampled by DME up to 2009 were sent to ERA for inclusion in their comprehensive groundwater GIS. </w:t>
      </w:r>
    </w:p>
    <w:p w:rsidR="005A3AB9" w:rsidRDefault="005A3AB9" w:rsidP="005A3AB9">
      <w:r w:rsidRPr="008C75DE">
        <w:t xml:space="preserve">All groundwater data available to </w:t>
      </w:r>
      <w:r w:rsidRPr="008B6579">
        <w:rPr>
          <w:b/>
          <w:bCs/>
          <w:i/>
          <w:iCs/>
          <w:sz w:val="28"/>
          <w:szCs w:val="28"/>
        </w:rPr>
        <w:t>eriss</w:t>
      </w:r>
      <w:r w:rsidRPr="008C75DE">
        <w:t xml:space="preserve"> up to the end of </w:t>
      </w:r>
      <w:r>
        <w:t xml:space="preserve">December </w:t>
      </w:r>
      <w:r w:rsidRPr="008C75DE">
        <w:t>201</w:t>
      </w:r>
      <w:r>
        <w:t>3</w:t>
      </w:r>
      <w:r w:rsidRPr="008C75DE">
        <w:t xml:space="preserve">, which include </w:t>
      </w:r>
      <w:r w:rsidRPr="00387ACA">
        <w:rPr>
          <w:snapToGrid w:val="0"/>
          <w:color w:val="000000"/>
          <w:position w:val="5"/>
          <w:sz w:val="15"/>
          <w:szCs w:val="0"/>
          <w:u w:color="000000"/>
        </w:rPr>
        <w:t>226</w:t>
      </w:r>
      <w:r>
        <w:t>R</w:t>
      </w:r>
      <w:r w:rsidRPr="008C75DE">
        <w:t xml:space="preserve">a and uranium isotopes and metals, have </w:t>
      </w:r>
      <w:r>
        <w:t xml:space="preserve">now </w:t>
      </w:r>
      <w:r w:rsidRPr="008C75DE">
        <w:t xml:space="preserve">been </w:t>
      </w:r>
      <w:r>
        <w:t xml:space="preserve">quality </w:t>
      </w:r>
      <w:r w:rsidRPr="008C75DE">
        <w:t xml:space="preserve">checked and verified and imported into a single groundwater </w:t>
      </w:r>
      <w:r>
        <w:t>quality spreadsheet.</w:t>
      </w:r>
      <w:r w:rsidRPr="008C75DE">
        <w:t xml:space="preserve"> Th</w:t>
      </w:r>
      <w:r>
        <w:t>e</w:t>
      </w:r>
      <w:r w:rsidRPr="008C75DE">
        <w:t xml:space="preserve"> data have also been migrated into the new </w:t>
      </w:r>
      <w:r w:rsidRPr="008B6579">
        <w:rPr>
          <w:b/>
          <w:i/>
          <w:sz w:val="28"/>
          <w:szCs w:val="28"/>
        </w:rPr>
        <w:t>eriss</w:t>
      </w:r>
      <w:r w:rsidRPr="008C75DE">
        <w:t xml:space="preserve"> </w:t>
      </w:r>
      <w:r w:rsidRPr="008C75DE">
        <w:rPr>
          <w:i/>
        </w:rPr>
        <w:t>EnviroSys</w:t>
      </w:r>
      <w:r w:rsidRPr="008C75DE">
        <w:t xml:space="preserve"> database.</w:t>
      </w:r>
      <w:r>
        <w:t xml:space="preserve"> </w:t>
      </w:r>
      <w:r w:rsidRPr="008C75DE">
        <w:t xml:space="preserve">A summary of this </w:t>
      </w:r>
      <w:r w:rsidRPr="008B6579">
        <w:rPr>
          <w:b/>
          <w:i/>
          <w:sz w:val="28"/>
          <w:szCs w:val="28"/>
        </w:rPr>
        <w:t>eriss</w:t>
      </w:r>
      <w:r w:rsidRPr="008C75DE">
        <w:t xml:space="preserve"> data is provided in this report.</w:t>
      </w:r>
    </w:p>
    <w:p w:rsidR="00F17389" w:rsidRDefault="00F17389" w:rsidP="00F17389">
      <w:pPr>
        <w:pStyle w:val="Heading3"/>
      </w:pPr>
      <w:bookmarkStart w:id="30" w:name="_Toc398721674"/>
      <w:bookmarkStart w:id="31" w:name="_Toc411850505"/>
      <w:bookmarkStart w:id="32" w:name="_Toc413230053"/>
      <w:r>
        <w:t>1.1 Aquifers at Ranger</w:t>
      </w:r>
      <w:bookmarkEnd w:id="30"/>
      <w:bookmarkEnd w:id="31"/>
      <w:bookmarkEnd w:id="32"/>
    </w:p>
    <w:p w:rsidR="00F17389" w:rsidRDefault="00F17389" w:rsidP="00F17389">
      <w:r>
        <w:t>Two aquifers exist at Ranger</w:t>
      </w:r>
      <w:r w:rsidR="00F353E7">
        <w:t xml:space="preserve">: </w:t>
      </w:r>
      <w:r>
        <w:t xml:space="preserve">an unconfined shallow aquifer varying in thickness </w:t>
      </w:r>
      <w:proofErr w:type="gramStart"/>
      <w:r>
        <w:t xml:space="preserve">from </w:t>
      </w:r>
      <w:r w:rsidR="007834B2">
        <w:t xml:space="preserve"> </w:t>
      </w:r>
      <w:r>
        <w:t>2</w:t>
      </w:r>
      <w:proofErr w:type="gramEnd"/>
      <w:r w:rsidR="007834B2">
        <w:t xml:space="preserve"> </w:t>
      </w:r>
      <w:r>
        <w:t>m to 20</w:t>
      </w:r>
      <w:r w:rsidR="007834B2">
        <w:t xml:space="preserve"> </w:t>
      </w:r>
      <w:r>
        <w:t xml:space="preserve">m and associated with the soil profile and underlying laterite layer, and a confined to semi-confined deep aquifer underlying weathered and fresh bedrock (Martin &amp; Akber 1996). A layer of low permeability sandy silty clay is commonly found between the laterite and the weathered bedrock. Where it occurs, this layer forms a semi-confining upper boundary to the deep aquifer. Ahmad and Green (1986) have divided the aquifers in the Ranger region into three main types (rather than into a shallow and deep aquifer only): </w:t>
      </w:r>
      <w:r w:rsidRPr="00AD33B9">
        <w:rPr>
          <w:b/>
        </w:rPr>
        <w:t>type A</w:t>
      </w:r>
      <w:r>
        <w:t xml:space="preserve"> is groundwater in the loose sand and gravels with high permeabilities, </w:t>
      </w:r>
      <w:r w:rsidRPr="00AD33B9">
        <w:rPr>
          <w:b/>
        </w:rPr>
        <w:t>type B</w:t>
      </w:r>
      <w:r>
        <w:t xml:space="preserve"> is groundwater in the weathered profile with relatively low permeabilities and </w:t>
      </w:r>
      <w:r w:rsidRPr="00AD33B9">
        <w:rPr>
          <w:b/>
        </w:rPr>
        <w:t>type C</w:t>
      </w:r>
      <w:r>
        <w:t xml:space="preserve"> groundwater occurs in the relatively fresh fractured rocks in the deep aquifer. This has subsequently been modified by Salama &amp; Foley (1997) who </w:t>
      </w:r>
      <w:r w:rsidRPr="00514E85">
        <w:t xml:space="preserve">proposed a system </w:t>
      </w:r>
      <w:r>
        <w:t>that</w:t>
      </w:r>
      <w:r w:rsidRPr="00514E85">
        <w:t xml:space="preserve"> recognises zonal influences and host lithologies. </w:t>
      </w:r>
      <w:r>
        <w:t>The</w:t>
      </w:r>
      <w:r w:rsidRPr="00514E85">
        <w:t xml:space="preserve"> aquifers are </w:t>
      </w:r>
      <w:r>
        <w:t>classified in their work as</w:t>
      </w:r>
      <w:r w:rsidRPr="00514E85">
        <w:t xml:space="preserve"> alluvial (shallow)</w:t>
      </w:r>
      <w:r w:rsidRPr="00DC3B14">
        <w:t xml:space="preserve"> </w:t>
      </w:r>
      <w:r>
        <w:t>(aquifer 1a)</w:t>
      </w:r>
      <w:r w:rsidRPr="00514E85">
        <w:t xml:space="preserve">, weathered rock </w:t>
      </w:r>
      <w:r>
        <w:t xml:space="preserve">(upper: aquifer 1b; intermediate: aquifer 2) </w:t>
      </w:r>
      <w:r w:rsidRPr="00514E85">
        <w:t xml:space="preserve">and </w:t>
      </w:r>
      <w:r>
        <w:t xml:space="preserve">deep </w:t>
      </w:r>
      <w:r w:rsidRPr="00514E85">
        <w:t>fractured rock (</w:t>
      </w:r>
      <w:r>
        <w:t>aquifer 3</w:t>
      </w:r>
      <w:r w:rsidRPr="00514E85">
        <w:t xml:space="preserve">) </w:t>
      </w:r>
      <w:r>
        <w:t xml:space="preserve">(Klessa 2001). The aquifers have been characterised chemically by Salama and Foley (1997), and their classification is reproduced in Table 1. </w:t>
      </w:r>
    </w:p>
    <w:p w:rsidR="00F17389" w:rsidRPr="000C1EDB" w:rsidRDefault="00F17389" w:rsidP="00F17389">
      <w:pPr>
        <w:pStyle w:val="tablecaption"/>
      </w:pPr>
      <w:bookmarkStart w:id="33" w:name="_Toc386618573"/>
      <w:r w:rsidRPr="00223904">
        <w:rPr>
          <w:b/>
        </w:rPr>
        <w:t>Table 1</w:t>
      </w:r>
      <w:r w:rsidRPr="000C1EDB">
        <w:t xml:space="preserve"> Cation facies, anion facies, pH and EC (μS∙cm</w:t>
      </w:r>
      <w:r w:rsidRPr="009307FF">
        <w:rPr>
          <w:snapToGrid w:val="0"/>
          <w:color w:val="000000"/>
          <w:position w:val="4"/>
          <w:sz w:val="12"/>
          <w:szCs w:val="0"/>
          <w:u w:color="000000"/>
        </w:rPr>
        <w:t>-1</w:t>
      </w:r>
      <w:r w:rsidRPr="000C1EDB">
        <w:t>) in the three aquifer classes (Klessa 2001).</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134"/>
        <w:gridCol w:w="2268"/>
        <w:gridCol w:w="851"/>
        <w:gridCol w:w="1134"/>
      </w:tblGrid>
      <w:tr w:rsidR="00F17389" w:rsidRPr="000C1EDB" w:rsidTr="00F17389">
        <w:tc>
          <w:tcPr>
            <w:tcW w:w="2376" w:type="dxa"/>
          </w:tcPr>
          <w:p w:rsidR="00F17389" w:rsidRPr="000C1EDB" w:rsidRDefault="00F17389" w:rsidP="00F17389">
            <w:pPr>
              <w:pStyle w:val="table1"/>
              <w:rPr>
                <w:b/>
              </w:rPr>
            </w:pPr>
          </w:p>
        </w:tc>
        <w:tc>
          <w:tcPr>
            <w:tcW w:w="1134" w:type="dxa"/>
          </w:tcPr>
          <w:p w:rsidR="00F17389" w:rsidRPr="000C1EDB" w:rsidRDefault="00F17389" w:rsidP="00F17389">
            <w:pPr>
              <w:pStyle w:val="table1"/>
              <w:rPr>
                <w:b/>
              </w:rPr>
            </w:pPr>
            <w:r w:rsidRPr="000C1EDB">
              <w:rPr>
                <w:b/>
              </w:rPr>
              <w:t>Major cations</w:t>
            </w:r>
          </w:p>
        </w:tc>
        <w:tc>
          <w:tcPr>
            <w:tcW w:w="2268" w:type="dxa"/>
          </w:tcPr>
          <w:p w:rsidR="00F17389" w:rsidRPr="000C1EDB" w:rsidRDefault="00F17389" w:rsidP="00F17389">
            <w:pPr>
              <w:pStyle w:val="table1"/>
              <w:rPr>
                <w:b/>
              </w:rPr>
            </w:pPr>
            <w:r w:rsidRPr="000C1EDB">
              <w:rPr>
                <w:b/>
              </w:rPr>
              <w:t>Major anions</w:t>
            </w:r>
          </w:p>
        </w:tc>
        <w:tc>
          <w:tcPr>
            <w:tcW w:w="851" w:type="dxa"/>
          </w:tcPr>
          <w:p w:rsidR="00F17389" w:rsidRPr="000C1EDB" w:rsidRDefault="00F17389" w:rsidP="00F17389">
            <w:pPr>
              <w:pStyle w:val="table1"/>
              <w:rPr>
                <w:b/>
              </w:rPr>
            </w:pPr>
            <w:r w:rsidRPr="000C1EDB">
              <w:rPr>
                <w:b/>
              </w:rPr>
              <w:t>pH</w:t>
            </w:r>
          </w:p>
        </w:tc>
        <w:tc>
          <w:tcPr>
            <w:tcW w:w="1134" w:type="dxa"/>
          </w:tcPr>
          <w:p w:rsidR="00F17389" w:rsidRPr="000C1EDB" w:rsidRDefault="00F17389" w:rsidP="00F17389">
            <w:pPr>
              <w:pStyle w:val="table1"/>
              <w:rPr>
                <w:b/>
              </w:rPr>
            </w:pPr>
            <w:r w:rsidRPr="000C1EDB">
              <w:rPr>
                <w:b/>
              </w:rPr>
              <w:t>EC</w:t>
            </w:r>
          </w:p>
        </w:tc>
      </w:tr>
      <w:tr w:rsidR="00F17389" w:rsidTr="00F17389">
        <w:tc>
          <w:tcPr>
            <w:tcW w:w="2376" w:type="dxa"/>
          </w:tcPr>
          <w:p w:rsidR="00F17389" w:rsidRDefault="00F17389" w:rsidP="00F17389">
            <w:pPr>
              <w:pStyle w:val="table1"/>
            </w:pPr>
            <w:r w:rsidRPr="00841A00">
              <w:rPr>
                <w:rFonts w:cs="Arial"/>
                <w:sz w:val="18"/>
                <w:szCs w:val="18"/>
                <w:lang w:eastAsia="en-AU"/>
              </w:rPr>
              <w:t>Superficial deposits and alluvium</w:t>
            </w:r>
            <w:r>
              <w:rPr>
                <w:rFonts w:cs="Arial"/>
                <w:sz w:val="18"/>
                <w:szCs w:val="18"/>
                <w:lang w:eastAsia="en-AU"/>
              </w:rPr>
              <w:t xml:space="preserve"> (aquifer1a)</w:t>
            </w:r>
          </w:p>
        </w:tc>
        <w:tc>
          <w:tcPr>
            <w:tcW w:w="1134" w:type="dxa"/>
          </w:tcPr>
          <w:p w:rsidR="00F17389" w:rsidRPr="00206D6B" w:rsidRDefault="00F17389" w:rsidP="00F17389">
            <w:pPr>
              <w:pStyle w:val="table1"/>
              <w:rPr>
                <w:sz w:val="18"/>
                <w:szCs w:val="18"/>
              </w:rPr>
            </w:pPr>
            <w:r w:rsidRPr="00206D6B">
              <w:rPr>
                <w:sz w:val="18"/>
                <w:szCs w:val="18"/>
              </w:rPr>
              <w:t>Ca-Na</w:t>
            </w:r>
          </w:p>
        </w:tc>
        <w:tc>
          <w:tcPr>
            <w:tcW w:w="2268" w:type="dxa"/>
          </w:tcPr>
          <w:p w:rsidR="00F17389" w:rsidRPr="00206D6B" w:rsidRDefault="00F17389" w:rsidP="00F17389">
            <w:pPr>
              <w:pStyle w:val="table1"/>
              <w:rPr>
                <w:sz w:val="18"/>
                <w:szCs w:val="18"/>
              </w:rPr>
            </w:pPr>
            <w:r w:rsidRPr="00206D6B">
              <w:rPr>
                <w:sz w:val="18"/>
                <w:szCs w:val="18"/>
              </w:rPr>
              <w:t>HCO3-Cl</w:t>
            </w:r>
          </w:p>
        </w:tc>
        <w:tc>
          <w:tcPr>
            <w:tcW w:w="851" w:type="dxa"/>
          </w:tcPr>
          <w:p w:rsidR="00F17389" w:rsidRPr="00206D6B" w:rsidRDefault="00F17389" w:rsidP="00F17389">
            <w:pPr>
              <w:pStyle w:val="table1"/>
              <w:rPr>
                <w:sz w:val="18"/>
                <w:szCs w:val="18"/>
              </w:rPr>
            </w:pPr>
            <w:r w:rsidRPr="00206D6B">
              <w:rPr>
                <w:sz w:val="18"/>
                <w:szCs w:val="18"/>
              </w:rPr>
              <w:t>5.5</w:t>
            </w:r>
          </w:p>
        </w:tc>
        <w:tc>
          <w:tcPr>
            <w:tcW w:w="1134" w:type="dxa"/>
          </w:tcPr>
          <w:p w:rsidR="00F17389" w:rsidRPr="00206D6B" w:rsidRDefault="00F17389" w:rsidP="00F17389">
            <w:pPr>
              <w:pStyle w:val="table1"/>
              <w:rPr>
                <w:sz w:val="18"/>
                <w:szCs w:val="18"/>
              </w:rPr>
            </w:pPr>
            <w:r w:rsidRPr="00206D6B">
              <w:rPr>
                <w:sz w:val="18"/>
                <w:szCs w:val="18"/>
              </w:rPr>
              <w:t>&lt;50</w:t>
            </w:r>
          </w:p>
        </w:tc>
      </w:tr>
      <w:tr w:rsidR="00F17389" w:rsidTr="00F17389">
        <w:tc>
          <w:tcPr>
            <w:tcW w:w="2376" w:type="dxa"/>
          </w:tcPr>
          <w:p w:rsidR="00F17389" w:rsidRDefault="00F17389" w:rsidP="00F17389">
            <w:pPr>
              <w:pStyle w:val="table1"/>
            </w:pPr>
            <w:r w:rsidRPr="00841A00">
              <w:rPr>
                <w:rFonts w:cs="Arial"/>
                <w:sz w:val="18"/>
                <w:szCs w:val="18"/>
                <w:lang w:eastAsia="en-AU"/>
              </w:rPr>
              <w:t>Weathered Nanambu complex</w:t>
            </w:r>
            <w:r>
              <w:rPr>
                <w:rFonts w:cs="Arial"/>
                <w:sz w:val="18"/>
                <w:szCs w:val="18"/>
                <w:lang w:eastAsia="en-AU"/>
              </w:rPr>
              <w:t xml:space="preserve"> (aquifers 1b &amp; 2)</w:t>
            </w:r>
          </w:p>
        </w:tc>
        <w:tc>
          <w:tcPr>
            <w:tcW w:w="1134" w:type="dxa"/>
          </w:tcPr>
          <w:p w:rsidR="00F17389" w:rsidRPr="00206D6B" w:rsidRDefault="00F17389" w:rsidP="00F17389">
            <w:pPr>
              <w:pStyle w:val="table1"/>
              <w:rPr>
                <w:sz w:val="18"/>
                <w:szCs w:val="18"/>
              </w:rPr>
            </w:pPr>
            <w:r w:rsidRPr="00206D6B">
              <w:rPr>
                <w:sz w:val="18"/>
                <w:szCs w:val="18"/>
              </w:rPr>
              <w:t>Na-Ca-Mg</w:t>
            </w:r>
          </w:p>
        </w:tc>
        <w:tc>
          <w:tcPr>
            <w:tcW w:w="2268" w:type="dxa"/>
          </w:tcPr>
          <w:p w:rsidR="00F17389" w:rsidRPr="00206D6B" w:rsidRDefault="00F17389" w:rsidP="00F17389">
            <w:pPr>
              <w:pStyle w:val="table1"/>
              <w:rPr>
                <w:sz w:val="18"/>
                <w:szCs w:val="18"/>
              </w:rPr>
            </w:pPr>
            <w:r w:rsidRPr="00206D6B">
              <w:rPr>
                <w:sz w:val="18"/>
                <w:szCs w:val="18"/>
              </w:rPr>
              <w:t>HCO3-Cl</w:t>
            </w:r>
          </w:p>
        </w:tc>
        <w:tc>
          <w:tcPr>
            <w:tcW w:w="851" w:type="dxa"/>
          </w:tcPr>
          <w:p w:rsidR="00F17389" w:rsidRPr="00206D6B" w:rsidRDefault="00F17389" w:rsidP="00F17389">
            <w:pPr>
              <w:pStyle w:val="table1"/>
              <w:rPr>
                <w:sz w:val="18"/>
                <w:szCs w:val="18"/>
              </w:rPr>
            </w:pPr>
            <w:r w:rsidRPr="00206D6B">
              <w:rPr>
                <w:sz w:val="18"/>
                <w:szCs w:val="18"/>
              </w:rPr>
              <w:t>6-6.5</w:t>
            </w:r>
          </w:p>
        </w:tc>
        <w:tc>
          <w:tcPr>
            <w:tcW w:w="1134" w:type="dxa"/>
          </w:tcPr>
          <w:p w:rsidR="00F17389" w:rsidRPr="00206D6B" w:rsidRDefault="00F17389" w:rsidP="00F17389">
            <w:pPr>
              <w:pStyle w:val="table1"/>
              <w:rPr>
                <w:sz w:val="18"/>
                <w:szCs w:val="18"/>
              </w:rPr>
            </w:pPr>
            <w:r w:rsidRPr="00206D6B">
              <w:rPr>
                <w:sz w:val="18"/>
                <w:szCs w:val="18"/>
              </w:rPr>
              <w:t>&lt;200</w:t>
            </w:r>
          </w:p>
        </w:tc>
      </w:tr>
      <w:tr w:rsidR="00F17389" w:rsidTr="00F17389">
        <w:tc>
          <w:tcPr>
            <w:tcW w:w="2376" w:type="dxa"/>
          </w:tcPr>
          <w:p w:rsidR="00F17389" w:rsidRDefault="00F17389" w:rsidP="00F17389">
            <w:pPr>
              <w:pStyle w:val="table1"/>
            </w:pPr>
            <w:r w:rsidRPr="00841A00">
              <w:rPr>
                <w:rFonts w:cs="Arial"/>
                <w:sz w:val="18"/>
                <w:szCs w:val="18"/>
                <w:lang w:eastAsia="en-AU"/>
              </w:rPr>
              <w:t>Fractured Nanambu complex</w:t>
            </w:r>
            <w:r>
              <w:rPr>
                <w:rFonts w:cs="Arial"/>
                <w:sz w:val="18"/>
                <w:szCs w:val="18"/>
                <w:lang w:eastAsia="en-AU"/>
              </w:rPr>
              <w:t xml:space="preserve"> (aquifer 3)</w:t>
            </w:r>
          </w:p>
        </w:tc>
        <w:tc>
          <w:tcPr>
            <w:tcW w:w="1134" w:type="dxa"/>
          </w:tcPr>
          <w:p w:rsidR="00F17389" w:rsidRPr="00206D6B" w:rsidRDefault="00F17389" w:rsidP="00F17389">
            <w:pPr>
              <w:pStyle w:val="table1"/>
              <w:rPr>
                <w:sz w:val="18"/>
                <w:szCs w:val="18"/>
              </w:rPr>
            </w:pPr>
            <w:r w:rsidRPr="00206D6B">
              <w:rPr>
                <w:sz w:val="18"/>
                <w:szCs w:val="18"/>
              </w:rPr>
              <w:t>Ca-Na</w:t>
            </w:r>
          </w:p>
        </w:tc>
        <w:tc>
          <w:tcPr>
            <w:tcW w:w="2268" w:type="dxa"/>
          </w:tcPr>
          <w:p w:rsidR="00F17389" w:rsidRPr="00206D6B" w:rsidRDefault="00F17389" w:rsidP="00F17389">
            <w:pPr>
              <w:pStyle w:val="table1"/>
              <w:rPr>
                <w:sz w:val="18"/>
                <w:szCs w:val="18"/>
              </w:rPr>
            </w:pPr>
            <w:r w:rsidRPr="00206D6B">
              <w:rPr>
                <w:sz w:val="18"/>
                <w:szCs w:val="18"/>
              </w:rPr>
              <w:t>HCO3 and HCO3-Cl-SO4</w:t>
            </w:r>
          </w:p>
        </w:tc>
        <w:tc>
          <w:tcPr>
            <w:tcW w:w="851" w:type="dxa"/>
          </w:tcPr>
          <w:p w:rsidR="00F17389" w:rsidRPr="00206D6B" w:rsidRDefault="00F17389" w:rsidP="00F17389">
            <w:pPr>
              <w:pStyle w:val="table1"/>
              <w:rPr>
                <w:sz w:val="18"/>
                <w:szCs w:val="18"/>
              </w:rPr>
            </w:pPr>
            <w:r w:rsidRPr="00206D6B">
              <w:rPr>
                <w:sz w:val="18"/>
                <w:szCs w:val="18"/>
              </w:rPr>
              <w:t>6.6-7.1</w:t>
            </w:r>
          </w:p>
        </w:tc>
        <w:tc>
          <w:tcPr>
            <w:tcW w:w="1134" w:type="dxa"/>
          </w:tcPr>
          <w:p w:rsidR="00F17389" w:rsidRPr="00206D6B" w:rsidRDefault="00F17389" w:rsidP="00F17389">
            <w:pPr>
              <w:pStyle w:val="table1"/>
              <w:rPr>
                <w:sz w:val="18"/>
                <w:szCs w:val="18"/>
              </w:rPr>
            </w:pPr>
            <w:r w:rsidRPr="00206D6B">
              <w:rPr>
                <w:sz w:val="18"/>
                <w:szCs w:val="18"/>
              </w:rPr>
              <w:t>180-310</w:t>
            </w:r>
          </w:p>
        </w:tc>
      </w:tr>
    </w:tbl>
    <w:p w:rsidR="00F17389" w:rsidRDefault="00F17389" w:rsidP="00F17389"/>
    <w:p w:rsidR="00F17389" w:rsidRDefault="00F17389" w:rsidP="00F17389">
      <w:r>
        <w:t xml:space="preserve">Figure 12 in ERA (2013) show groundwater monitoring sites and aquifer zones, together with the specific aquifers (1a, 1b, 2 and 3) that are being intersected by some of their groundwater monitoring bores. </w:t>
      </w:r>
    </w:p>
    <w:p w:rsidR="00F17389" w:rsidRDefault="00F17389" w:rsidP="00F17389">
      <w:pPr>
        <w:pStyle w:val="Heading3"/>
      </w:pPr>
      <w:bookmarkStart w:id="34" w:name="_Toc398721675"/>
      <w:bookmarkStart w:id="35" w:name="_Toc411850506"/>
      <w:bookmarkStart w:id="36" w:name="_Toc413230054"/>
      <w:r>
        <w:t>1.2 Groundwater contaminants</w:t>
      </w:r>
      <w:bookmarkEnd w:id="34"/>
      <w:bookmarkEnd w:id="35"/>
      <w:bookmarkEnd w:id="36"/>
    </w:p>
    <w:p w:rsidR="00F17389" w:rsidRDefault="00F17389" w:rsidP="00F17389">
      <w:pPr>
        <w:pStyle w:val="Heading4"/>
      </w:pPr>
      <w:bookmarkStart w:id="37" w:name="_Toc398721676"/>
      <w:bookmarkStart w:id="38" w:name="_Toc411850507"/>
      <w:r>
        <w:t>1.2.1 Sources of groundwater contaminants</w:t>
      </w:r>
      <w:bookmarkEnd w:id="37"/>
      <w:bookmarkEnd w:id="38"/>
    </w:p>
    <w:p w:rsidR="00F17389" w:rsidRDefault="00F17389" w:rsidP="00F17389">
      <w:r>
        <w:t xml:space="preserve">Figure 1 shows an aerial photograph of the site with the main sources of groundwater contamination highlighted. </w:t>
      </w:r>
    </w:p>
    <w:p w:rsidR="00F17389" w:rsidRPr="00663CC6" w:rsidRDefault="00F17389" w:rsidP="00F17389">
      <w:pPr>
        <w:rPr>
          <w:szCs w:val="22"/>
        </w:rPr>
      </w:pPr>
      <w:r w:rsidRPr="00F5500E">
        <w:t xml:space="preserve">The main sources of radionuclides in groundwater on the minesite </w:t>
      </w:r>
      <w:r>
        <w:t xml:space="preserve">at present </w:t>
      </w:r>
      <w:r w:rsidRPr="00F5500E">
        <w:t xml:space="preserve">are the tailings in </w:t>
      </w:r>
      <w:r>
        <w:t>p</w:t>
      </w:r>
      <w:r w:rsidRPr="00F5500E">
        <w:t>it 1 and</w:t>
      </w:r>
      <w:r>
        <w:t xml:space="preserve"> </w:t>
      </w:r>
      <w:r w:rsidRPr="00F5500E">
        <w:t>the TSF</w:t>
      </w:r>
      <w:r>
        <w:t xml:space="preserve">, </w:t>
      </w:r>
      <w:r w:rsidRPr="00F5500E">
        <w:t>application of radionuclides via land irrigation and the waste rock and low grade</w:t>
      </w:r>
      <w:r>
        <w:t xml:space="preserve"> </w:t>
      </w:r>
      <w:r w:rsidRPr="00F5500E">
        <w:t>ore stockpiles</w:t>
      </w:r>
      <w:r>
        <w:t xml:space="preserve"> (Bartolo et al 2013)</w:t>
      </w:r>
      <w:r w:rsidRPr="00F5500E">
        <w:t>.</w:t>
      </w:r>
      <w:r>
        <w:t xml:space="preserve"> </w:t>
      </w:r>
      <w:r>
        <w:rPr>
          <w:szCs w:val="22"/>
        </w:rPr>
        <w:t>T</w:t>
      </w:r>
      <w:r w:rsidRPr="00663CC6">
        <w:rPr>
          <w:szCs w:val="22"/>
        </w:rPr>
        <w:t>he TSF has historically been a focu</w:t>
      </w:r>
      <w:r>
        <w:rPr>
          <w:szCs w:val="22"/>
        </w:rPr>
        <w:t>s of groundwater investigations and, f</w:t>
      </w:r>
      <w:r w:rsidRPr="00663CC6">
        <w:rPr>
          <w:szCs w:val="22"/>
        </w:rPr>
        <w:t xml:space="preserve">ollowing a hydrogeological review of the area surrounding the Ranger TSF, a groundwater monitoring program specifically focussed on the TSF was developed and implemented by ERA in 2010. Results of ERA’s groundwater monitoring program are routinely reported in </w:t>
      </w:r>
      <w:r>
        <w:rPr>
          <w:szCs w:val="22"/>
        </w:rPr>
        <w:t>ERA’s</w:t>
      </w:r>
      <w:r w:rsidRPr="00663CC6">
        <w:rPr>
          <w:szCs w:val="22"/>
        </w:rPr>
        <w:t xml:space="preserve"> </w:t>
      </w:r>
      <w:r>
        <w:rPr>
          <w:szCs w:val="22"/>
        </w:rPr>
        <w:t>g</w:t>
      </w:r>
      <w:r w:rsidRPr="00663CC6">
        <w:rPr>
          <w:szCs w:val="22"/>
        </w:rPr>
        <w:t xml:space="preserve">roundwater </w:t>
      </w:r>
      <w:r>
        <w:rPr>
          <w:szCs w:val="22"/>
        </w:rPr>
        <w:t xml:space="preserve">monitoring </w:t>
      </w:r>
      <w:r w:rsidRPr="00663CC6">
        <w:rPr>
          <w:szCs w:val="22"/>
        </w:rPr>
        <w:t>reports</w:t>
      </w:r>
      <w:r>
        <w:rPr>
          <w:szCs w:val="22"/>
        </w:rPr>
        <w:t xml:space="preserve"> (e.g. ERA 2012)</w:t>
      </w:r>
      <w:r w:rsidRPr="00663CC6">
        <w:rPr>
          <w:szCs w:val="22"/>
        </w:rPr>
        <w:t>.</w:t>
      </w:r>
    </w:p>
    <w:p w:rsidR="00F17389" w:rsidRDefault="00F17389" w:rsidP="00F17389">
      <w:r>
        <w:t>Tailings are also stored in pit 1. The RL0 level in pit 1 is at the base of the weathered profile (and approximately 20</w:t>
      </w:r>
      <w:r w:rsidR="007834B2">
        <w:t xml:space="preserve"> </w:t>
      </w:r>
      <w:r>
        <w:t>m below the lowest point at the edge of the pit) with permeabilities of approximately 10</w:t>
      </w:r>
      <w:r>
        <w:rPr>
          <w:snapToGrid w:val="0"/>
          <w:color w:val="000000"/>
          <w:position w:val="6"/>
          <w:sz w:val="16"/>
          <w:szCs w:val="0"/>
          <w:u w:color="000000"/>
        </w:rPr>
        <w:t>-7</w:t>
      </w:r>
      <w:r>
        <w:t xml:space="preserve"> m/s (Haylen, 1981). This base acts like a barrier between the deep aquifer, with relatively widespread groundwater occurrences, and the shallow aquifer. The shallow aquifer has much higher permeabilities and can easily connect to the surface water system (Mudd 2002). The MBL-aquifer (mine bore L) to the south</w:t>
      </w:r>
      <w:r w:rsidR="00A720D3">
        <w:t>-</w:t>
      </w:r>
      <w:r>
        <w:t>east of pit 1 for example is highly permeable with permeabilities of around 10</w:t>
      </w:r>
      <w:r w:rsidRPr="00341B68">
        <w:rPr>
          <w:snapToGrid w:val="0"/>
          <w:color w:val="000000"/>
          <w:position w:val="5"/>
          <w:sz w:val="15"/>
          <w:szCs w:val="0"/>
          <w:u w:color="000000"/>
        </w:rPr>
        <w:t>-4</w:t>
      </w:r>
      <w:r>
        <w:t xml:space="preserve"> m/s (Haylen 1981; Anderson &amp; Timms, 2009) and connects to the Corridor Creek system. A barrier has been put in place at the south-eastern wall of the pit (permeability 10</w:t>
      </w:r>
      <w:r>
        <w:rPr>
          <w:snapToGrid w:val="0"/>
          <w:color w:val="000000"/>
          <w:position w:val="6"/>
          <w:sz w:val="16"/>
          <w:szCs w:val="0"/>
          <w:u w:color="000000"/>
        </w:rPr>
        <w:t>-7</w:t>
      </w:r>
      <w:r>
        <w:t>-10</w:t>
      </w:r>
      <w:r>
        <w:rPr>
          <w:snapToGrid w:val="0"/>
          <w:color w:val="000000"/>
          <w:position w:val="6"/>
          <w:sz w:val="16"/>
          <w:szCs w:val="0"/>
          <w:u w:color="000000"/>
        </w:rPr>
        <w:t>-8</w:t>
      </w:r>
      <w:r>
        <w:t xml:space="preserve"> m/s) to prevent seepage into that layer and allow storage of tailings above RL0 (for which final approval is yet to be given).</w:t>
      </w:r>
      <w:r w:rsidR="00A553BE">
        <w:t xml:space="preserve"> </w:t>
      </w:r>
      <w:r>
        <w:t>A large number of monitoring bores have been installed in this area (ERA 2013).</w:t>
      </w:r>
    </w:p>
    <w:p w:rsidR="00F17389" w:rsidRDefault="00F17389" w:rsidP="00F17389">
      <w:pPr>
        <w:autoSpaceDE w:val="0"/>
        <w:autoSpaceDN w:val="0"/>
        <w:adjustRightInd w:val="0"/>
        <w:jc w:val="center"/>
      </w:pPr>
      <w:r>
        <w:rPr>
          <w:noProof/>
          <w:lang w:eastAsia="en-AU"/>
        </w:rPr>
        <w:drawing>
          <wp:inline distT="0" distB="0" distL="0" distR="0">
            <wp:extent cx="4874260" cy="7148195"/>
            <wp:effectExtent l="19050" t="0" r="2540" b="0"/>
            <wp:docPr id="3" name="Picture 1" descr="Ranger LAAs and 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er LAAs and Infra"/>
                    <pic:cNvPicPr>
                      <a:picLocks noChangeAspect="1" noChangeArrowheads="1"/>
                    </pic:cNvPicPr>
                  </pic:nvPicPr>
                  <pic:blipFill>
                    <a:blip r:embed="rId24" cstate="email"/>
                    <a:srcRect/>
                    <a:stretch>
                      <a:fillRect/>
                    </a:stretch>
                  </pic:blipFill>
                  <pic:spPr bwMode="auto">
                    <a:xfrm>
                      <a:off x="0" y="0"/>
                      <a:ext cx="4874260" cy="7148195"/>
                    </a:xfrm>
                    <a:prstGeom prst="rect">
                      <a:avLst/>
                    </a:prstGeom>
                    <a:noFill/>
                    <a:ln w="9525">
                      <a:noFill/>
                      <a:miter lim="800000"/>
                      <a:headEnd/>
                      <a:tailEnd/>
                    </a:ln>
                  </pic:spPr>
                </pic:pic>
              </a:graphicData>
            </a:graphic>
          </wp:inline>
        </w:drawing>
      </w:r>
    </w:p>
    <w:p w:rsidR="00F17389" w:rsidRDefault="00F17389" w:rsidP="00F17389">
      <w:pPr>
        <w:pStyle w:val="figurecaption"/>
      </w:pPr>
      <w:bookmarkStart w:id="39" w:name="_Toc398721485"/>
      <w:r w:rsidRPr="00E06CBC">
        <w:rPr>
          <w:b/>
        </w:rPr>
        <w:t>Figure 1</w:t>
      </w:r>
      <w:r>
        <w:t xml:space="preserve"> Principal potential sources of contamination at Ranger</w:t>
      </w:r>
      <w:bookmarkEnd w:id="39"/>
    </w:p>
    <w:p w:rsidR="00F17389" w:rsidRDefault="00F17389" w:rsidP="00F17389">
      <w:r>
        <w:t>Mining in pit 3 ceased in December 2012 and backfilling of the pit with waste rock started in 2013. Pit 3 is currently being prepared to accept tailings that will be dredged from the TSF and deposited in the pit from 2015. Consequently, pit 3 is another area to be targeted in any future groundwater monitoring programme, in particular the area between the northern pit wall and Magela Creek, due to the existence of an extensive shallow sand lens in that area that has been shown to be the major pathway for groundwater from pit 3 into Magela Creek.</w:t>
      </w:r>
    </w:p>
    <w:p w:rsidR="00F17389" w:rsidRDefault="00F17389" w:rsidP="00F17389">
      <w:pPr>
        <w:autoSpaceDE w:val="0"/>
        <w:autoSpaceDN w:val="0"/>
        <w:adjustRightInd w:val="0"/>
      </w:pPr>
      <w:r>
        <w:t>The land application areas (LAAs) within the Ranger lease are another potential source of groundwater contamination. Since 1985, water stored in RP2 has been disposed of on</w:t>
      </w:r>
      <w:r w:rsidR="0055164D">
        <w:t>-</w:t>
      </w:r>
      <w:r>
        <w:t>site using land application methods during the dry season. RP2 receives seepage from all stockpiles including ore and waste rock. The Magela LAA was the first to be established using the spray irrigation method, and additional LAAs followed as the amount of water to be disposed of increased over time as a result of the increasing area occupied by waste rock and stockpiles. Starting in 1995, the RP1 and Djalkmara wetland filters were used to polish RP2 water before being applied to the RP1 and the Djalkmara East and West LAAs. Additional LAAs have been established in the Corridor Creek catchment and at Jabiru East. From 2006 onwards, increasing volumes of pond water have been treated by MF/RO water treatment plant with the clean permeate being discharged along the Corridor Creek catchment line (Akber et al 2011a).</w:t>
      </w:r>
    </w:p>
    <w:p w:rsidR="00F17389" w:rsidRPr="00640979" w:rsidRDefault="00F17389" w:rsidP="00F17389">
      <w:pPr>
        <w:autoSpaceDE w:val="0"/>
        <w:autoSpaceDN w:val="0"/>
        <w:adjustRightInd w:val="0"/>
      </w:pPr>
      <w:r>
        <w:t>L</w:t>
      </w:r>
      <w:r w:rsidRPr="006B3503">
        <w:t xml:space="preserve">and application </w:t>
      </w:r>
      <w:r>
        <w:t xml:space="preserve">to dispose </w:t>
      </w:r>
      <w:r w:rsidR="0055164D">
        <w:t xml:space="preserve">of </w:t>
      </w:r>
      <w:r w:rsidRPr="006B3503">
        <w:t xml:space="preserve">water is </w:t>
      </w:r>
      <w:r>
        <w:t>utilised because</w:t>
      </w:r>
      <w:r w:rsidRPr="006B3503">
        <w:t xml:space="preserve"> radionuclides bind </w:t>
      </w:r>
      <w:r>
        <w:t xml:space="preserve">strongly </w:t>
      </w:r>
      <w:r w:rsidRPr="006B3503">
        <w:t xml:space="preserve">to the surface horizons of soil profiles (Akber &amp; Marten 1992; Willett </w:t>
      </w:r>
      <w:r>
        <w:t>&amp; Bond</w:t>
      </w:r>
      <w:r w:rsidRPr="006B3503">
        <w:t xml:space="preserve"> </w:t>
      </w:r>
      <w:r>
        <w:t>1992; Hollingsworth et al 2005) and have limited impact on groundwater. A recently completed project initiated by ERA has characterised the Ranger LAAs in the context of their radiological status (Akber et al 2011 a</w:t>
      </w:r>
      <w:proofErr w:type="gramStart"/>
      <w:r>
        <w:t>,b,c</w:t>
      </w:r>
      <w:proofErr w:type="gramEnd"/>
      <w:r>
        <w:t>). More conservative constituents, such as Mg and SO</w:t>
      </w:r>
      <w:r w:rsidRPr="005664EE">
        <w:rPr>
          <w:snapToGrid w:val="0"/>
          <w:color w:val="000000"/>
          <w:position w:val="-5"/>
          <w:sz w:val="15"/>
          <w:szCs w:val="0"/>
          <w:u w:color="000000"/>
        </w:rPr>
        <w:t>4</w:t>
      </w:r>
      <w:r>
        <w:t xml:space="preserve">, however, may seep into the ground and influence groundwater quality </w:t>
      </w:r>
      <w:r w:rsidR="00606E71">
        <w:t>downgradient</w:t>
      </w:r>
      <w:r>
        <w:t xml:space="preserve"> of the LAAs. This has, for example, been observed at the rehabilitated Nabarlek uranium mine that </w:t>
      </w:r>
      <w:r w:rsidR="00DC4556" w:rsidRPr="00DC4556">
        <w:rPr>
          <w:rFonts w:cs="TimesNewRoman"/>
          <w:szCs w:val="22"/>
          <w:lang w:eastAsia="en-AU"/>
        </w:rPr>
        <w:t xml:space="preserve">exhibited deviations from baseline nitrate, ammonium, aluminium, cobalt and cadmium due to transport of contaminated groundwater </w:t>
      </w:r>
      <w:r w:rsidRPr="00B75C50">
        <w:t xml:space="preserve">associated with irrigation at the forest irrigation area </w:t>
      </w:r>
      <w:r w:rsidR="00DC4556" w:rsidRPr="00DC4556">
        <w:rPr>
          <w:rFonts w:cs="TimesNewRoman"/>
          <w:szCs w:val="22"/>
          <w:lang w:eastAsia="en-AU"/>
        </w:rPr>
        <w:t>(Parker 2001).</w:t>
      </w:r>
    </w:p>
    <w:p w:rsidR="00F17389" w:rsidRDefault="00F17389" w:rsidP="00F17389">
      <w:pPr>
        <w:pStyle w:val="Heading4"/>
      </w:pPr>
      <w:bookmarkStart w:id="40" w:name="_Toc398721677"/>
      <w:bookmarkStart w:id="41" w:name="_Toc411850508"/>
      <w:r>
        <w:t>1.2.2 Species of contaminants</w:t>
      </w:r>
      <w:bookmarkEnd w:id="40"/>
      <w:bookmarkEnd w:id="41"/>
    </w:p>
    <w:p w:rsidR="00F17389" w:rsidRDefault="00F17389" w:rsidP="00F17389">
      <w:r>
        <w:t>The relevant substances that may contaminate groundwater at Ranger can be divided into three subgroups:</w:t>
      </w:r>
    </w:p>
    <w:p w:rsidR="00F17389" w:rsidRDefault="00823D00" w:rsidP="00F17389">
      <w:pPr>
        <w:numPr>
          <w:ilvl w:val="0"/>
          <w:numId w:val="15"/>
        </w:numPr>
      </w:pPr>
      <w:r>
        <w:t>i</w:t>
      </w:r>
      <w:r w:rsidR="00F17389">
        <w:t>norganic contaminants</w:t>
      </w:r>
    </w:p>
    <w:p w:rsidR="00F17389" w:rsidRDefault="00823D00" w:rsidP="00F17389">
      <w:pPr>
        <w:numPr>
          <w:ilvl w:val="0"/>
          <w:numId w:val="15"/>
        </w:numPr>
      </w:pPr>
      <w:r>
        <w:t xml:space="preserve">organic </w:t>
      </w:r>
      <w:r w:rsidR="00F17389">
        <w:t>contaminants</w:t>
      </w:r>
    </w:p>
    <w:p w:rsidR="00F17389" w:rsidRDefault="00823D00" w:rsidP="00F17389">
      <w:pPr>
        <w:numPr>
          <w:ilvl w:val="0"/>
          <w:numId w:val="15"/>
        </w:numPr>
      </w:pPr>
      <w:r>
        <w:t>radionuclides</w:t>
      </w:r>
    </w:p>
    <w:p w:rsidR="00F17389" w:rsidRDefault="00F17389" w:rsidP="00F17389">
      <w:pPr>
        <w:pStyle w:val="Heading5"/>
      </w:pPr>
      <w:r>
        <w:t>1.2.2.1 Inorganic contaminants</w:t>
      </w:r>
    </w:p>
    <w:p w:rsidR="00F17389" w:rsidRDefault="00F17389" w:rsidP="00F17389">
      <w:r>
        <w:t xml:space="preserve">Noller (1991) identified </w:t>
      </w:r>
      <w:r w:rsidR="00823D00">
        <w:t xml:space="preserve">nine </w:t>
      </w:r>
      <w:r>
        <w:t xml:space="preserve">inorganic elements in Ranger ore body 1 minerals with an enrichment factor above 9.5 relative to typical Alligator Rivers Region rock. The most important elements identified are </w:t>
      </w:r>
      <w:r w:rsidRPr="00F50CBC">
        <w:rPr>
          <w:b/>
        </w:rPr>
        <w:t>gold</w:t>
      </w:r>
      <w:r>
        <w:t xml:space="preserve">, </w:t>
      </w:r>
      <w:r w:rsidRPr="00F50CBC">
        <w:rPr>
          <w:b/>
        </w:rPr>
        <w:t>uranium</w:t>
      </w:r>
      <w:r>
        <w:t xml:space="preserve">, </w:t>
      </w:r>
      <w:r w:rsidRPr="00F50CBC">
        <w:rPr>
          <w:b/>
        </w:rPr>
        <w:t>lead</w:t>
      </w:r>
      <w:r>
        <w:t xml:space="preserve">, </w:t>
      </w:r>
      <w:r w:rsidRPr="00F50CBC">
        <w:rPr>
          <w:b/>
        </w:rPr>
        <w:t>copper</w:t>
      </w:r>
      <w:r>
        <w:t xml:space="preserve">, </w:t>
      </w:r>
      <w:r w:rsidRPr="00F50CBC">
        <w:rPr>
          <w:b/>
        </w:rPr>
        <w:t>cadmium</w:t>
      </w:r>
      <w:r>
        <w:t xml:space="preserve">, </w:t>
      </w:r>
      <w:r w:rsidRPr="00F50CBC">
        <w:rPr>
          <w:b/>
        </w:rPr>
        <w:t>silver</w:t>
      </w:r>
      <w:r>
        <w:t xml:space="preserve"> and </w:t>
      </w:r>
      <w:r w:rsidRPr="00F50CBC">
        <w:rPr>
          <w:b/>
        </w:rPr>
        <w:t>mercury</w:t>
      </w:r>
      <w:r>
        <w:t xml:space="preserve"> (in this context it should be noted that the ARR rocks themselves are enriched relative to the crustal average in a variety of other elements). The milling process introduces a number of additional other elements, mainly </w:t>
      </w:r>
      <w:r w:rsidRPr="00F50CBC">
        <w:rPr>
          <w:b/>
        </w:rPr>
        <w:t>sulphur</w:t>
      </w:r>
      <w:r>
        <w:t xml:space="preserve">, </w:t>
      </w:r>
      <w:r w:rsidRPr="00F50CBC">
        <w:rPr>
          <w:b/>
        </w:rPr>
        <w:t>magnesium</w:t>
      </w:r>
      <w:r>
        <w:t xml:space="preserve"> and </w:t>
      </w:r>
      <w:r w:rsidRPr="00F50CBC">
        <w:rPr>
          <w:b/>
        </w:rPr>
        <w:t>manganese</w:t>
      </w:r>
      <w:r>
        <w:t xml:space="preserve">, into the process that may be present in groundwater in significant quantities as well. </w:t>
      </w:r>
    </w:p>
    <w:p w:rsidR="00F17389" w:rsidRDefault="00F17389" w:rsidP="00F17389">
      <w:pPr>
        <w:rPr>
          <w:color w:val="000000"/>
          <w:szCs w:val="22"/>
        </w:rPr>
      </w:pPr>
      <w:r>
        <w:t>The Fox Inquiry (</w:t>
      </w:r>
      <w:r>
        <w:rPr>
          <w:lang w:val="en-US"/>
        </w:rPr>
        <w:t xml:space="preserve">RUEI, 1975) predicted a number of contaminants that may influence the Gulungul catchment, due to </w:t>
      </w:r>
      <w:r>
        <w:t xml:space="preserve">runoff from the waste rock used to construct the TSF wall or via seepage from the TSF. The inorganic species specifically mentioned were </w:t>
      </w:r>
      <w:r w:rsidRPr="007D4539">
        <w:rPr>
          <w:b/>
          <w:color w:val="000000"/>
          <w:szCs w:val="22"/>
        </w:rPr>
        <w:t>arsenic</w:t>
      </w:r>
      <w:r>
        <w:rPr>
          <w:color w:val="000000"/>
          <w:szCs w:val="22"/>
        </w:rPr>
        <w:t xml:space="preserve">, </w:t>
      </w:r>
      <w:r w:rsidRPr="007D4539">
        <w:rPr>
          <w:b/>
          <w:color w:val="000000"/>
          <w:szCs w:val="22"/>
        </w:rPr>
        <w:t>cadmium</w:t>
      </w:r>
      <w:r>
        <w:rPr>
          <w:color w:val="000000"/>
          <w:szCs w:val="22"/>
        </w:rPr>
        <w:t xml:space="preserve">, </w:t>
      </w:r>
      <w:r w:rsidRPr="007D4539">
        <w:rPr>
          <w:b/>
          <w:color w:val="000000"/>
          <w:szCs w:val="22"/>
        </w:rPr>
        <w:t>copper</w:t>
      </w:r>
      <w:r>
        <w:rPr>
          <w:color w:val="000000"/>
          <w:szCs w:val="22"/>
        </w:rPr>
        <w:t xml:space="preserve">, </w:t>
      </w:r>
      <w:r w:rsidRPr="007D4539">
        <w:rPr>
          <w:b/>
          <w:color w:val="000000"/>
          <w:szCs w:val="22"/>
        </w:rPr>
        <w:t>lead</w:t>
      </w:r>
      <w:r>
        <w:rPr>
          <w:color w:val="000000"/>
          <w:szCs w:val="22"/>
        </w:rPr>
        <w:t xml:space="preserve">, </w:t>
      </w:r>
      <w:r w:rsidRPr="007D4539">
        <w:rPr>
          <w:b/>
          <w:color w:val="000000"/>
          <w:szCs w:val="22"/>
        </w:rPr>
        <w:t>manganese</w:t>
      </w:r>
      <w:r>
        <w:rPr>
          <w:color w:val="000000"/>
          <w:szCs w:val="22"/>
        </w:rPr>
        <w:t xml:space="preserve">, </w:t>
      </w:r>
      <w:r w:rsidRPr="007D4539">
        <w:rPr>
          <w:b/>
          <w:color w:val="000000"/>
          <w:szCs w:val="22"/>
        </w:rPr>
        <w:t>mercury</w:t>
      </w:r>
      <w:r>
        <w:rPr>
          <w:color w:val="000000"/>
          <w:szCs w:val="22"/>
        </w:rPr>
        <w:t xml:space="preserve">, </w:t>
      </w:r>
      <w:r w:rsidRPr="007D4539">
        <w:rPr>
          <w:b/>
          <w:color w:val="000000"/>
          <w:szCs w:val="22"/>
        </w:rPr>
        <w:t>zinc</w:t>
      </w:r>
      <w:r>
        <w:rPr>
          <w:color w:val="000000"/>
          <w:szCs w:val="22"/>
        </w:rPr>
        <w:t xml:space="preserve"> and </w:t>
      </w:r>
      <w:r w:rsidR="00D24DD5">
        <w:rPr>
          <w:b/>
          <w:color w:val="000000"/>
          <w:szCs w:val="22"/>
        </w:rPr>
        <w:t>sulfate</w:t>
      </w:r>
      <w:r>
        <w:rPr>
          <w:color w:val="000000"/>
          <w:szCs w:val="22"/>
        </w:rPr>
        <w:t xml:space="preserve">. </w:t>
      </w:r>
      <w:r w:rsidR="00D24DD5">
        <w:rPr>
          <w:color w:val="000000"/>
          <w:szCs w:val="22"/>
        </w:rPr>
        <w:t>Sulfate</w:t>
      </w:r>
      <w:r>
        <w:rPr>
          <w:color w:val="000000"/>
          <w:szCs w:val="22"/>
        </w:rPr>
        <w:t xml:space="preserve"> moves freely in groundwater and is often used as an indicator for conservative mine derived contaminants. </w:t>
      </w:r>
      <w:proofErr w:type="gramStart"/>
      <w:r>
        <w:rPr>
          <w:color w:val="000000"/>
          <w:szCs w:val="22"/>
        </w:rPr>
        <w:t>leGras</w:t>
      </w:r>
      <w:proofErr w:type="gramEnd"/>
      <w:r>
        <w:rPr>
          <w:color w:val="000000"/>
          <w:szCs w:val="22"/>
        </w:rPr>
        <w:t xml:space="preserve"> et al (1991, 1993) for instance found that tailings are the main source of sulphur to groundwater in bores north of the TSF, where various faults exist (Salama &amp; Foley 1997), using sulphur isotope ratios. </w:t>
      </w:r>
    </w:p>
    <w:p w:rsidR="00F17389" w:rsidRDefault="00F17389" w:rsidP="00F17389">
      <w:r>
        <w:t xml:space="preserve">Some typical concentrations of inorganic contaminants in tailings pore water for the above mentioned elements are listed in leGras (1992) and reproduced in Table 2. Also shown are data for runoff from waste rock and retention pond 2 water (Noller, 1991), which has been used for irrigation of the various land application areas, and concentrations in RP1 from a recent study by Turner &amp; Jones (2010). Treated RP2 water is spray and flood irrigated at various application areas around the mine site and might add contaminants into the groundwater system by recharging the shallow and deep aquifers. This recharge may occur along fractures with only a limited cover of material of low permeability. </w:t>
      </w:r>
    </w:p>
    <w:p w:rsidR="00F17389" w:rsidRPr="000C1EDB" w:rsidRDefault="00F17389" w:rsidP="00F17389">
      <w:pPr>
        <w:pStyle w:val="tablecaption"/>
      </w:pPr>
      <w:bookmarkStart w:id="42" w:name="_Toc386618574"/>
      <w:r w:rsidRPr="00326E1B">
        <w:rPr>
          <w:b/>
        </w:rPr>
        <w:t xml:space="preserve">Table </w:t>
      </w:r>
      <w:proofErr w:type="gramStart"/>
      <w:r w:rsidRPr="00326E1B">
        <w:rPr>
          <w:b/>
        </w:rPr>
        <w:t>2</w:t>
      </w:r>
      <w:r w:rsidRPr="000C1EDB">
        <w:t xml:space="preserve">  Concentrations</w:t>
      </w:r>
      <w:proofErr w:type="gramEnd"/>
      <w:r w:rsidRPr="000C1EDB">
        <w:t xml:space="preserve"> [µg∙L</w:t>
      </w:r>
      <w:r w:rsidRPr="004E1DCA">
        <w:rPr>
          <w:snapToGrid w:val="0"/>
          <w:color w:val="000000"/>
          <w:position w:val="4"/>
          <w:sz w:val="12"/>
          <w:szCs w:val="0"/>
          <w:u w:color="000000"/>
        </w:rPr>
        <w:t>-1</w:t>
      </w:r>
      <w:r w:rsidRPr="000C1EDB">
        <w:t xml:space="preserve">] of some </w:t>
      </w:r>
      <w:r>
        <w:t>i</w:t>
      </w:r>
      <w:r w:rsidRPr="000C1EDB">
        <w:t>norganic contaminants in various mine waters (data from leGras, 199</w:t>
      </w:r>
      <w:r>
        <w:t>2</w:t>
      </w:r>
      <w:r w:rsidRPr="000C1EDB">
        <w:t>; B. Noller, 199</w:t>
      </w:r>
      <w:r>
        <w:t>1</w:t>
      </w:r>
      <w:r w:rsidRPr="000C1EDB">
        <w:t>, Ahmad and Green; 1986</w:t>
      </w:r>
      <w:r>
        <w:t>; Turner &amp; Jones, 2010</w:t>
      </w:r>
      <w:r w:rsidRPr="000C1EDB">
        <w:t>).</w:t>
      </w:r>
      <w:bookmarkEnd w:id="42"/>
      <w:r w:rsidRPr="000C1EDB">
        <w:t xml:space="preserve">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
        <w:gridCol w:w="1773"/>
        <w:gridCol w:w="2126"/>
        <w:gridCol w:w="709"/>
        <w:gridCol w:w="1134"/>
        <w:gridCol w:w="1559"/>
      </w:tblGrid>
      <w:tr w:rsidR="00F17389" w:rsidRPr="000C1EDB" w:rsidTr="00F17389">
        <w:tc>
          <w:tcPr>
            <w:tcW w:w="921" w:type="dxa"/>
          </w:tcPr>
          <w:p w:rsidR="00F17389" w:rsidRPr="000C1EDB" w:rsidRDefault="00F17389" w:rsidP="00F17389">
            <w:pPr>
              <w:pStyle w:val="Normalno"/>
              <w:spacing w:before="60" w:after="60" w:line="200" w:lineRule="atLeast"/>
              <w:rPr>
                <w:rFonts w:ascii="Arial" w:hAnsi="Arial" w:cs="Arial"/>
                <w:b/>
                <w:bCs/>
                <w:sz w:val="16"/>
                <w:szCs w:val="16"/>
              </w:rPr>
            </w:pPr>
            <w:r w:rsidRPr="000C1EDB">
              <w:rPr>
                <w:rFonts w:ascii="Arial" w:hAnsi="Arial" w:cs="Arial"/>
                <w:b/>
                <w:bCs/>
                <w:sz w:val="16"/>
                <w:szCs w:val="16"/>
              </w:rPr>
              <w:t>Analyte</w:t>
            </w:r>
          </w:p>
        </w:tc>
        <w:tc>
          <w:tcPr>
            <w:tcW w:w="1773" w:type="dxa"/>
          </w:tcPr>
          <w:p w:rsidR="00F17389" w:rsidRPr="000C1EDB" w:rsidRDefault="00F17389" w:rsidP="00F17389">
            <w:pPr>
              <w:pStyle w:val="Normalno"/>
              <w:spacing w:before="60" w:after="60" w:line="200" w:lineRule="atLeast"/>
              <w:jc w:val="center"/>
              <w:rPr>
                <w:rFonts w:ascii="Arial" w:hAnsi="Arial" w:cs="Arial"/>
                <w:b/>
                <w:bCs/>
                <w:sz w:val="16"/>
                <w:szCs w:val="16"/>
              </w:rPr>
            </w:pPr>
            <w:r w:rsidRPr="000C1EDB">
              <w:rPr>
                <w:rFonts w:ascii="Arial" w:hAnsi="Arial" w:cs="Arial"/>
                <w:b/>
                <w:bCs/>
                <w:sz w:val="16"/>
                <w:szCs w:val="16"/>
              </w:rPr>
              <w:t xml:space="preserve">Tailings pore water </w:t>
            </w:r>
          </w:p>
        </w:tc>
        <w:tc>
          <w:tcPr>
            <w:tcW w:w="2126" w:type="dxa"/>
          </w:tcPr>
          <w:p w:rsidR="00F17389" w:rsidRPr="000C1EDB" w:rsidRDefault="00F17389" w:rsidP="00F17389">
            <w:pPr>
              <w:pStyle w:val="Normalno"/>
              <w:spacing w:before="60" w:after="60" w:line="200" w:lineRule="atLeast"/>
              <w:jc w:val="center"/>
              <w:rPr>
                <w:rFonts w:ascii="Arial" w:hAnsi="Arial" w:cs="Arial"/>
                <w:b/>
                <w:bCs/>
                <w:sz w:val="16"/>
                <w:szCs w:val="16"/>
              </w:rPr>
            </w:pPr>
            <w:r w:rsidRPr="000C1EDB">
              <w:rPr>
                <w:rFonts w:ascii="Arial" w:hAnsi="Arial" w:cs="Arial"/>
                <w:b/>
                <w:bCs/>
                <w:sz w:val="16"/>
                <w:szCs w:val="16"/>
              </w:rPr>
              <w:t>Waste rock runoff</w:t>
            </w:r>
          </w:p>
        </w:tc>
        <w:tc>
          <w:tcPr>
            <w:tcW w:w="709" w:type="dxa"/>
          </w:tcPr>
          <w:p w:rsidR="00F17389" w:rsidRPr="000C1EDB" w:rsidRDefault="00F17389" w:rsidP="00F17389">
            <w:pPr>
              <w:pStyle w:val="Normalno"/>
              <w:spacing w:before="60" w:after="60" w:line="200" w:lineRule="atLeast"/>
              <w:jc w:val="center"/>
              <w:rPr>
                <w:rFonts w:ascii="Arial" w:hAnsi="Arial" w:cs="Arial"/>
                <w:b/>
                <w:bCs/>
                <w:sz w:val="16"/>
                <w:szCs w:val="16"/>
              </w:rPr>
            </w:pPr>
            <w:r w:rsidRPr="000C1EDB">
              <w:rPr>
                <w:rFonts w:ascii="Arial" w:hAnsi="Arial" w:cs="Arial"/>
                <w:b/>
                <w:bCs/>
                <w:sz w:val="16"/>
                <w:szCs w:val="16"/>
              </w:rPr>
              <w:t>RP2</w:t>
            </w:r>
          </w:p>
        </w:tc>
        <w:tc>
          <w:tcPr>
            <w:tcW w:w="1134" w:type="dxa"/>
          </w:tcPr>
          <w:p w:rsidR="00F17389" w:rsidRPr="000C1EDB" w:rsidRDefault="00F17389" w:rsidP="00F17389">
            <w:pPr>
              <w:pStyle w:val="Normalno"/>
              <w:spacing w:before="60" w:after="60" w:line="200" w:lineRule="atLeast"/>
              <w:jc w:val="center"/>
              <w:rPr>
                <w:rFonts w:ascii="Arial" w:hAnsi="Arial" w:cs="Arial"/>
                <w:b/>
                <w:bCs/>
                <w:sz w:val="16"/>
                <w:szCs w:val="16"/>
              </w:rPr>
            </w:pPr>
            <w:r w:rsidRPr="000C1EDB">
              <w:rPr>
                <w:rFonts w:ascii="Arial" w:hAnsi="Arial" w:cs="Arial"/>
                <w:b/>
                <w:bCs/>
                <w:sz w:val="16"/>
                <w:szCs w:val="16"/>
              </w:rPr>
              <w:t>RP</w:t>
            </w:r>
            <w:r>
              <w:rPr>
                <w:rFonts w:ascii="Arial" w:hAnsi="Arial" w:cs="Arial"/>
                <w:b/>
                <w:bCs/>
                <w:sz w:val="16"/>
                <w:szCs w:val="16"/>
              </w:rPr>
              <w:t>1</w:t>
            </w:r>
          </w:p>
        </w:tc>
        <w:tc>
          <w:tcPr>
            <w:tcW w:w="1559" w:type="dxa"/>
          </w:tcPr>
          <w:p w:rsidR="00F17389" w:rsidRPr="000C1EDB" w:rsidRDefault="00F17389" w:rsidP="00F17389">
            <w:pPr>
              <w:pStyle w:val="Normalno"/>
              <w:spacing w:before="60" w:after="60" w:line="200" w:lineRule="atLeast"/>
              <w:jc w:val="center"/>
              <w:rPr>
                <w:rFonts w:ascii="Arial" w:hAnsi="Arial" w:cs="Arial"/>
                <w:b/>
                <w:bCs/>
                <w:sz w:val="16"/>
                <w:szCs w:val="16"/>
              </w:rPr>
            </w:pPr>
            <w:r w:rsidRPr="000C1EDB">
              <w:rPr>
                <w:rFonts w:ascii="Arial" w:hAnsi="Arial" w:cs="Arial"/>
                <w:b/>
                <w:bCs/>
                <w:sz w:val="16"/>
                <w:szCs w:val="16"/>
              </w:rPr>
              <w:t>Groundwater</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SO</w:t>
            </w:r>
            <w:r w:rsidRPr="000C1EDB">
              <w:rPr>
                <w:rFonts w:ascii="Arial" w:hAnsi="Arial" w:cs="Arial"/>
                <w:b/>
                <w:snapToGrid w:val="0"/>
                <w:color w:val="000000"/>
                <w:position w:val="-5"/>
                <w:sz w:val="16"/>
                <w:szCs w:val="16"/>
                <w:u w:color="000000"/>
              </w:rPr>
              <w:t>4</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47,000</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223</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1000-21000</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Mg</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8750</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58.8</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2000-33000</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NH</w:t>
            </w:r>
            <w:r w:rsidRPr="000C1EDB">
              <w:rPr>
                <w:rFonts w:ascii="Arial" w:hAnsi="Arial" w:cs="Arial"/>
                <w:b/>
                <w:snapToGrid w:val="0"/>
                <w:color w:val="000000"/>
                <w:position w:val="-5"/>
                <w:sz w:val="16"/>
                <w:szCs w:val="16"/>
                <w:u w:color="000000"/>
              </w:rPr>
              <w:t>4</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2880</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N/A</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Mn</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880</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0.07</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0.007</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N/A</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Na</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368</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N/A</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1000-31000</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Ca</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560</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N/A</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2000-40000</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K</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313</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N/A</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1000-20000</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Fe</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 0.5</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8</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N/A</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213</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100-25000</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Cu</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 0.05</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0.005</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0.006</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1.32</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0.01 – 5.2</w:t>
            </w:r>
          </w:p>
        </w:tc>
      </w:tr>
      <w:tr w:rsidR="00F17389" w:rsidRPr="000C1EDB" w:rsidTr="00F17389">
        <w:tc>
          <w:tcPr>
            <w:tcW w:w="921" w:type="dxa"/>
          </w:tcPr>
          <w:p w:rsidR="00F17389" w:rsidRPr="000C1EDB" w:rsidRDefault="00F17389" w:rsidP="00F17389">
            <w:pPr>
              <w:pStyle w:val="Normalno"/>
              <w:spacing w:before="60" w:line="200" w:lineRule="atLeast"/>
              <w:rPr>
                <w:rFonts w:ascii="Arial" w:hAnsi="Arial" w:cs="Arial"/>
                <w:b/>
                <w:sz w:val="16"/>
                <w:szCs w:val="16"/>
              </w:rPr>
            </w:pPr>
            <w:r w:rsidRPr="000C1EDB">
              <w:rPr>
                <w:rFonts w:ascii="Arial" w:hAnsi="Arial" w:cs="Arial"/>
                <w:b/>
                <w:sz w:val="16"/>
                <w:szCs w:val="16"/>
              </w:rPr>
              <w:t>Zn</w:t>
            </w:r>
          </w:p>
        </w:tc>
        <w:tc>
          <w:tcPr>
            <w:tcW w:w="1773"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 0.05</w:t>
            </w:r>
          </w:p>
        </w:tc>
        <w:tc>
          <w:tcPr>
            <w:tcW w:w="2126"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0.023</w:t>
            </w:r>
          </w:p>
        </w:tc>
        <w:tc>
          <w:tcPr>
            <w:tcW w:w="70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0.023</w:t>
            </w:r>
          </w:p>
        </w:tc>
        <w:tc>
          <w:tcPr>
            <w:tcW w:w="1134" w:type="dxa"/>
          </w:tcPr>
          <w:p w:rsidR="00F17389" w:rsidRPr="000C1EDB" w:rsidRDefault="00F17389" w:rsidP="00F17389">
            <w:pPr>
              <w:pStyle w:val="Normalno"/>
              <w:spacing w:before="60" w:line="200" w:lineRule="atLeast"/>
              <w:jc w:val="center"/>
              <w:rPr>
                <w:rFonts w:ascii="Arial" w:hAnsi="Arial" w:cs="Arial"/>
                <w:sz w:val="16"/>
                <w:szCs w:val="16"/>
              </w:rPr>
            </w:pPr>
            <w:r>
              <w:rPr>
                <w:rFonts w:ascii="Arial" w:hAnsi="Arial" w:cs="Arial"/>
                <w:sz w:val="16"/>
                <w:szCs w:val="16"/>
              </w:rPr>
              <w:t>N/A</w:t>
            </w:r>
          </w:p>
        </w:tc>
        <w:tc>
          <w:tcPr>
            <w:tcW w:w="1559" w:type="dxa"/>
          </w:tcPr>
          <w:p w:rsidR="00F17389" w:rsidRPr="000C1EDB" w:rsidRDefault="00F17389" w:rsidP="00F17389">
            <w:pPr>
              <w:pStyle w:val="Normalno"/>
              <w:spacing w:before="60" w:line="200" w:lineRule="atLeast"/>
              <w:jc w:val="center"/>
              <w:rPr>
                <w:rFonts w:ascii="Arial" w:hAnsi="Arial" w:cs="Arial"/>
                <w:sz w:val="16"/>
                <w:szCs w:val="16"/>
              </w:rPr>
            </w:pPr>
            <w:r w:rsidRPr="000C1EDB">
              <w:rPr>
                <w:rFonts w:ascii="Arial" w:hAnsi="Arial" w:cs="Arial"/>
                <w:sz w:val="16"/>
                <w:szCs w:val="16"/>
              </w:rPr>
              <w:t>0.1 – 60</w:t>
            </w:r>
          </w:p>
        </w:tc>
      </w:tr>
      <w:tr w:rsidR="00F17389" w:rsidRPr="000C1EDB" w:rsidTr="00F17389">
        <w:tc>
          <w:tcPr>
            <w:tcW w:w="921" w:type="dxa"/>
          </w:tcPr>
          <w:p w:rsidR="00F17389" w:rsidRPr="000C1EDB" w:rsidRDefault="00F17389" w:rsidP="00F17389">
            <w:pPr>
              <w:pStyle w:val="Normalno"/>
              <w:spacing w:before="60" w:after="60" w:line="200" w:lineRule="atLeast"/>
              <w:rPr>
                <w:rFonts w:ascii="Arial" w:hAnsi="Arial" w:cs="Arial"/>
                <w:b/>
                <w:sz w:val="16"/>
                <w:szCs w:val="16"/>
              </w:rPr>
            </w:pPr>
            <w:r w:rsidRPr="000C1EDB">
              <w:rPr>
                <w:rFonts w:ascii="Arial" w:hAnsi="Arial" w:cs="Arial"/>
                <w:b/>
                <w:sz w:val="16"/>
                <w:szCs w:val="16"/>
              </w:rPr>
              <w:t>Sr</w:t>
            </w:r>
          </w:p>
        </w:tc>
        <w:tc>
          <w:tcPr>
            <w:tcW w:w="1773" w:type="dxa"/>
          </w:tcPr>
          <w:p w:rsidR="00F17389" w:rsidRPr="000C1EDB" w:rsidRDefault="00F17389" w:rsidP="00F17389">
            <w:pPr>
              <w:pStyle w:val="Normalno"/>
              <w:spacing w:before="60" w:after="60" w:line="200" w:lineRule="atLeast"/>
              <w:jc w:val="center"/>
              <w:rPr>
                <w:rFonts w:ascii="Arial" w:hAnsi="Arial" w:cs="Arial"/>
                <w:sz w:val="16"/>
                <w:szCs w:val="16"/>
              </w:rPr>
            </w:pPr>
            <w:r w:rsidRPr="000C1EDB">
              <w:rPr>
                <w:rFonts w:ascii="Arial" w:hAnsi="Arial" w:cs="Arial"/>
                <w:sz w:val="16"/>
                <w:szCs w:val="16"/>
              </w:rPr>
              <w:t>~ 0.01</w:t>
            </w:r>
          </w:p>
        </w:tc>
        <w:tc>
          <w:tcPr>
            <w:tcW w:w="2126" w:type="dxa"/>
          </w:tcPr>
          <w:p w:rsidR="00F17389" w:rsidRPr="000C1EDB" w:rsidRDefault="00F17389" w:rsidP="00F17389">
            <w:pPr>
              <w:pStyle w:val="Normalno"/>
              <w:spacing w:before="60" w:after="60" w:line="200" w:lineRule="atLeast"/>
              <w:jc w:val="center"/>
              <w:rPr>
                <w:rFonts w:ascii="Arial" w:hAnsi="Arial" w:cs="Arial"/>
                <w:sz w:val="16"/>
                <w:szCs w:val="16"/>
              </w:rPr>
            </w:pPr>
            <w:r w:rsidRPr="000C1EDB">
              <w:rPr>
                <w:rFonts w:ascii="Arial" w:hAnsi="Arial" w:cs="Arial"/>
                <w:sz w:val="16"/>
                <w:szCs w:val="16"/>
              </w:rPr>
              <w:t>0.02</w:t>
            </w:r>
          </w:p>
        </w:tc>
        <w:tc>
          <w:tcPr>
            <w:tcW w:w="709" w:type="dxa"/>
          </w:tcPr>
          <w:p w:rsidR="00F17389" w:rsidRPr="000C1EDB" w:rsidRDefault="00F17389" w:rsidP="00F17389">
            <w:pPr>
              <w:pStyle w:val="Normalno"/>
              <w:spacing w:before="60" w:after="60" w:line="200" w:lineRule="atLeast"/>
              <w:jc w:val="center"/>
              <w:rPr>
                <w:rFonts w:ascii="Arial" w:hAnsi="Arial" w:cs="Arial"/>
                <w:sz w:val="16"/>
                <w:szCs w:val="16"/>
              </w:rPr>
            </w:pPr>
            <w:r w:rsidRPr="000C1EDB">
              <w:rPr>
                <w:rFonts w:ascii="Arial" w:hAnsi="Arial" w:cs="Arial"/>
                <w:sz w:val="16"/>
                <w:szCs w:val="16"/>
              </w:rPr>
              <w:t>0.04</w:t>
            </w:r>
          </w:p>
        </w:tc>
        <w:tc>
          <w:tcPr>
            <w:tcW w:w="1134" w:type="dxa"/>
          </w:tcPr>
          <w:p w:rsidR="00F17389" w:rsidRPr="000C1EDB" w:rsidRDefault="00F17389" w:rsidP="00F17389">
            <w:pPr>
              <w:pStyle w:val="Normalno"/>
              <w:spacing w:before="60" w:after="60" w:line="200" w:lineRule="atLeast"/>
              <w:jc w:val="center"/>
              <w:rPr>
                <w:rFonts w:ascii="Arial" w:hAnsi="Arial" w:cs="Arial"/>
                <w:sz w:val="16"/>
                <w:szCs w:val="16"/>
              </w:rPr>
            </w:pPr>
            <w:r>
              <w:rPr>
                <w:rFonts w:ascii="Arial" w:hAnsi="Arial" w:cs="Arial"/>
                <w:sz w:val="16"/>
                <w:szCs w:val="16"/>
              </w:rPr>
              <w:t>N/A</w:t>
            </w:r>
          </w:p>
        </w:tc>
        <w:tc>
          <w:tcPr>
            <w:tcW w:w="1559" w:type="dxa"/>
          </w:tcPr>
          <w:p w:rsidR="00F17389" w:rsidRPr="000C1EDB" w:rsidRDefault="00F17389" w:rsidP="00F17389">
            <w:pPr>
              <w:pStyle w:val="Normalno"/>
              <w:spacing w:before="60" w:after="60" w:line="200" w:lineRule="atLeast"/>
              <w:jc w:val="center"/>
              <w:rPr>
                <w:rFonts w:ascii="Arial" w:hAnsi="Arial" w:cs="Arial"/>
                <w:sz w:val="16"/>
                <w:szCs w:val="16"/>
              </w:rPr>
            </w:pPr>
            <w:r w:rsidRPr="000C1EDB">
              <w:rPr>
                <w:rFonts w:ascii="Arial" w:hAnsi="Arial" w:cs="Arial"/>
                <w:sz w:val="16"/>
                <w:szCs w:val="16"/>
              </w:rPr>
              <w:t>N/A</w:t>
            </w:r>
          </w:p>
        </w:tc>
      </w:tr>
    </w:tbl>
    <w:p w:rsidR="00F17389" w:rsidRDefault="00F17389" w:rsidP="00F17389">
      <w:pPr>
        <w:pStyle w:val="Heading5"/>
      </w:pPr>
    </w:p>
    <w:p w:rsidR="00F17389" w:rsidRDefault="00F17389" w:rsidP="00F17389">
      <w:pPr>
        <w:pStyle w:val="Heading5"/>
      </w:pPr>
      <w:r>
        <w:t>1.2.2.2 Radionuclides</w:t>
      </w:r>
    </w:p>
    <w:p w:rsidR="00F17389" w:rsidRDefault="00F17389" w:rsidP="00F17389">
      <w:r>
        <w:t>Taking into account half-lives only, the following is the list of uranium and actinium-series radionuclides in groundwater that may be of interest:</w:t>
      </w:r>
    </w:p>
    <w:p w:rsidR="00F17389" w:rsidRDefault="00F17389" w:rsidP="00F17389">
      <w:proofErr w:type="gramStart"/>
      <w:r w:rsidRPr="00995105">
        <w:rPr>
          <w:snapToGrid w:val="0"/>
          <w:color w:val="000000"/>
          <w:position w:val="5"/>
          <w:sz w:val="15"/>
          <w:szCs w:val="0"/>
          <w:u w:color="000000"/>
        </w:rPr>
        <w:t>238</w:t>
      </w:r>
      <w:r>
        <w:t xml:space="preserve">U, </w:t>
      </w:r>
      <w:r w:rsidRPr="00995105">
        <w:rPr>
          <w:snapToGrid w:val="0"/>
          <w:color w:val="000000"/>
          <w:position w:val="5"/>
          <w:sz w:val="15"/>
          <w:szCs w:val="0"/>
          <w:u w:color="000000"/>
        </w:rPr>
        <w:t>23</w:t>
      </w:r>
      <w:r>
        <w:rPr>
          <w:snapToGrid w:val="0"/>
          <w:color w:val="000000"/>
          <w:position w:val="5"/>
          <w:sz w:val="15"/>
          <w:szCs w:val="0"/>
          <w:u w:color="000000"/>
        </w:rPr>
        <w:t>4</w:t>
      </w:r>
      <w:r>
        <w:t xml:space="preserve">U, </w:t>
      </w:r>
      <w:r w:rsidRPr="00995105">
        <w:rPr>
          <w:snapToGrid w:val="0"/>
          <w:color w:val="000000"/>
          <w:position w:val="5"/>
          <w:sz w:val="15"/>
          <w:szCs w:val="0"/>
          <w:u w:color="000000"/>
        </w:rPr>
        <w:t>230</w:t>
      </w:r>
      <w:r>
        <w:t xml:space="preserve">Th, </w:t>
      </w:r>
      <w:r w:rsidRPr="00995105">
        <w:rPr>
          <w:snapToGrid w:val="0"/>
          <w:color w:val="000000"/>
          <w:position w:val="5"/>
          <w:sz w:val="15"/>
          <w:szCs w:val="0"/>
          <w:u w:color="000000"/>
        </w:rPr>
        <w:t>226</w:t>
      </w:r>
      <w:r>
        <w:t xml:space="preserve">Ra, </w:t>
      </w:r>
      <w:r w:rsidRPr="00995105">
        <w:rPr>
          <w:snapToGrid w:val="0"/>
          <w:color w:val="000000"/>
          <w:position w:val="5"/>
          <w:sz w:val="15"/>
          <w:szCs w:val="0"/>
          <w:u w:color="000000"/>
        </w:rPr>
        <w:t>210</w:t>
      </w:r>
      <w:r>
        <w:t xml:space="preserve">Pb, and </w:t>
      </w:r>
      <w:r w:rsidRPr="00995105">
        <w:rPr>
          <w:snapToGrid w:val="0"/>
          <w:color w:val="000000"/>
          <w:position w:val="5"/>
          <w:sz w:val="15"/>
          <w:szCs w:val="0"/>
          <w:u w:color="000000"/>
        </w:rPr>
        <w:t>227</w:t>
      </w:r>
      <w:r>
        <w:t>Ac.</w:t>
      </w:r>
      <w:proofErr w:type="gramEnd"/>
    </w:p>
    <w:p w:rsidR="00F17389" w:rsidRDefault="00F17389" w:rsidP="00F17389">
      <w:r>
        <w:t xml:space="preserve">As thorium and lead are particle reactive and readily adsorbed and removed from solution, it is not expected that either of these elements will migrate significant distances through the groundwater aquifer. This is also assumed to be the case for actinium. Consequently, the reduced list for radionuclides potentially contaminating the groundwater is: </w:t>
      </w:r>
    </w:p>
    <w:p w:rsidR="00F17389" w:rsidRPr="00ED511C" w:rsidRDefault="00F17389" w:rsidP="00F17389">
      <w:pPr>
        <w:rPr>
          <w:b/>
        </w:rPr>
      </w:pPr>
      <w:proofErr w:type="gramStart"/>
      <w:r w:rsidRPr="00ED511C">
        <w:rPr>
          <w:b/>
          <w:snapToGrid w:val="0"/>
          <w:color w:val="000000"/>
          <w:position w:val="5"/>
          <w:sz w:val="15"/>
          <w:szCs w:val="0"/>
          <w:u w:color="000000"/>
        </w:rPr>
        <w:t>238</w:t>
      </w:r>
      <w:r w:rsidRPr="00ED511C">
        <w:rPr>
          <w:b/>
        </w:rPr>
        <w:t xml:space="preserve">U, </w:t>
      </w:r>
      <w:r w:rsidRPr="00ED511C">
        <w:rPr>
          <w:b/>
          <w:snapToGrid w:val="0"/>
          <w:color w:val="000000"/>
          <w:position w:val="5"/>
          <w:sz w:val="15"/>
          <w:szCs w:val="0"/>
          <w:u w:color="000000"/>
        </w:rPr>
        <w:t>234</w:t>
      </w:r>
      <w:r w:rsidRPr="00ED511C">
        <w:rPr>
          <w:b/>
        </w:rPr>
        <w:t xml:space="preserve">U and </w:t>
      </w:r>
      <w:r w:rsidRPr="00ED511C">
        <w:rPr>
          <w:b/>
          <w:snapToGrid w:val="0"/>
          <w:color w:val="000000"/>
          <w:position w:val="5"/>
          <w:sz w:val="15"/>
          <w:szCs w:val="0"/>
          <w:u w:color="000000"/>
        </w:rPr>
        <w:t>226</w:t>
      </w:r>
      <w:r w:rsidRPr="00ED511C">
        <w:rPr>
          <w:b/>
        </w:rPr>
        <w:t>Ra.</w:t>
      </w:r>
      <w:proofErr w:type="gramEnd"/>
      <w:r w:rsidRPr="00ED511C">
        <w:rPr>
          <w:b/>
        </w:rPr>
        <w:t xml:space="preserve"> </w:t>
      </w:r>
    </w:p>
    <w:p w:rsidR="00F17389" w:rsidRDefault="00F17389" w:rsidP="00F17389">
      <w:pPr>
        <w:pStyle w:val="Heading5"/>
      </w:pPr>
      <w:r>
        <w:t>1.2.2.3 Stable isotope ratios of contaminants</w:t>
      </w:r>
    </w:p>
    <w:p w:rsidR="00F17389" w:rsidRDefault="00F17389" w:rsidP="00F17389">
      <w:r>
        <w:t>LeGras et al (1991) used sulphur isotope ratios (</w:t>
      </w:r>
      <w:r>
        <w:rPr>
          <w:snapToGrid w:val="0"/>
          <w:color w:val="000000"/>
          <w:position w:val="5"/>
          <w:sz w:val="15"/>
          <w:szCs w:val="0"/>
          <w:u w:color="000000"/>
        </w:rPr>
        <w:t>34</w:t>
      </w:r>
      <w:r>
        <w:t>S/</w:t>
      </w:r>
      <w:r>
        <w:rPr>
          <w:snapToGrid w:val="0"/>
          <w:color w:val="000000"/>
          <w:position w:val="5"/>
          <w:sz w:val="15"/>
          <w:szCs w:val="0"/>
          <w:u w:color="000000"/>
        </w:rPr>
        <w:t>32</w:t>
      </w:r>
      <w:r>
        <w:t xml:space="preserve">S) to identify seepage from the TSF and to discriminate between TSF and surface runoff water samples. Although </w:t>
      </w:r>
      <w:r>
        <w:sym w:font="Symbol" w:char="F0B6"/>
      </w:r>
      <w:r>
        <w:rPr>
          <w:snapToGrid w:val="0"/>
          <w:color w:val="000000"/>
          <w:position w:val="5"/>
          <w:sz w:val="15"/>
          <w:szCs w:val="0"/>
          <w:u w:color="000000"/>
        </w:rPr>
        <w:t>34</w:t>
      </w:r>
      <w:r>
        <w:t>S can be obscured by reduction processes (because sulphur is a relatively light element) of SO</w:t>
      </w:r>
      <w:r>
        <w:rPr>
          <w:snapToGrid w:val="0"/>
          <w:color w:val="000000"/>
          <w:position w:val="-5"/>
          <w:sz w:val="15"/>
          <w:szCs w:val="0"/>
          <w:u w:color="000000"/>
        </w:rPr>
        <w:t>4</w:t>
      </w:r>
      <w:r>
        <w:t>, the difference in stable isotope ratios of sulphur prill (</w:t>
      </w:r>
      <w:r>
        <w:sym w:font="Symbol" w:char="F0B6"/>
      </w:r>
      <w:proofErr w:type="gramStart"/>
      <w:r>
        <w:rPr>
          <w:snapToGrid w:val="0"/>
          <w:color w:val="000000"/>
          <w:position w:val="5"/>
          <w:sz w:val="15"/>
          <w:szCs w:val="0"/>
          <w:u w:color="000000"/>
        </w:rPr>
        <w:t>34</w:t>
      </w:r>
      <w:r>
        <w:t>S  =</w:t>
      </w:r>
      <w:proofErr w:type="gramEnd"/>
      <w:r>
        <w:t xml:space="preserve"> 18.4) samples and metal sulphides from stockpiles (</w:t>
      </w:r>
      <w:r>
        <w:sym w:font="Symbol" w:char="F0B6"/>
      </w:r>
      <w:r>
        <w:rPr>
          <w:snapToGrid w:val="0"/>
          <w:color w:val="000000"/>
          <w:position w:val="5"/>
          <w:sz w:val="15"/>
          <w:szCs w:val="0"/>
          <w:u w:color="000000"/>
        </w:rPr>
        <w:t>34</w:t>
      </w:r>
      <w:r>
        <w:t>S  = 2.2) that may release SO</w:t>
      </w:r>
      <w:r>
        <w:rPr>
          <w:snapToGrid w:val="0"/>
          <w:color w:val="000000"/>
          <w:position w:val="-5"/>
          <w:sz w:val="15"/>
          <w:szCs w:val="0"/>
          <w:u w:color="000000"/>
        </w:rPr>
        <w:t>4</w:t>
      </w:r>
      <w:r>
        <w:t xml:space="preserve"> into runoff water after oxidation is large enough to discriminate between the two sources. </w:t>
      </w:r>
      <w:r w:rsidR="00D24DD5">
        <w:t>Sulfate</w:t>
      </w:r>
      <w:r>
        <w:t xml:space="preserve"> is a conservative contaminant and the sulphur isotope ratios provided a useful source tracer, based on an existing difference between the sources of sulphur.</w:t>
      </w:r>
    </w:p>
    <w:p w:rsidR="00F17389" w:rsidRDefault="00F17389" w:rsidP="00F17389">
      <w:r>
        <w:t>Furthermore, lead isotope ratios have also been used as a source tracer. Large variations are found between lead isotope ratios in natural waters and TSF pore water for instance (Gulson et al. 1996). Lead concentrations in bore waters are expected to be quite low, as lead is readily adsorbed by particles in the groundwater. However, typical detection limit for the measurement of lead via ICPMS is 0.02 ppb (parts per billion) or 20 ng per litre, which is at least one order of magnitude lower than levels measured by Martin and Akber (1999) or Gulson et al (1996).</w:t>
      </w:r>
    </w:p>
    <w:p w:rsidR="00F17389" w:rsidRDefault="00F17389" w:rsidP="00F17389">
      <w:pPr>
        <w:pStyle w:val="Heading5"/>
      </w:pPr>
      <w:r>
        <w:t>1.2.2.4 Organic contaminants</w:t>
      </w:r>
    </w:p>
    <w:p w:rsidR="00F17389" w:rsidRDefault="00F17389" w:rsidP="00F17389">
      <w:r>
        <w:t>Noller (1990) additionally listed the following potential organic contaminants:</w:t>
      </w:r>
    </w:p>
    <w:p w:rsidR="00F17389" w:rsidRDefault="00823D00" w:rsidP="00F17389">
      <w:pPr>
        <w:numPr>
          <w:ilvl w:val="0"/>
          <w:numId w:val="16"/>
        </w:numPr>
        <w:rPr>
          <w:rFonts w:ascii="Arial Unicode MS" w:eastAsia="Arial Unicode MS" w:hAnsi="Arial Unicode MS" w:cs="Arial Unicode MS"/>
          <w:szCs w:val="32"/>
        </w:rPr>
      </w:pPr>
      <w:r>
        <w:t xml:space="preserve">alamine </w:t>
      </w:r>
      <w:r w:rsidR="00F17389">
        <w:t>336</w:t>
      </w:r>
    </w:p>
    <w:p w:rsidR="00F17389" w:rsidRDefault="00823D00" w:rsidP="00F17389">
      <w:pPr>
        <w:numPr>
          <w:ilvl w:val="0"/>
          <w:numId w:val="16"/>
        </w:numPr>
        <w:rPr>
          <w:rFonts w:ascii="Arial Unicode MS" w:eastAsia="Arial Unicode MS" w:hAnsi="Arial Unicode MS" w:cs="Arial Unicode MS"/>
          <w:szCs w:val="32"/>
        </w:rPr>
      </w:pPr>
      <w:r>
        <w:t>iso</w:t>
      </w:r>
      <w:r w:rsidR="00F17389">
        <w:t>-decanol</w:t>
      </w:r>
    </w:p>
    <w:p w:rsidR="00F17389" w:rsidRDefault="00823D00" w:rsidP="00F17389">
      <w:pPr>
        <w:numPr>
          <w:ilvl w:val="0"/>
          <w:numId w:val="16"/>
        </w:numPr>
        <w:rPr>
          <w:rFonts w:ascii="Arial Unicode MS" w:eastAsia="Arial Unicode MS" w:hAnsi="Arial Unicode MS" w:cs="Arial Unicode MS"/>
          <w:szCs w:val="32"/>
        </w:rPr>
      </w:pPr>
      <w:r>
        <w:t>kerosene</w:t>
      </w:r>
    </w:p>
    <w:p w:rsidR="00F17389" w:rsidRDefault="00823D00" w:rsidP="00F17389">
      <w:pPr>
        <w:numPr>
          <w:ilvl w:val="0"/>
          <w:numId w:val="16"/>
        </w:numPr>
        <w:rPr>
          <w:rFonts w:ascii="Arial Unicode MS" w:eastAsia="Arial Unicode MS" w:hAnsi="Arial Unicode MS" w:cs="Arial Unicode MS"/>
          <w:szCs w:val="32"/>
        </w:rPr>
      </w:pPr>
      <w:r>
        <w:t xml:space="preserve">diesel </w:t>
      </w:r>
      <w:r w:rsidR="00F17389">
        <w:t>fuel</w:t>
      </w:r>
    </w:p>
    <w:p w:rsidR="00F17389" w:rsidRDefault="00823D00" w:rsidP="00F17389">
      <w:pPr>
        <w:numPr>
          <w:ilvl w:val="0"/>
          <w:numId w:val="16"/>
        </w:numPr>
        <w:rPr>
          <w:rFonts w:ascii="Arial Unicode MS" w:eastAsia="Arial Unicode MS" w:hAnsi="Arial Unicode MS" w:cs="Arial Unicode MS"/>
          <w:szCs w:val="32"/>
        </w:rPr>
      </w:pPr>
      <w:r>
        <w:t xml:space="preserve">lubricants </w:t>
      </w:r>
      <w:r w:rsidR="00F17389">
        <w:t>and greases</w:t>
      </w:r>
    </w:p>
    <w:p w:rsidR="00F17389" w:rsidRDefault="00823D00" w:rsidP="00F17389">
      <w:pPr>
        <w:numPr>
          <w:ilvl w:val="0"/>
          <w:numId w:val="16"/>
        </w:numPr>
        <w:rPr>
          <w:rFonts w:ascii="Arial Unicode MS" w:eastAsia="Arial Unicode MS" w:hAnsi="Arial Unicode MS" w:cs="Arial Unicode MS"/>
          <w:szCs w:val="32"/>
        </w:rPr>
      </w:pPr>
      <w:r>
        <w:t>detergents</w:t>
      </w:r>
    </w:p>
    <w:p w:rsidR="00F17389" w:rsidRDefault="00823D00" w:rsidP="00F17389">
      <w:pPr>
        <w:numPr>
          <w:ilvl w:val="0"/>
          <w:numId w:val="16"/>
        </w:numPr>
      </w:pPr>
      <w:proofErr w:type="gramStart"/>
      <w:r>
        <w:t>pesticides</w:t>
      </w:r>
      <w:proofErr w:type="gramEnd"/>
      <w:r>
        <w:t xml:space="preserve"> and </w:t>
      </w:r>
      <w:r w:rsidR="00F17389">
        <w:t>herbicides</w:t>
      </w:r>
      <w:r>
        <w:t>.</w:t>
      </w:r>
    </w:p>
    <w:p w:rsidR="00F17389" w:rsidRDefault="00F17389" w:rsidP="00F17389">
      <w:r>
        <w:t>In the context of groundwater at Ranger, these contaminants are relatively insignificant</w:t>
      </w:r>
      <w:r w:rsidR="00A553BE">
        <w:t xml:space="preserve"> </w:t>
      </w:r>
      <w:r>
        <w:t>compared to inorganic and radiological contaminants.</w:t>
      </w:r>
    </w:p>
    <w:p w:rsidR="00F17389" w:rsidRPr="009605CE" w:rsidRDefault="00F17389" w:rsidP="00F17389">
      <w:pPr>
        <w:pStyle w:val="Heading3"/>
      </w:pPr>
      <w:bookmarkStart w:id="43" w:name="_Toc398721678"/>
      <w:bookmarkStart w:id="44" w:name="_Toc411850509"/>
      <w:bookmarkStart w:id="45" w:name="_Toc413230055"/>
      <w:r w:rsidRPr="009605CE">
        <w:t>1.3 Solute transport</w:t>
      </w:r>
      <w:bookmarkEnd w:id="43"/>
      <w:bookmarkEnd w:id="44"/>
      <w:bookmarkEnd w:id="45"/>
    </w:p>
    <w:p w:rsidR="00F17389" w:rsidRPr="009605CE" w:rsidRDefault="00F17389" w:rsidP="00F17389">
      <w:pPr>
        <w:pStyle w:val="Heading4"/>
      </w:pPr>
      <w:bookmarkStart w:id="46" w:name="_Toc398721679"/>
      <w:bookmarkStart w:id="47" w:name="_Toc411850510"/>
      <w:r w:rsidRPr="009605CE">
        <w:t xml:space="preserve">1.3.1 Groundwater flow </w:t>
      </w:r>
      <w:r>
        <w:t>at</w:t>
      </w:r>
      <w:r w:rsidRPr="009605CE">
        <w:t xml:space="preserve"> Ranger</w:t>
      </w:r>
      <w:bookmarkEnd w:id="46"/>
      <w:bookmarkEnd w:id="47"/>
    </w:p>
    <w:p w:rsidR="00F17389" w:rsidRDefault="00F17389" w:rsidP="00F17389">
      <w:r>
        <w:t>Haylen (1981) provided a description of the groundwater flows around the TSF and pit 1. The general direction of the groundwater flow in the region is towards the north</w:t>
      </w:r>
      <w:r w:rsidRPr="00CB5E07">
        <w:t xml:space="preserve"> </w:t>
      </w:r>
      <w:r>
        <w:t xml:space="preserve">along the Ranger (Coonjimba) fault line. There are various other smaller fault lines in the general Ranger area. One is in a </w:t>
      </w:r>
      <w:r w:rsidR="00E73717">
        <w:t>north-</w:t>
      </w:r>
      <w:r>
        <w:t>easterly direction in the area of pit 3, and another couple of fault lines dip towards the south</w:t>
      </w:r>
      <w:r w:rsidR="00A720D3">
        <w:t>-</w:t>
      </w:r>
      <w:r>
        <w:t>west near pit 1.</w:t>
      </w:r>
      <w:r w:rsidRPr="00CB5E07">
        <w:t xml:space="preserve"> </w:t>
      </w:r>
      <w:r>
        <w:t>Figure 2 highlights fault lines in the vicinity of the Ranger TSF as shown in Verma &amp; Salama (1986).</w:t>
      </w:r>
    </w:p>
    <w:p w:rsidR="00F17389" w:rsidRDefault="00F17389" w:rsidP="00F17389">
      <w:pPr>
        <w:rPr>
          <w:szCs w:val="22"/>
          <w:lang w:eastAsia="en-AU"/>
        </w:rPr>
      </w:pPr>
      <w:r>
        <w:t>The possibility of rapid groundwater movement along fractures and cherts in the deep aquifer, in particular in the vicinity of the TSF and RP1 area, was highlighted by Klessa (2001).</w:t>
      </w:r>
      <w:r w:rsidRPr="00230A98">
        <w:rPr>
          <w:szCs w:val="22"/>
          <w:lang w:eastAsia="en-AU"/>
        </w:rPr>
        <w:t xml:space="preserve"> </w:t>
      </w:r>
      <w:r>
        <w:rPr>
          <w:szCs w:val="22"/>
          <w:lang w:eastAsia="en-AU"/>
        </w:rPr>
        <w:t>Changes in the surface topography at Ranger as a result of mining operations have also resulted in significant changes to the characteristics of local hydrogeological systems, primarily groundwater quality and flow patterns (Johnston &amp; Milnes 2007). Seepage has resulted in the development of groundwater mounds under the TSF and other water bodies on the mine site and the waste rock and ore stockpiles. Leakage is controlled by fault zones which act as conduits, potentially transmitting contaminants to downstream areas. However, most leakage from the TSF occurs along the fault-controlled alignment of Coonjimba Creek and is likely to be contained within the existing retention pond system (Puhalovich et al 2012a</w:t>
      </w:r>
      <w:proofErr w:type="gramStart"/>
      <w:r>
        <w:rPr>
          <w:szCs w:val="22"/>
          <w:lang w:eastAsia="en-AU"/>
        </w:rPr>
        <w:t>,b</w:t>
      </w:r>
      <w:proofErr w:type="gramEnd"/>
      <w:r>
        <w:rPr>
          <w:szCs w:val="22"/>
          <w:lang w:eastAsia="en-AU"/>
        </w:rPr>
        <w:t>).</w:t>
      </w:r>
    </w:p>
    <w:p w:rsidR="00F17389" w:rsidRDefault="00F17389" w:rsidP="00F17389">
      <w:r>
        <w:t xml:space="preserve">Recharge of the groundwater system is through infiltration of rainfall and through infiltration from (natural and man made) water bodies, although substantial amounts of early rainfall are lost due to evaporation (Ahmad and Green, 1986). The water from the shallow aquifer percolates through the shallow and deep groundwater aquifer along the higher permeability zones into the fractured rock aquifer. Haylen (1981) has also highlighted the critical role of permeable carbonate units around Ranger mine in the deep aquifer, present downstream of Magela </w:t>
      </w:r>
      <w:proofErr w:type="gramStart"/>
      <w:r>
        <w:t>Creek,</w:t>
      </w:r>
      <w:proofErr w:type="gramEnd"/>
      <w:r>
        <w:t xml:space="preserve"> and of fracture zones and carbonate horizons in particular in the vicinity of pits 1 and 3. These fracture zones have variable permeabilities, and can be orders of magnitude more permeable than the surrounding bedrock. </w:t>
      </w:r>
    </w:p>
    <w:p w:rsidR="00F17389" w:rsidRDefault="00F17389" w:rsidP="00F17389">
      <w:pPr>
        <w:pStyle w:val="Heading5"/>
      </w:pPr>
      <w:r>
        <w:t>1.3.1.1 Pit 1</w:t>
      </w:r>
    </w:p>
    <w:p w:rsidR="00F17389" w:rsidRDefault="00F17389" w:rsidP="00F17389">
      <w:r>
        <w:t xml:space="preserve">Above the RL0 level, groundwater connects to a more permeable surface aquifer, which connects with surface water bodies in the Corridor Creek catchment. </w:t>
      </w:r>
    </w:p>
    <w:p w:rsidR="00F17389" w:rsidRDefault="00F17389" w:rsidP="00F17389">
      <w:r>
        <w:t xml:space="preserve">Mine bore L (MBL; </w:t>
      </w:r>
      <w:r w:rsidRPr="0098269E">
        <w:t>Figure 3</w:t>
      </w:r>
      <w:r>
        <w:t>), just to the south east of the pit wall is pumping the so-called MBL aquifer to the east of pit 1, a highly permeable zone that connects with the Corridor Creek system. During mining of the pit, the net flow from this aquifer was towards pit 1, and MBL was pumping to reduce or stop this flow. Modelling investigations have shown that storage of tailings above RL0, plus a waste rock capping to about RL22 (22 m above RL0) without a seepage barrier would likely result in a substantial plume and increased expression of saline waters and groundwater quality deterioration within approximately 50 years (Kalf, 2004). Consequently, a barrier has been put in place at the south-eastern wall of the pit (permeability 10</w:t>
      </w:r>
      <w:r>
        <w:rPr>
          <w:snapToGrid w:val="0"/>
          <w:color w:val="000000"/>
          <w:position w:val="6"/>
          <w:sz w:val="16"/>
          <w:szCs w:val="0"/>
          <w:u w:color="000000"/>
        </w:rPr>
        <w:t>-7</w:t>
      </w:r>
      <w:r>
        <w:t>–10</w:t>
      </w:r>
      <w:r>
        <w:rPr>
          <w:snapToGrid w:val="0"/>
          <w:color w:val="000000"/>
          <w:position w:val="6"/>
          <w:sz w:val="16"/>
          <w:szCs w:val="0"/>
          <w:u w:color="000000"/>
        </w:rPr>
        <w:t>-8</w:t>
      </w:r>
      <w:r>
        <w:t xml:space="preserve"> m/s) to greatly reduce seepage into that layer and allow storage of tailings above RL0. </w:t>
      </w:r>
    </w:p>
    <w:p w:rsidR="00F17389" w:rsidRDefault="00F17389" w:rsidP="00F17389">
      <w:pPr>
        <w:pStyle w:val="Heading5"/>
      </w:pPr>
      <w:r>
        <w:t>1.3.1.2 Tailings storage facility (TSF)</w:t>
      </w:r>
    </w:p>
    <w:p w:rsidR="00F17389" w:rsidRDefault="00F17389" w:rsidP="00F17389">
      <w:r>
        <w:t xml:space="preserve">Placement of tailings into the TSF will continue until </w:t>
      </w:r>
      <w:r w:rsidRPr="00ED511C">
        <w:t>2015</w:t>
      </w:r>
      <w:r>
        <w:t xml:space="preserve">. Once the bottom of pit 3 has been prepared to accept tailings and concentrated brines, brines will be injected and tailings will be dredged from the TSF and placed into pit 3. </w:t>
      </w:r>
    </w:p>
    <w:p w:rsidR="00F17389" w:rsidRDefault="00F17389" w:rsidP="00F17389">
      <w:r>
        <w:t>Investigations have shown that, at present, solutes move away from the TSF due to the height of the groundwater pressure head. There is an east-west fault line underneath the TSF (Figure 2), however, it is not clear whether or not there is a connection with surface water, for example within the Gulungul system. The primary fault line is a major east</w:t>
      </w:r>
      <w:r w:rsidR="00B75C50">
        <w:t>-north-</w:t>
      </w:r>
      <w:r>
        <w:t xml:space="preserve">east thrust fault north of the north wall of the TSF, and there are a series of secondary </w:t>
      </w:r>
      <w:r w:rsidR="00B75C50">
        <w:t>north-</w:t>
      </w:r>
      <w:r>
        <w:t>east trending normal faults under the north wall. A north trending normal fault is located beneath Coonjimba Creek, and a similar fault exists east of the TSF (</w:t>
      </w:r>
      <w:r w:rsidRPr="009D7661">
        <w:t>Salama &amp; Foley 1997</w:t>
      </w:r>
      <w:r>
        <w:t>; Klessa 2001; Puhalovich et al 2012a</w:t>
      </w:r>
      <w:proofErr w:type="gramStart"/>
      <w:r>
        <w:t>,b</w:t>
      </w:r>
      <w:proofErr w:type="gramEnd"/>
      <w:r>
        <w:t xml:space="preserve">). </w:t>
      </w:r>
    </w:p>
    <w:p w:rsidR="00F17389" w:rsidRDefault="00F17389" w:rsidP="00F17389">
      <w:r>
        <w:t>Modelling and groundwater monitoring data (e.g. Martin &amp; Akber 1994) showed that groundwater quality changes have been most significant to the north of the TSF along this major fault and may extend up to 800 m north of the TSF wall (Puhalovich et al 2012a,b). The south</w:t>
      </w:r>
      <w:r w:rsidR="00E73717">
        <w:t>-</w:t>
      </w:r>
      <w:r>
        <w:t xml:space="preserve">west corner of the TSF shows impacts from the base of the TSF </w:t>
      </w:r>
      <w:proofErr w:type="gramStart"/>
      <w:r>
        <w:t>wall,</w:t>
      </w:r>
      <w:proofErr w:type="gramEnd"/>
      <w:r>
        <w:t xml:space="preserve"> however bores more than 200 m away from the wall do not show any evidence of seepage (ERA 2012). </w:t>
      </w:r>
    </w:p>
    <w:p w:rsidR="00F17389" w:rsidRDefault="00F17389" w:rsidP="00F17389">
      <w:pPr>
        <w:pStyle w:val="Heading5"/>
      </w:pPr>
      <w:r>
        <w:t>1.3.1.3 Pit 3</w:t>
      </w:r>
    </w:p>
    <w:p w:rsidR="00F17389" w:rsidRDefault="00F17389" w:rsidP="00F17389">
      <w:r>
        <w:t xml:space="preserve">Three hydrogeological units are intercepted by pit 3. Significant seepage is occurring from the southern wall of pit 3 and isotopic studies have shown that approximately 80% of the inflow into pit 3 is originating from RP2. This is due to a more permeable carbonate unit existing between the two site </w:t>
      </w:r>
      <w:proofErr w:type="gramStart"/>
      <w:r>
        <w:t>features, which connects</w:t>
      </w:r>
      <w:proofErr w:type="gramEnd"/>
      <w:r>
        <w:t xml:space="preserve"> RP2 and the pit. </w:t>
      </w:r>
    </w:p>
    <w:p w:rsidR="00F17389" w:rsidRDefault="00F17389" w:rsidP="00F17389">
      <w:r>
        <w:t xml:space="preserve">The western and northern walls of pit 3 are mainly chlorite schists, with almost no groundwater flow and very low permeabilities. It is not expected that significant seepage of contaminated material will occur through the west wall. Investigations focus on the southern wall and specifically the north eastern wall of the pit, due to its proximity to the Magela system in that area of the pit and a sand lense that exists between pit 3 and Magela Creek (ERA 2012). </w:t>
      </w:r>
    </w:p>
    <w:p w:rsidR="00F17389" w:rsidRDefault="00F17389" w:rsidP="00F17389">
      <w:pPr>
        <w:jc w:val="center"/>
      </w:pPr>
      <w:r>
        <w:rPr>
          <w:noProof/>
          <w:lang w:eastAsia="en-AU"/>
        </w:rPr>
        <w:drawing>
          <wp:inline distT="0" distB="0" distL="0" distR="0">
            <wp:extent cx="3164840" cy="345059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srcRect/>
                    <a:stretch>
                      <a:fillRect/>
                    </a:stretch>
                  </pic:blipFill>
                  <pic:spPr bwMode="auto">
                    <a:xfrm>
                      <a:off x="0" y="0"/>
                      <a:ext cx="3164840" cy="3450590"/>
                    </a:xfrm>
                    <a:prstGeom prst="rect">
                      <a:avLst/>
                    </a:prstGeom>
                    <a:noFill/>
                    <a:ln w="9525">
                      <a:noFill/>
                      <a:miter lim="800000"/>
                      <a:headEnd/>
                      <a:tailEnd/>
                    </a:ln>
                  </pic:spPr>
                </pic:pic>
              </a:graphicData>
            </a:graphic>
          </wp:inline>
        </w:drawing>
      </w:r>
    </w:p>
    <w:p w:rsidR="00F17389" w:rsidRDefault="00F17389" w:rsidP="00F17389">
      <w:pPr>
        <w:pStyle w:val="figurecaption"/>
      </w:pPr>
      <w:bookmarkStart w:id="48" w:name="_Toc398721486"/>
      <w:r w:rsidRPr="00570CC9">
        <w:rPr>
          <w:b/>
        </w:rPr>
        <w:t>Figure 2</w:t>
      </w:r>
      <w:r>
        <w:t xml:space="preserve"> Fault lines around the TSF, from Verma &amp; Salama (1986)</w:t>
      </w:r>
      <w:bookmarkEnd w:id="48"/>
    </w:p>
    <w:p w:rsidR="00F17389" w:rsidRDefault="00F17389" w:rsidP="00F17389">
      <w:pPr>
        <w:pStyle w:val="Heading4"/>
      </w:pPr>
      <w:bookmarkStart w:id="49" w:name="_Toc398721680"/>
      <w:bookmarkStart w:id="50" w:name="_Toc411850511"/>
      <w:r>
        <w:t>1.3.2 Storage and reaction processes</w:t>
      </w:r>
      <w:bookmarkEnd w:id="49"/>
      <w:bookmarkEnd w:id="50"/>
    </w:p>
    <w:p w:rsidR="00F17389" w:rsidRDefault="00F17389" w:rsidP="00F17389">
      <w:r>
        <w:t>There are two distinctively different sources of groundwater solutes: primary and secondary sources. Primary sources</w:t>
      </w:r>
      <w:r w:rsidR="00B75C50">
        <w:t>,</w:t>
      </w:r>
      <w:r>
        <w:t xml:space="preserve"> for example</w:t>
      </w:r>
      <w:r w:rsidR="00B75C50">
        <w:t>,</w:t>
      </w:r>
      <w:r>
        <w:t xml:space="preserve"> are radionuclides or more conservative solutes such as SO</w:t>
      </w:r>
      <w:r>
        <w:rPr>
          <w:snapToGrid w:val="0"/>
          <w:color w:val="000000"/>
          <w:position w:val="-6"/>
          <w:sz w:val="16"/>
          <w:szCs w:val="0"/>
          <w:u w:color="000000"/>
        </w:rPr>
        <w:t>4</w:t>
      </w:r>
      <w:r>
        <w:t xml:space="preserve"> originating directly from tailings, spray- or flood irrigation, and runoff from on-site structures or seepage from tailings. Secondary sources could be solutes </w:t>
      </w:r>
      <w:r w:rsidR="00B75C50">
        <w:t xml:space="preserve">remobilised </w:t>
      </w:r>
      <w:r>
        <w:t>due to groundwater</w:t>
      </w:r>
      <w:r w:rsidR="00B75C50">
        <w:t>-</w:t>
      </w:r>
      <w:r>
        <w:t xml:space="preserve"> rock interaction caused by pH and redox reactions, desorption and ion-exchange processes and dissolution of minerals. These secondary processes may have a significant effect on solute concentrations in groundwater. </w:t>
      </w:r>
    </w:p>
    <w:p w:rsidR="00F17389" w:rsidRDefault="00F17389" w:rsidP="00F17389">
      <w:r>
        <w:t xml:space="preserve">Martin and Akber (1999), for example, showed that competition for cation adsorption sites is the primary driver of elevated Ra-226 concentrations in bores around the TSF. This is caused by an increase in salinity, rather than from direct transport of radium from the tailings. Overall, they concluded that remobilisation rather than direct transport is the most important factor controlling radium concentration in ground waters. Kalf &amp; Dudgeon (1999) estimated that retardation factors for uranium are 5–10 times lower than for radium in the Kombolgie and Cahill formations. Therefore, it can be expected that uranium concentrations may be less influenced by storage processes than radium. </w:t>
      </w:r>
    </w:p>
    <w:p w:rsidR="006D057D" w:rsidRDefault="00F17389" w:rsidP="00F17389">
      <w:pPr>
        <w:sectPr w:rsidR="006D057D" w:rsidSect="006D057D">
          <w:headerReference w:type="even" r:id="rId26"/>
          <w:footerReference w:type="even" r:id="rId27"/>
          <w:footerReference w:type="default" r:id="rId28"/>
          <w:headerReference w:type="first" r:id="rId29"/>
          <w:footerReference w:type="first" r:id="rId30"/>
          <w:pgSz w:w="11906" w:h="16838" w:code="9"/>
          <w:pgMar w:top="1276" w:right="1800" w:bottom="1276" w:left="1800" w:header="1080" w:footer="835" w:gutter="0"/>
          <w:cols w:space="360"/>
          <w:noEndnote/>
        </w:sectPr>
      </w:pPr>
      <w:r>
        <w:t>Contaminants can also be stored in various ‘compartments’. Akber and Marten (1992), Willet and Bond (1992) and Akber et al (2011a,b) showed that uranium, radium and lead applied to the land application areas are readily adsorbed in the first few centimetres of the soil profile, and that remobilisation of these elements is small. In contrast, most soils have a limited capacity to retain major ions such as magnesium and sulfate, and also nitrate after oxidation of ammonia in the aerobic zone of soils (McBride 1992). Based on these considerations, land application can most likely be excluded as a significant source of radionuclides and most heavy metals, but it can play a major role in adding more conservative ions to the groundwater aquifer. This has, for instance, been shown at Nabarlek where spray irrigation has led to a significant impact on sulfate concentration</w:t>
      </w:r>
      <w:r w:rsidR="00CB421B">
        <w:br/>
      </w:r>
      <w:r>
        <w:t>measured in groundwater bores around the site (Mudd 2002).</w:t>
      </w:r>
    </w:p>
    <w:p w:rsidR="00F17389" w:rsidRDefault="00C220C4" w:rsidP="006D057D">
      <w:pPr>
        <w:pStyle w:val="Heading1"/>
      </w:pPr>
      <w:bookmarkStart w:id="51" w:name="_Toc413230056"/>
      <w:r>
        <w:t xml:space="preserve">2 </w:t>
      </w:r>
      <w:r w:rsidR="00F17389">
        <w:t>Methods</w:t>
      </w:r>
      <w:bookmarkEnd w:id="51"/>
    </w:p>
    <w:p w:rsidR="00F17389" w:rsidRDefault="00F17389" w:rsidP="00F17389">
      <w:pPr>
        <w:pStyle w:val="Heading3"/>
      </w:pPr>
      <w:bookmarkStart w:id="52" w:name="_Toc411850512"/>
      <w:bookmarkStart w:id="53" w:name="_Toc413230057"/>
      <w:proofErr w:type="gramStart"/>
      <w:r>
        <w:t>2</w:t>
      </w:r>
      <w:r w:rsidR="005A3AB9">
        <w:t>.</w:t>
      </w:r>
      <w:r w:rsidR="009B44F5">
        <w:t>1</w:t>
      </w:r>
      <w:r w:rsidR="00E82A74">
        <w:t xml:space="preserve">  </w:t>
      </w:r>
      <w:bookmarkStart w:id="54" w:name="_Toc398721682"/>
      <w:r>
        <w:t>Bore</w:t>
      </w:r>
      <w:proofErr w:type="gramEnd"/>
      <w:r>
        <w:t xml:space="preserve"> locations</w:t>
      </w:r>
      <w:bookmarkEnd w:id="52"/>
      <w:bookmarkEnd w:id="53"/>
      <w:bookmarkEnd w:id="54"/>
    </w:p>
    <w:p w:rsidR="00F17389" w:rsidRDefault="00F17389" w:rsidP="00F17389">
      <w:r w:rsidRPr="006D42FA">
        <w:t xml:space="preserve">Figure </w:t>
      </w:r>
      <w:r>
        <w:t>3</w:t>
      </w:r>
      <w:r w:rsidRPr="006D42FA">
        <w:t xml:space="preserve"> shows the location of bores in the Ranger area </w:t>
      </w:r>
      <w:r>
        <w:t xml:space="preserve">and the Site ID and associated RN numbers are listed in Table 3. This only represents those bores for which </w:t>
      </w:r>
      <w:r w:rsidRPr="008B6579">
        <w:rPr>
          <w:b/>
          <w:i/>
          <w:sz w:val="28"/>
          <w:szCs w:val="28"/>
        </w:rPr>
        <w:t>eriss</w:t>
      </w:r>
      <w:r>
        <w:t xml:space="preserve"> has analysed radionuclides. A large number of additional bores are monitored routinely by ERA, but these are not included in this report. </w:t>
      </w:r>
    </w:p>
    <w:p w:rsidR="00F17389" w:rsidRPr="006D42FA" w:rsidRDefault="00F17389" w:rsidP="00F17389">
      <w:r>
        <w:t>Many bores have been investigated</w:t>
      </w:r>
      <w:r w:rsidRPr="006D42FA">
        <w:t xml:space="preserve"> in the past by </w:t>
      </w:r>
      <w:r w:rsidRPr="008B6579">
        <w:rPr>
          <w:b/>
          <w:i/>
          <w:sz w:val="28"/>
          <w:szCs w:val="28"/>
        </w:rPr>
        <w:t>eriss</w:t>
      </w:r>
      <w:r w:rsidRPr="006D42FA">
        <w:t xml:space="preserve"> for radionuclides using </w:t>
      </w:r>
      <w:r>
        <w:t xml:space="preserve">various </w:t>
      </w:r>
      <w:r w:rsidRPr="006D42FA">
        <w:t xml:space="preserve">alpha and gamma spectrometry techniques and </w:t>
      </w:r>
      <w:r w:rsidR="00DC4556" w:rsidRPr="00DC4556">
        <w:t>heavy metals using ICPMS from about</w:t>
      </w:r>
      <w:r>
        <w:rPr>
          <w:rFonts w:ascii="Times" w:hAnsi="Times"/>
        </w:rPr>
        <w:t xml:space="preserve"> </w:t>
      </w:r>
      <w:r w:rsidR="00DC4556" w:rsidRPr="00DC4556">
        <w:t>2000 onwards</w:t>
      </w:r>
      <w:r w:rsidRPr="00CB421B">
        <w:t>.</w:t>
      </w:r>
      <w:r>
        <w:t xml:space="preserve"> T</w:t>
      </w:r>
      <w:r w:rsidRPr="006D42FA">
        <w:t xml:space="preserve">able </w:t>
      </w:r>
      <w:r>
        <w:t>3</w:t>
      </w:r>
      <w:r w:rsidRPr="006D42FA">
        <w:t xml:space="preserve"> </w:t>
      </w:r>
      <w:r>
        <w:t>gives a summary</w:t>
      </w:r>
      <w:r w:rsidRPr="006D42FA">
        <w:t xml:space="preserve"> </w:t>
      </w:r>
      <w:r>
        <w:t xml:space="preserve">of bore information including the location of the bores. </w:t>
      </w:r>
      <w:proofErr w:type="gramStart"/>
      <w:r>
        <w:t>Information on the</w:t>
      </w:r>
      <w:r w:rsidRPr="006D42FA">
        <w:t xml:space="preserve"> time period that </w:t>
      </w:r>
      <w:r>
        <w:t>individual bores were sampled for and screening depths are given in the subsequent tables</w:t>
      </w:r>
      <w:r w:rsidRPr="006D42FA">
        <w:t>.</w:t>
      </w:r>
      <w:proofErr w:type="gramEnd"/>
      <w:r w:rsidRPr="006D42FA">
        <w:t xml:space="preserve"> It is obvious </w:t>
      </w:r>
      <w:r>
        <w:t xml:space="preserve">from the number of bores investigated </w:t>
      </w:r>
      <w:r w:rsidRPr="006D42FA">
        <w:t xml:space="preserve">that the focus has been on bores in the vicinity of the </w:t>
      </w:r>
      <w:r>
        <w:t>TSF</w:t>
      </w:r>
      <w:r w:rsidRPr="006D42FA">
        <w:t xml:space="preserve">. </w:t>
      </w:r>
    </w:p>
    <w:p w:rsidR="00F17389" w:rsidRDefault="00F17389" w:rsidP="00F17389">
      <w:r>
        <w:t xml:space="preserve">With mining in pit 3 now finalised and deposition of tailings into the pit expected to start in 2015, the focus has shifted towards monitoring groundwater bores in the vicinity of pit 3, between the northern pit wall and Magela Creek, without neglecting important bores in the vicinity of the TSF. ERA has four statutory monitoring bores: 21030 Deep, 23931 Deep, 83/1 Deep and OB 27, which are routinely sampled on a quarterly basis. Furthermore, there are 22 groundwater monitoring bores that are sampled in their operational monitoring program, quarterly and monthly, respectively (ERA 2012). </w:t>
      </w:r>
    </w:p>
    <w:p w:rsidR="00F17389" w:rsidRDefault="00F17389" w:rsidP="00F17389">
      <w:r>
        <w:t>The Northern Territory DME</w:t>
      </w:r>
      <w:r w:rsidR="00CB421B">
        <w:t xml:space="preserve"> </w:t>
      </w:r>
      <w:r>
        <w:t xml:space="preserve">is also routinely collecting bore waters around the Ranger mine site. It typically samples 10 bores around May and September each year, and sub-samples are provided to the Environmental Radioactivity group of </w:t>
      </w:r>
      <w:r w:rsidRPr="008B6579">
        <w:rPr>
          <w:b/>
          <w:i/>
          <w:sz w:val="28"/>
          <w:szCs w:val="28"/>
        </w:rPr>
        <w:t>eriss</w:t>
      </w:r>
      <w:r>
        <w:t xml:space="preserve"> for radioanalyses. Statutory bores 23931 Deep, 83/1 Deep and OB 27 are included in DME’s sampling, and continuous </w:t>
      </w:r>
      <w:r w:rsidRPr="00BF1A0A">
        <w:t xml:space="preserve">time series exist for </w:t>
      </w:r>
      <w:r w:rsidR="00DC4556" w:rsidRPr="00DC4556">
        <w:t>various other bores</w:t>
      </w:r>
      <w:r w:rsidRPr="002F6687">
        <w:t>.</w:t>
      </w:r>
      <w:r>
        <w:t xml:space="preserve"> </w:t>
      </w:r>
    </w:p>
    <w:p w:rsidR="00F17389" w:rsidRDefault="00F17389" w:rsidP="00F17389">
      <w:r>
        <w:t xml:space="preserve">Based on their location, bores were grouped into 9 groups in this report: </w:t>
      </w:r>
    </w:p>
    <w:tbl>
      <w:tblPr>
        <w:tblW w:w="0" w:type="auto"/>
        <w:tblLook w:val="04A0"/>
      </w:tblPr>
      <w:tblGrid>
        <w:gridCol w:w="4261"/>
        <w:gridCol w:w="4261"/>
      </w:tblGrid>
      <w:tr w:rsidR="00F17389" w:rsidTr="00F17389">
        <w:tc>
          <w:tcPr>
            <w:tcW w:w="4261" w:type="dxa"/>
          </w:tcPr>
          <w:p w:rsidR="00F17389" w:rsidRDefault="00F17389" w:rsidP="00F17389">
            <w:r>
              <w:t>- Coonjimba catchment and RP1</w:t>
            </w:r>
          </w:p>
        </w:tc>
        <w:tc>
          <w:tcPr>
            <w:tcW w:w="4261" w:type="dxa"/>
          </w:tcPr>
          <w:p w:rsidR="00F17389" w:rsidRDefault="00F17389" w:rsidP="00F17389">
            <w:r>
              <w:t xml:space="preserve">- Pit 1 </w:t>
            </w:r>
          </w:p>
        </w:tc>
      </w:tr>
      <w:tr w:rsidR="00F17389" w:rsidTr="00F17389">
        <w:tc>
          <w:tcPr>
            <w:tcW w:w="4261" w:type="dxa"/>
          </w:tcPr>
          <w:p w:rsidR="00F17389" w:rsidRDefault="00F17389" w:rsidP="00F17389">
            <w:r>
              <w:t xml:space="preserve">- TSF north </w:t>
            </w:r>
          </w:p>
        </w:tc>
        <w:tc>
          <w:tcPr>
            <w:tcW w:w="4261" w:type="dxa"/>
          </w:tcPr>
          <w:p w:rsidR="00F17389" w:rsidRDefault="00F17389" w:rsidP="00F17389">
            <w:r>
              <w:t>- Corridor Creek and Georgetown area</w:t>
            </w:r>
          </w:p>
        </w:tc>
      </w:tr>
      <w:tr w:rsidR="00F17389" w:rsidTr="00F17389">
        <w:tc>
          <w:tcPr>
            <w:tcW w:w="4261" w:type="dxa"/>
          </w:tcPr>
          <w:p w:rsidR="00F17389" w:rsidRDefault="00F17389" w:rsidP="00F17389">
            <w:r>
              <w:t>- TSF north</w:t>
            </w:r>
            <w:r w:rsidR="00A720D3">
              <w:t>-</w:t>
            </w:r>
            <w:r>
              <w:t xml:space="preserve">west and Gulungul area </w:t>
            </w:r>
          </w:p>
        </w:tc>
        <w:tc>
          <w:tcPr>
            <w:tcW w:w="4261" w:type="dxa"/>
          </w:tcPr>
          <w:p w:rsidR="00F17389" w:rsidRDefault="00F17389" w:rsidP="00F17389">
            <w:r>
              <w:t xml:space="preserve">- RP2 and Pit 3, and </w:t>
            </w:r>
          </w:p>
        </w:tc>
      </w:tr>
      <w:tr w:rsidR="00F17389" w:rsidTr="00F17389">
        <w:tc>
          <w:tcPr>
            <w:tcW w:w="4261" w:type="dxa"/>
          </w:tcPr>
          <w:p w:rsidR="00F17389" w:rsidRDefault="00F17389" w:rsidP="00F17389">
            <w:r>
              <w:t>- TSF south and south</w:t>
            </w:r>
            <w:r w:rsidR="00A720D3">
              <w:t>-</w:t>
            </w:r>
            <w:r>
              <w:t xml:space="preserve">west wall </w:t>
            </w:r>
          </w:p>
        </w:tc>
        <w:tc>
          <w:tcPr>
            <w:tcW w:w="4261" w:type="dxa"/>
          </w:tcPr>
          <w:p w:rsidR="00F17389" w:rsidRDefault="00F17389" w:rsidP="00F17389">
            <w:r>
              <w:t>- Djalkmarra and Magela Creek.</w:t>
            </w:r>
          </w:p>
        </w:tc>
      </w:tr>
      <w:tr w:rsidR="00F17389" w:rsidTr="00F17389">
        <w:tc>
          <w:tcPr>
            <w:tcW w:w="4261" w:type="dxa"/>
          </w:tcPr>
          <w:p w:rsidR="00F17389" w:rsidRDefault="00F17389" w:rsidP="00F17389">
            <w:r>
              <w:t>- TSF south</w:t>
            </w:r>
          </w:p>
        </w:tc>
        <w:tc>
          <w:tcPr>
            <w:tcW w:w="4261" w:type="dxa"/>
          </w:tcPr>
          <w:p w:rsidR="00F17389" w:rsidRDefault="00F17389" w:rsidP="00F17389"/>
        </w:tc>
      </w:tr>
    </w:tbl>
    <w:p w:rsidR="00F17389" w:rsidRDefault="00F17389" w:rsidP="00F17389">
      <w:pPr>
        <w:pStyle w:val="figurecaption"/>
      </w:pPr>
      <w:r>
        <w:rPr>
          <w:noProof/>
          <w:lang w:eastAsia="en-AU"/>
        </w:rPr>
        <w:drawing>
          <wp:inline distT="0" distB="0" distL="0" distR="0">
            <wp:extent cx="5311775" cy="7911465"/>
            <wp:effectExtent l="19050" t="0" r="3175" b="0"/>
            <wp:docPr id="18" name="Picture 5" descr="Ranger bores eriss investi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nger bores eriss investigated"/>
                    <pic:cNvPicPr>
                      <a:picLocks noChangeAspect="1" noChangeArrowheads="1"/>
                    </pic:cNvPicPr>
                  </pic:nvPicPr>
                  <pic:blipFill>
                    <a:blip r:embed="rId31" cstate="email"/>
                    <a:srcRect/>
                    <a:stretch>
                      <a:fillRect/>
                    </a:stretch>
                  </pic:blipFill>
                  <pic:spPr bwMode="auto">
                    <a:xfrm>
                      <a:off x="0" y="0"/>
                      <a:ext cx="5311775" cy="7911465"/>
                    </a:xfrm>
                    <a:prstGeom prst="rect">
                      <a:avLst/>
                    </a:prstGeom>
                    <a:noFill/>
                    <a:ln w="9525">
                      <a:noFill/>
                      <a:miter lim="800000"/>
                      <a:headEnd/>
                      <a:tailEnd/>
                    </a:ln>
                  </pic:spPr>
                </pic:pic>
              </a:graphicData>
            </a:graphic>
          </wp:inline>
        </w:drawing>
      </w:r>
    </w:p>
    <w:p w:rsidR="00F17389" w:rsidRDefault="00F17389" w:rsidP="00F17389">
      <w:pPr>
        <w:pStyle w:val="figurecaption"/>
        <w:sectPr w:rsidR="00F17389">
          <w:pgSz w:w="11906" w:h="16838" w:code="9"/>
          <w:pgMar w:top="1440" w:right="1800" w:bottom="1440" w:left="1800" w:header="1080" w:footer="835" w:gutter="0"/>
          <w:cols w:space="360"/>
          <w:noEndnote/>
        </w:sectPr>
      </w:pPr>
      <w:bookmarkStart w:id="55" w:name="_Toc398721487"/>
      <w:r w:rsidRPr="00E06CBC">
        <w:rPr>
          <w:b/>
        </w:rPr>
        <w:t>Figure 3</w:t>
      </w:r>
      <w:r>
        <w:t xml:space="preserve"> Bores at Ranger uranium investigated by </w:t>
      </w:r>
      <w:r w:rsidR="00DC4556" w:rsidRPr="00DC4556">
        <w:rPr>
          <w:b/>
          <w:i/>
          <w:sz w:val="22"/>
          <w:szCs w:val="22"/>
        </w:rPr>
        <w:t>eriss</w:t>
      </w:r>
      <w:r>
        <w:t>, 1988-2012.</w:t>
      </w:r>
      <w:bookmarkEnd w:id="55"/>
    </w:p>
    <w:p w:rsidR="00F17389" w:rsidRDefault="00F17389" w:rsidP="00F17389">
      <w:pPr>
        <w:pStyle w:val="tablecaption"/>
      </w:pPr>
      <w:bookmarkStart w:id="56" w:name="_Toc386618575"/>
      <w:r w:rsidRPr="00E06CBC">
        <w:rPr>
          <w:b/>
        </w:rPr>
        <w:t>Table 3</w:t>
      </w:r>
      <w:r>
        <w:t xml:space="preserve"> Information on the bores sampled and analysed by </w:t>
      </w:r>
      <w:r w:rsidRPr="008B6579">
        <w:rPr>
          <w:b/>
          <w:i/>
          <w:sz w:val="22"/>
          <w:szCs w:val="22"/>
        </w:rPr>
        <w:t>eriss</w:t>
      </w:r>
      <w:r>
        <w:t xml:space="preserve"> between 1988 and 2012.</w:t>
      </w:r>
      <w:bookmarkEnd w:id="56"/>
    </w:p>
    <w:tbl>
      <w:tblPr>
        <w:tblW w:w="7827" w:type="dxa"/>
        <w:tblLayout w:type="fixed"/>
        <w:tblCellMar>
          <w:left w:w="30" w:type="dxa"/>
          <w:right w:w="30" w:type="dxa"/>
        </w:tblCellMar>
        <w:tblLook w:val="0000"/>
      </w:tblPr>
      <w:tblGrid>
        <w:gridCol w:w="1448"/>
        <w:gridCol w:w="1276"/>
        <w:gridCol w:w="971"/>
        <w:gridCol w:w="851"/>
        <w:gridCol w:w="3281"/>
      </w:tblGrid>
      <w:tr w:rsidR="00F17389" w:rsidRPr="00262024" w:rsidTr="00F17389">
        <w:trPr>
          <w:trHeight w:val="262"/>
        </w:trPr>
        <w:tc>
          <w:tcPr>
            <w:tcW w:w="1448" w:type="dxa"/>
            <w:tcBorders>
              <w:top w:val="single" w:sz="6" w:space="0" w:color="auto"/>
              <w:bottom w:val="double" w:sz="6" w:space="0" w:color="auto"/>
            </w:tcBorders>
          </w:tcPr>
          <w:p w:rsidR="00F17389" w:rsidRPr="00262024" w:rsidRDefault="00F17389" w:rsidP="00F17389">
            <w:pPr>
              <w:autoSpaceDE w:val="0"/>
              <w:autoSpaceDN w:val="0"/>
              <w:adjustRightInd w:val="0"/>
              <w:spacing w:before="60" w:after="0" w:line="240" w:lineRule="auto"/>
              <w:ind w:right="57"/>
              <w:jc w:val="center"/>
              <w:rPr>
                <w:rFonts w:ascii="Arial" w:hAnsi="Arial" w:cs="Arial"/>
                <w:b/>
                <w:bCs/>
                <w:sz w:val="16"/>
                <w:szCs w:val="16"/>
                <w:lang w:val="en-US"/>
              </w:rPr>
            </w:pPr>
            <w:r w:rsidRPr="00262024">
              <w:rPr>
                <w:rFonts w:ascii="Arial" w:hAnsi="Arial" w:cs="Arial"/>
                <w:b/>
                <w:bCs/>
                <w:sz w:val="16"/>
                <w:szCs w:val="16"/>
                <w:lang w:val="en-US"/>
              </w:rPr>
              <w:t>SiteID</w:t>
            </w:r>
          </w:p>
        </w:tc>
        <w:tc>
          <w:tcPr>
            <w:tcW w:w="1276" w:type="dxa"/>
            <w:tcBorders>
              <w:top w:val="single" w:sz="6" w:space="0" w:color="auto"/>
              <w:bottom w:val="double" w:sz="6" w:space="0" w:color="auto"/>
            </w:tcBorders>
          </w:tcPr>
          <w:p w:rsidR="00F17389" w:rsidRPr="00262024" w:rsidRDefault="00F17389" w:rsidP="00F17389">
            <w:pPr>
              <w:autoSpaceDE w:val="0"/>
              <w:autoSpaceDN w:val="0"/>
              <w:adjustRightInd w:val="0"/>
              <w:spacing w:before="60" w:after="0" w:line="240" w:lineRule="auto"/>
              <w:ind w:right="57"/>
              <w:jc w:val="center"/>
              <w:rPr>
                <w:rFonts w:ascii="Arial" w:hAnsi="Arial" w:cs="Arial"/>
                <w:b/>
                <w:bCs/>
                <w:sz w:val="16"/>
                <w:szCs w:val="16"/>
                <w:lang w:val="en-US"/>
              </w:rPr>
            </w:pPr>
            <w:r w:rsidRPr="00262024">
              <w:rPr>
                <w:rFonts w:ascii="Arial" w:hAnsi="Arial" w:cs="Arial"/>
                <w:b/>
                <w:bCs/>
                <w:sz w:val="16"/>
                <w:szCs w:val="16"/>
                <w:lang w:val="en-US"/>
              </w:rPr>
              <w:t>RN number</w:t>
            </w:r>
          </w:p>
        </w:tc>
        <w:tc>
          <w:tcPr>
            <w:tcW w:w="971" w:type="dxa"/>
            <w:tcBorders>
              <w:top w:val="single" w:sz="6" w:space="0" w:color="auto"/>
              <w:bottom w:val="double" w:sz="6" w:space="0" w:color="auto"/>
            </w:tcBorders>
          </w:tcPr>
          <w:p w:rsidR="00F17389" w:rsidRPr="00262024" w:rsidRDefault="00F17389" w:rsidP="00F17389">
            <w:pPr>
              <w:autoSpaceDE w:val="0"/>
              <w:autoSpaceDN w:val="0"/>
              <w:adjustRightInd w:val="0"/>
              <w:spacing w:before="60" w:after="0" w:line="240" w:lineRule="auto"/>
              <w:ind w:right="57"/>
              <w:jc w:val="center"/>
              <w:rPr>
                <w:rFonts w:ascii="Arial" w:hAnsi="Arial" w:cs="Arial"/>
                <w:b/>
                <w:bCs/>
                <w:sz w:val="16"/>
                <w:szCs w:val="16"/>
                <w:lang w:val="en-US"/>
              </w:rPr>
            </w:pPr>
            <w:r w:rsidRPr="00262024">
              <w:rPr>
                <w:rFonts w:ascii="Arial" w:hAnsi="Arial" w:cs="Arial"/>
                <w:b/>
                <w:bCs/>
                <w:sz w:val="16"/>
                <w:szCs w:val="16"/>
                <w:lang w:val="en-US"/>
              </w:rPr>
              <w:t>Easting</w:t>
            </w:r>
          </w:p>
        </w:tc>
        <w:tc>
          <w:tcPr>
            <w:tcW w:w="851" w:type="dxa"/>
            <w:tcBorders>
              <w:top w:val="single" w:sz="6" w:space="0" w:color="auto"/>
              <w:bottom w:val="double" w:sz="6" w:space="0" w:color="auto"/>
            </w:tcBorders>
          </w:tcPr>
          <w:p w:rsidR="00F17389" w:rsidRPr="00262024" w:rsidRDefault="00F17389" w:rsidP="00F17389">
            <w:pPr>
              <w:autoSpaceDE w:val="0"/>
              <w:autoSpaceDN w:val="0"/>
              <w:adjustRightInd w:val="0"/>
              <w:spacing w:before="60" w:after="0" w:line="240" w:lineRule="auto"/>
              <w:ind w:right="57"/>
              <w:jc w:val="center"/>
              <w:rPr>
                <w:rFonts w:ascii="Arial" w:hAnsi="Arial" w:cs="Arial"/>
                <w:b/>
                <w:bCs/>
                <w:sz w:val="16"/>
                <w:szCs w:val="16"/>
                <w:lang w:val="en-US"/>
              </w:rPr>
            </w:pPr>
            <w:r w:rsidRPr="00262024">
              <w:rPr>
                <w:rFonts w:ascii="Arial" w:hAnsi="Arial" w:cs="Arial"/>
                <w:b/>
                <w:bCs/>
                <w:sz w:val="16"/>
                <w:szCs w:val="16"/>
                <w:lang w:val="en-US"/>
              </w:rPr>
              <w:t>Northing</w:t>
            </w:r>
          </w:p>
        </w:tc>
        <w:tc>
          <w:tcPr>
            <w:tcW w:w="3281" w:type="dxa"/>
            <w:tcBorders>
              <w:top w:val="single" w:sz="6" w:space="0" w:color="auto"/>
              <w:bottom w:val="double" w:sz="6" w:space="0" w:color="auto"/>
            </w:tcBorders>
          </w:tcPr>
          <w:p w:rsidR="00F17389" w:rsidRPr="00262024" w:rsidRDefault="00F17389" w:rsidP="00F17389">
            <w:pPr>
              <w:autoSpaceDE w:val="0"/>
              <w:autoSpaceDN w:val="0"/>
              <w:adjustRightInd w:val="0"/>
              <w:spacing w:before="60" w:after="0" w:line="240" w:lineRule="auto"/>
              <w:ind w:right="57"/>
              <w:jc w:val="center"/>
              <w:rPr>
                <w:rFonts w:ascii="Arial" w:hAnsi="Arial" w:cs="Arial"/>
                <w:b/>
                <w:bCs/>
                <w:sz w:val="16"/>
                <w:szCs w:val="16"/>
                <w:lang w:val="en-US"/>
              </w:rPr>
            </w:pPr>
            <w:r w:rsidRPr="00262024">
              <w:rPr>
                <w:rFonts w:ascii="Arial" w:hAnsi="Arial" w:cs="Arial"/>
                <w:b/>
                <w:bCs/>
                <w:sz w:val="16"/>
                <w:szCs w:val="16"/>
                <w:lang w:val="en-US"/>
              </w:rPr>
              <w:t>Site name</w:t>
            </w:r>
          </w:p>
        </w:tc>
      </w:tr>
      <w:tr w:rsidR="00F17389" w:rsidRPr="00262024" w:rsidTr="00F17389">
        <w:trPr>
          <w:trHeight w:val="262"/>
        </w:trPr>
        <w:tc>
          <w:tcPr>
            <w:tcW w:w="1448" w:type="dxa"/>
            <w:tcBorders>
              <w:top w:val="doub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23931_DEEP</w:t>
            </w:r>
          </w:p>
        </w:tc>
        <w:tc>
          <w:tcPr>
            <w:tcW w:w="1276" w:type="dxa"/>
            <w:tcBorders>
              <w:top w:val="doub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RN023931</w:t>
            </w:r>
          </w:p>
        </w:tc>
        <w:tc>
          <w:tcPr>
            <w:tcW w:w="971" w:type="dxa"/>
            <w:tcBorders>
              <w:top w:val="doub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272415</w:t>
            </w:r>
          </w:p>
        </w:tc>
        <w:tc>
          <w:tcPr>
            <w:tcW w:w="851" w:type="dxa"/>
            <w:tcBorders>
              <w:top w:val="doub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8599496</w:t>
            </w:r>
          </w:p>
        </w:tc>
        <w:tc>
          <w:tcPr>
            <w:tcW w:w="3281" w:type="dxa"/>
            <w:tcBorders>
              <w:top w:val="doub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Coonjimba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 79/ 1 Ranger</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RN020090</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273803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8597674</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RP2</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 79/ 2 Ranger</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RN020091</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273797</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8597466</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RP2</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79/6</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RN022901</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274302</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8597908</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Djalkmarra Ck</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79/9</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RN020098</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274240</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8598223</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Djalkmarra Ck</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83_1</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RN023010</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274414</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8598255</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Magela/Pit 3</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B11</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RN007243</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272126</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8599051</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Coonjimba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C12</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 </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274930</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8596518</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Corridor Creek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C1SHALLOW</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 </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272729</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8595219</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Magela Ck 11/80</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RN020369</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274886</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8598810</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Magela Creek</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MBH</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RN023721</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274151</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8596111</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Pit 1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MBL</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RN023725</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273933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8595935</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Pit 1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MC24</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RN025466</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274516</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8597943</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Magela/Pit 3</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MC27</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RN025469</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275153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8597990</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Magela Creek</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OB10A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RN022920</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272822</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8596651</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OB11A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RN022922</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272538</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8596823</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OB12A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RN022923</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271857</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8596869</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OB13A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RN022924</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272233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8596813</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OB15</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RN022926</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272320</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8596972</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OB16</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RN022927</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272292</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8596818</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OB112_DEEP</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OB112_DEEP</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271143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8595656</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Gulungul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OB116_DEEP</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OB116_DEEP</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271459</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8595355</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Gulungul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OB116_SHALLOW</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 </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271460</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8595349</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Gulungul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OB17A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RN026588</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271745</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8596882</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OB19A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RN026589</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271812</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8595640</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OB1A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RN022902</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271561</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8596865</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Gulungul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OB20</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RN022934</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271822</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8595161</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OB21A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RN022935</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272484</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8595180</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OB23</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RN022937</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271844</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8597241</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OB24</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RN022938</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272040</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8597220</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OB26</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 </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272409</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8597134</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OB27</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RN022930</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275523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8597063</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 xml:space="preserve">Georgetown Area </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OB28</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RN023939</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275473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8597067</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Magela LAA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OB29</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RN022940</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274115</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8597457</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RP2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RN022904</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271017</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8596684</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Gulungul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OB30</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RN022941</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273923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8595706</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Corridor Creek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OB44</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RN026593</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272399</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8597199</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OB6</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RN022911</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272413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8595569</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OB6A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RN022912</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272410</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8595566</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OB7A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RN022914</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272707</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8595639</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OB9A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RN022918</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272738</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8596373</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RN22211</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RN022211</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274683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8598647</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Magela Ck</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RN23551</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RN023551</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272435</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8597838</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 1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RN23556</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RN023556</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271473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8597040</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North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RN23562</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RN023562</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274404</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8598253</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Magela Creek</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RN23566</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RN023566</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270911</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8596382</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Gulungul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RN23568</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RN023568</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272121</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8595210</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 Area</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RN8708</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RN8708</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273262</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8595136</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Corridor Creek Tails Corridor Area (DME)</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79/2 RANGER</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RN009329</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270863</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8596371</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Gulungul</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RP1N1</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RN026625</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272337</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8597379</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RP1 headwaters</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RP1N2</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RN026626</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272338</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8597378</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RP1 headwaters</w:t>
            </w:r>
          </w:p>
        </w:tc>
      </w:tr>
      <w:tr w:rsidR="00F17389" w:rsidRPr="00262024" w:rsidTr="00F17389">
        <w:trPr>
          <w:trHeight w:val="262"/>
        </w:trPr>
        <w:tc>
          <w:tcPr>
            <w:tcW w:w="1448"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OB4A</w:t>
            </w:r>
          </w:p>
        </w:tc>
        <w:tc>
          <w:tcPr>
            <w:tcW w:w="1276"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RN22908</w:t>
            </w:r>
          </w:p>
        </w:tc>
        <w:tc>
          <w:tcPr>
            <w:tcW w:w="97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271686</w:t>
            </w:r>
          </w:p>
        </w:tc>
        <w:tc>
          <w:tcPr>
            <w:tcW w:w="851" w:type="dxa"/>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8595767</w:t>
            </w:r>
          </w:p>
        </w:tc>
        <w:tc>
          <w:tcPr>
            <w:tcW w:w="3281" w:type="dxa"/>
            <w:vAlign w:val="bottom"/>
          </w:tcPr>
          <w:p w:rsidR="00F17389" w:rsidRPr="004C1F04" w:rsidRDefault="00F17389" w:rsidP="00F17389">
            <w:pPr>
              <w:spacing w:after="0" w:line="240" w:lineRule="auto"/>
              <w:jc w:val="center"/>
              <w:rPr>
                <w:rFonts w:ascii="Arial" w:hAnsi="Arial" w:cs="Arial"/>
                <w:bCs/>
                <w:sz w:val="16"/>
                <w:szCs w:val="16"/>
              </w:rPr>
            </w:pPr>
            <w:r>
              <w:rPr>
                <w:rFonts w:ascii="Arial" w:hAnsi="Arial" w:cs="Arial"/>
                <w:bCs/>
                <w:sz w:val="16"/>
                <w:szCs w:val="16"/>
              </w:rPr>
              <w:t>TSF</w:t>
            </w:r>
            <w:r w:rsidRPr="004C1F04">
              <w:rPr>
                <w:rFonts w:ascii="Arial" w:hAnsi="Arial" w:cs="Arial"/>
                <w:bCs/>
                <w:sz w:val="16"/>
                <w:szCs w:val="16"/>
              </w:rPr>
              <w:t xml:space="preserve"> South Area</w:t>
            </w:r>
          </w:p>
        </w:tc>
      </w:tr>
      <w:tr w:rsidR="00F17389" w:rsidRPr="00262024" w:rsidTr="00F17389">
        <w:trPr>
          <w:trHeight w:val="262"/>
        </w:trPr>
        <w:tc>
          <w:tcPr>
            <w:tcW w:w="1448" w:type="dxa"/>
            <w:tcBorders>
              <w:bottom w:val="sing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OB22</w:t>
            </w:r>
          </w:p>
        </w:tc>
        <w:tc>
          <w:tcPr>
            <w:tcW w:w="1276" w:type="dxa"/>
            <w:tcBorders>
              <w:bottom w:val="sing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 </w:t>
            </w:r>
          </w:p>
        </w:tc>
        <w:tc>
          <w:tcPr>
            <w:tcW w:w="971" w:type="dxa"/>
            <w:tcBorders>
              <w:bottom w:val="sing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272950</w:t>
            </w:r>
          </w:p>
        </w:tc>
        <w:tc>
          <w:tcPr>
            <w:tcW w:w="851" w:type="dxa"/>
            <w:tcBorders>
              <w:bottom w:val="sing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8596271</w:t>
            </w:r>
          </w:p>
        </w:tc>
        <w:tc>
          <w:tcPr>
            <w:tcW w:w="3281" w:type="dxa"/>
            <w:tcBorders>
              <w:bottom w:val="single" w:sz="6" w:space="0" w:color="auto"/>
            </w:tcBorders>
            <w:vAlign w:val="bottom"/>
          </w:tcPr>
          <w:p w:rsidR="00F17389" w:rsidRPr="004C1F04" w:rsidRDefault="00F17389" w:rsidP="00F17389">
            <w:pPr>
              <w:spacing w:after="0" w:line="240" w:lineRule="auto"/>
              <w:jc w:val="center"/>
              <w:rPr>
                <w:rFonts w:ascii="Arial" w:hAnsi="Arial" w:cs="Arial"/>
                <w:bCs/>
                <w:sz w:val="16"/>
                <w:szCs w:val="16"/>
              </w:rPr>
            </w:pPr>
            <w:r w:rsidRPr="004C1F04">
              <w:rPr>
                <w:rFonts w:ascii="Arial" w:hAnsi="Arial" w:cs="Arial"/>
                <w:bCs/>
                <w:sz w:val="16"/>
                <w:szCs w:val="16"/>
              </w:rPr>
              <w:t> </w:t>
            </w:r>
          </w:p>
        </w:tc>
      </w:tr>
    </w:tbl>
    <w:p w:rsidR="00F17389" w:rsidRDefault="00F17389" w:rsidP="00F17389">
      <w:pPr>
        <w:pStyle w:val="Heading4"/>
        <w:sectPr w:rsidR="00F17389" w:rsidSect="00F17389">
          <w:pgSz w:w="11906" w:h="16838" w:code="9"/>
          <w:pgMar w:top="851" w:right="1800" w:bottom="1276" w:left="1800" w:header="1080" w:footer="835" w:gutter="0"/>
          <w:cols w:space="360"/>
          <w:noEndnote/>
        </w:sectPr>
      </w:pPr>
    </w:p>
    <w:p w:rsidR="00F17389" w:rsidRDefault="00F17389" w:rsidP="00F17389">
      <w:pPr>
        <w:pStyle w:val="Heading4"/>
      </w:pPr>
      <w:bookmarkStart w:id="57" w:name="_Toc398721683"/>
      <w:bookmarkStart w:id="58" w:name="_Toc411850513"/>
      <w:r>
        <w:t>2.1.1 Bores in the Coonjimba and RP1 catchment</w:t>
      </w:r>
      <w:bookmarkEnd w:id="57"/>
      <w:bookmarkEnd w:id="58"/>
    </w:p>
    <w:p w:rsidR="00F17389" w:rsidRDefault="00F17389" w:rsidP="00F17389">
      <w:r>
        <w:t xml:space="preserve">Figure 4 shows a close up of the bores </w:t>
      </w:r>
      <w:r w:rsidRPr="00EC10A4">
        <w:t>in the Coonjimba catchment and RP1</w:t>
      </w:r>
      <w:r>
        <w:t xml:space="preserve"> area. Table 4 shows the site ID and RN numbers, the depths of the screen and some other comments regarding the bores.</w:t>
      </w:r>
    </w:p>
    <w:p w:rsidR="00F17389" w:rsidRDefault="00F17389" w:rsidP="00F17389">
      <w:pPr>
        <w:jc w:val="center"/>
      </w:pPr>
      <w:r>
        <w:rPr>
          <w:noProof/>
          <w:lang w:eastAsia="en-AU"/>
        </w:rPr>
        <w:drawing>
          <wp:inline distT="0" distB="0" distL="0" distR="0">
            <wp:extent cx="3761105" cy="4969510"/>
            <wp:effectExtent l="19050" t="0" r="0" b="0"/>
            <wp:docPr id="17" name="Picture 6" descr="Coonjimba_RP1 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onjimba_RP1 bores"/>
                    <pic:cNvPicPr>
                      <a:picLocks noChangeAspect="1" noChangeArrowheads="1"/>
                    </pic:cNvPicPr>
                  </pic:nvPicPr>
                  <pic:blipFill>
                    <a:blip r:embed="rId32" cstate="email"/>
                    <a:srcRect/>
                    <a:stretch>
                      <a:fillRect/>
                    </a:stretch>
                  </pic:blipFill>
                  <pic:spPr bwMode="auto">
                    <a:xfrm>
                      <a:off x="0" y="0"/>
                      <a:ext cx="3761105" cy="4969510"/>
                    </a:xfrm>
                    <a:prstGeom prst="rect">
                      <a:avLst/>
                    </a:prstGeom>
                    <a:noFill/>
                    <a:ln w="9525">
                      <a:noFill/>
                      <a:miter lim="800000"/>
                      <a:headEnd/>
                      <a:tailEnd/>
                    </a:ln>
                  </pic:spPr>
                </pic:pic>
              </a:graphicData>
            </a:graphic>
          </wp:inline>
        </w:drawing>
      </w:r>
    </w:p>
    <w:p w:rsidR="00F17389" w:rsidRDefault="00F17389" w:rsidP="00F17389">
      <w:pPr>
        <w:pStyle w:val="figurecaption"/>
      </w:pPr>
      <w:bookmarkStart w:id="59" w:name="_Toc398721488"/>
      <w:r w:rsidRPr="00E06CBC">
        <w:rPr>
          <w:b/>
        </w:rPr>
        <w:t>Figure 4</w:t>
      </w:r>
      <w:r>
        <w:t xml:space="preserve"> Bores in </w:t>
      </w:r>
      <w:r w:rsidRPr="00EC10A4">
        <w:t>the Coonjimba catchment and RP1</w:t>
      </w:r>
      <w:r>
        <w:t xml:space="preserve"> area</w:t>
      </w:r>
      <w:bookmarkEnd w:id="59"/>
    </w:p>
    <w:p w:rsidR="00F17389" w:rsidRPr="009C098B" w:rsidRDefault="00F17389" w:rsidP="00F17389"/>
    <w:p w:rsidR="00F17389" w:rsidRPr="009B59C0" w:rsidRDefault="00F17389" w:rsidP="00F17389">
      <w:pPr>
        <w:pStyle w:val="tablecaption"/>
      </w:pPr>
      <w:bookmarkStart w:id="60" w:name="_Toc386618576"/>
      <w:r w:rsidRPr="0050407F">
        <w:rPr>
          <w:b/>
        </w:rPr>
        <w:t>Table 4</w:t>
      </w:r>
      <w:r>
        <w:t xml:space="preserve"> Site IDs, RN numbers, time period of data available and screen depths of bores </w:t>
      </w:r>
      <w:r w:rsidRPr="00EC10A4">
        <w:t>in the Coonjimba catchment and RP1</w:t>
      </w:r>
      <w:r>
        <w:t xml:space="preserve"> area.</w:t>
      </w:r>
      <w:bookmarkEnd w:id="60"/>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7A1F1E" w:rsidTr="00F17389">
        <w:trPr>
          <w:trHeight w:val="262"/>
        </w:trPr>
        <w:tc>
          <w:tcPr>
            <w:tcW w:w="1448" w:type="dxa"/>
            <w:tcBorders>
              <w:top w:val="single" w:sz="6" w:space="0" w:color="auto"/>
              <w:left w:val="single" w:sz="6" w:space="0" w:color="auto"/>
              <w:bottom w:val="double" w:sz="6" w:space="0" w:color="auto"/>
            </w:tcBorders>
          </w:tcPr>
          <w:p w:rsidR="00F17389" w:rsidRPr="007A1F1E" w:rsidRDefault="00F17389" w:rsidP="00F17389">
            <w:pPr>
              <w:autoSpaceDE w:val="0"/>
              <w:autoSpaceDN w:val="0"/>
              <w:adjustRightInd w:val="0"/>
              <w:spacing w:after="0" w:line="240" w:lineRule="auto"/>
              <w:ind w:right="57"/>
              <w:jc w:val="center"/>
              <w:rPr>
                <w:rFonts w:ascii="Arial" w:hAnsi="Arial" w:cs="Arial"/>
                <w:b/>
                <w:bCs/>
                <w:color w:val="000000"/>
                <w:sz w:val="16"/>
                <w:szCs w:val="16"/>
                <w:lang w:val="en-US"/>
              </w:rPr>
            </w:pPr>
            <w:r w:rsidRPr="007A1F1E">
              <w:rPr>
                <w:rFonts w:ascii="Arial" w:hAnsi="Arial" w:cs="Arial"/>
                <w:b/>
                <w:bCs/>
                <w:color w:val="000000"/>
                <w:sz w:val="16"/>
                <w:szCs w:val="16"/>
                <w:lang w:val="en-US"/>
              </w:rPr>
              <w:t>SiteID</w:t>
            </w:r>
          </w:p>
        </w:tc>
        <w:tc>
          <w:tcPr>
            <w:tcW w:w="1276" w:type="dxa"/>
            <w:tcBorders>
              <w:top w:val="single" w:sz="6" w:space="0" w:color="auto"/>
              <w:bottom w:val="double" w:sz="6" w:space="0" w:color="auto"/>
            </w:tcBorders>
          </w:tcPr>
          <w:p w:rsidR="00F17389" w:rsidRPr="007A1F1E" w:rsidRDefault="00F17389" w:rsidP="00F17389">
            <w:pPr>
              <w:autoSpaceDE w:val="0"/>
              <w:autoSpaceDN w:val="0"/>
              <w:adjustRightInd w:val="0"/>
              <w:spacing w:after="0" w:line="240" w:lineRule="auto"/>
              <w:ind w:right="57"/>
              <w:jc w:val="center"/>
              <w:rPr>
                <w:rFonts w:ascii="Arial" w:hAnsi="Arial" w:cs="Arial"/>
                <w:b/>
                <w:bCs/>
                <w:color w:val="000000"/>
                <w:sz w:val="16"/>
                <w:szCs w:val="16"/>
                <w:lang w:val="en-US"/>
              </w:rPr>
            </w:pPr>
            <w:r w:rsidRPr="007A1F1E">
              <w:rPr>
                <w:rFonts w:ascii="Arial" w:hAnsi="Arial" w:cs="Arial"/>
                <w:b/>
                <w:bCs/>
                <w:color w:val="000000"/>
                <w:sz w:val="16"/>
                <w:szCs w:val="16"/>
                <w:lang w:val="en-US"/>
              </w:rPr>
              <w:t>RN number</w:t>
            </w:r>
          </w:p>
        </w:tc>
        <w:tc>
          <w:tcPr>
            <w:tcW w:w="1135" w:type="dxa"/>
            <w:tcBorders>
              <w:top w:val="single" w:sz="6" w:space="0" w:color="auto"/>
              <w:bottom w:val="double" w:sz="6" w:space="0" w:color="auto"/>
            </w:tcBorders>
          </w:tcPr>
          <w:p w:rsidR="00F17389" w:rsidRPr="007A1F1E" w:rsidRDefault="00F17389" w:rsidP="00F17389">
            <w:pPr>
              <w:autoSpaceDE w:val="0"/>
              <w:autoSpaceDN w:val="0"/>
              <w:adjustRightInd w:val="0"/>
              <w:spacing w:after="0" w:line="240" w:lineRule="auto"/>
              <w:ind w:right="57"/>
              <w:jc w:val="center"/>
              <w:rPr>
                <w:rFonts w:ascii="Arial" w:hAnsi="Arial" w:cs="Arial"/>
                <w:b/>
                <w:bCs/>
                <w:color w:val="000000"/>
                <w:sz w:val="16"/>
                <w:szCs w:val="16"/>
                <w:lang w:val="en-US"/>
              </w:rPr>
            </w:pPr>
            <w:r>
              <w:rPr>
                <w:rFonts w:ascii="Arial" w:hAnsi="Arial" w:cs="Arial"/>
                <w:b/>
                <w:bCs/>
                <w:color w:val="000000"/>
                <w:sz w:val="16"/>
                <w:szCs w:val="16"/>
                <w:lang w:val="en-US"/>
              </w:rPr>
              <w:t>Data</w:t>
            </w:r>
            <w:r w:rsidRPr="007A1F1E">
              <w:rPr>
                <w:rFonts w:ascii="Arial" w:hAnsi="Arial" w:cs="Arial"/>
                <w:b/>
                <w:bCs/>
                <w:color w:val="000000"/>
                <w:sz w:val="16"/>
                <w:szCs w:val="16"/>
                <w:lang w:val="en-US"/>
              </w:rPr>
              <w:t xml:space="preserve"> from-to</w:t>
            </w:r>
          </w:p>
        </w:tc>
        <w:tc>
          <w:tcPr>
            <w:tcW w:w="971" w:type="dxa"/>
            <w:tcBorders>
              <w:top w:val="single" w:sz="6" w:space="0" w:color="auto"/>
              <w:bottom w:val="double" w:sz="6" w:space="0" w:color="auto"/>
            </w:tcBorders>
          </w:tcPr>
          <w:p w:rsidR="00F17389" w:rsidRPr="007A1F1E" w:rsidRDefault="00F17389" w:rsidP="00F17389">
            <w:pPr>
              <w:autoSpaceDE w:val="0"/>
              <w:autoSpaceDN w:val="0"/>
              <w:adjustRightInd w:val="0"/>
              <w:spacing w:after="0" w:line="240" w:lineRule="auto"/>
              <w:ind w:right="57"/>
              <w:jc w:val="center"/>
              <w:rPr>
                <w:rFonts w:ascii="Arial" w:hAnsi="Arial" w:cs="Arial"/>
                <w:b/>
                <w:bCs/>
                <w:color w:val="000000"/>
                <w:sz w:val="16"/>
                <w:szCs w:val="16"/>
                <w:lang w:val="en-US"/>
              </w:rPr>
            </w:pPr>
            <w:r>
              <w:rPr>
                <w:rFonts w:ascii="Arial" w:hAnsi="Arial" w:cs="Arial"/>
                <w:b/>
                <w:bCs/>
                <w:color w:val="000000"/>
                <w:sz w:val="16"/>
                <w:szCs w:val="16"/>
                <w:lang w:val="en-US"/>
              </w:rPr>
              <w:t>Top of screen (m)</w:t>
            </w:r>
          </w:p>
        </w:tc>
        <w:tc>
          <w:tcPr>
            <w:tcW w:w="1012" w:type="dxa"/>
            <w:tcBorders>
              <w:top w:val="single" w:sz="6" w:space="0" w:color="auto"/>
              <w:bottom w:val="double" w:sz="6" w:space="0" w:color="auto"/>
            </w:tcBorders>
          </w:tcPr>
          <w:p w:rsidR="00F17389" w:rsidRPr="007A1F1E" w:rsidRDefault="00F17389" w:rsidP="00F17389">
            <w:pPr>
              <w:autoSpaceDE w:val="0"/>
              <w:autoSpaceDN w:val="0"/>
              <w:adjustRightInd w:val="0"/>
              <w:spacing w:after="0" w:line="240" w:lineRule="auto"/>
              <w:ind w:right="57"/>
              <w:jc w:val="center"/>
              <w:rPr>
                <w:rFonts w:ascii="Arial" w:hAnsi="Arial" w:cs="Arial"/>
                <w:b/>
                <w:bCs/>
                <w:color w:val="000000"/>
                <w:sz w:val="16"/>
                <w:szCs w:val="16"/>
                <w:lang w:val="en-US"/>
              </w:rPr>
            </w:pPr>
            <w:r>
              <w:rPr>
                <w:rFonts w:ascii="Arial" w:hAnsi="Arial" w:cs="Arial"/>
                <w:b/>
                <w:bCs/>
                <w:color w:val="000000"/>
                <w:sz w:val="16"/>
                <w:szCs w:val="16"/>
                <w:lang w:val="en-US"/>
              </w:rPr>
              <w:t>Bottom of screen (m)</w:t>
            </w:r>
          </w:p>
        </w:tc>
        <w:tc>
          <w:tcPr>
            <w:tcW w:w="2410" w:type="dxa"/>
            <w:tcBorders>
              <w:top w:val="single" w:sz="6" w:space="0" w:color="auto"/>
              <w:bottom w:val="double" w:sz="6" w:space="0" w:color="auto"/>
              <w:right w:val="single" w:sz="6" w:space="0" w:color="auto"/>
            </w:tcBorders>
          </w:tcPr>
          <w:p w:rsidR="00F17389" w:rsidRPr="007A1F1E" w:rsidRDefault="00F17389" w:rsidP="00F17389">
            <w:pPr>
              <w:autoSpaceDE w:val="0"/>
              <w:autoSpaceDN w:val="0"/>
              <w:adjustRightInd w:val="0"/>
              <w:spacing w:after="0" w:line="240" w:lineRule="auto"/>
              <w:ind w:right="57"/>
              <w:jc w:val="center"/>
              <w:rPr>
                <w:rFonts w:ascii="Arial" w:hAnsi="Arial" w:cs="Arial"/>
                <w:b/>
                <w:bCs/>
                <w:color w:val="000000"/>
                <w:sz w:val="16"/>
                <w:szCs w:val="16"/>
                <w:lang w:val="en-US"/>
              </w:rPr>
            </w:pPr>
            <w:r>
              <w:rPr>
                <w:rFonts w:ascii="Arial" w:hAnsi="Arial" w:cs="Arial"/>
                <w:b/>
                <w:bCs/>
                <w:color w:val="000000"/>
                <w:sz w:val="16"/>
                <w:szCs w:val="16"/>
                <w:lang w:val="en-US"/>
              </w:rPr>
              <w:t>comments</w:t>
            </w:r>
          </w:p>
        </w:tc>
      </w:tr>
      <w:tr w:rsidR="00F17389" w:rsidRPr="007A1F1E" w:rsidTr="00F17389">
        <w:trPr>
          <w:trHeight w:val="262"/>
        </w:trPr>
        <w:tc>
          <w:tcPr>
            <w:tcW w:w="1448" w:type="dxa"/>
            <w:tcBorders>
              <w:top w:val="double" w:sz="6" w:space="0" w:color="auto"/>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23931_DEEP</w:t>
            </w:r>
          </w:p>
        </w:tc>
        <w:tc>
          <w:tcPr>
            <w:tcW w:w="1276" w:type="dxa"/>
            <w:tcBorders>
              <w:top w:val="double" w:sz="6" w:space="0" w:color="auto"/>
            </w:tcBorders>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RN023931</w:t>
            </w:r>
          </w:p>
        </w:tc>
        <w:tc>
          <w:tcPr>
            <w:tcW w:w="1135" w:type="dxa"/>
            <w:tcBorders>
              <w:top w:val="doub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9/11-9/12</w:t>
            </w:r>
          </w:p>
        </w:tc>
        <w:tc>
          <w:tcPr>
            <w:tcW w:w="971" w:type="dxa"/>
            <w:tcBorders>
              <w:top w:val="double" w:sz="6" w:space="0" w:color="auto"/>
            </w:tcBorders>
            <w:vAlign w:val="bottom"/>
          </w:tcPr>
          <w:p w:rsidR="00F17389" w:rsidRPr="00E27FEE" w:rsidRDefault="00F17389" w:rsidP="00F17389">
            <w:pPr>
              <w:widowControl w:val="0"/>
              <w:spacing w:after="0"/>
              <w:jc w:val="center"/>
              <w:rPr>
                <w:rFonts w:ascii="Arial" w:hAnsi="Arial" w:cs="Arial"/>
                <w:sz w:val="16"/>
                <w:szCs w:val="16"/>
              </w:rPr>
            </w:pPr>
            <w:r w:rsidRPr="00E27FEE">
              <w:rPr>
                <w:rFonts w:ascii="Arial" w:hAnsi="Arial" w:cs="Arial"/>
                <w:sz w:val="16"/>
                <w:szCs w:val="16"/>
              </w:rPr>
              <w:t>29.2</w:t>
            </w:r>
          </w:p>
        </w:tc>
        <w:tc>
          <w:tcPr>
            <w:tcW w:w="1012" w:type="dxa"/>
            <w:tcBorders>
              <w:top w:val="double" w:sz="6" w:space="0" w:color="auto"/>
            </w:tcBorders>
            <w:vAlign w:val="bottom"/>
          </w:tcPr>
          <w:p w:rsidR="00F17389" w:rsidRPr="00E27FEE" w:rsidRDefault="00F17389" w:rsidP="00F17389">
            <w:pPr>
              <w:spacing w:after="0"/>
              <w:jc w:val="center"/>
              <w:rPr>
                <w:rFonts w:ascii="Arial" w:hAnsi="Arial" w:cs="Arial"/>
                <w:sz w:val="16"/>
                <w:szCs w:val="16"/>
              </w:rPr>
            </w:pPr>
            <w:r w:rsidRPr="00E27FEE">
              <w:rPr>
                <w:rFonts w:ascii="Arial" w:hAnsi="Arial" w:cs="Arial"/>
                <w:sz w:val="16"/>
                <w:szCs w:val="16"/>
              </w:rPr>
              <w:t>37.0</w:t>
            </w:r>
          </w:p>
        </w:tc>
        <w:tc>
          <w:tcPr>
            <w:tcW w:w="2410" w:type="dxa"/>
            <w:tcBorders>
              <w:top w:val="double" w:sz="6" w:space="0" w:color="auto"/>
              <w:right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B11</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RN007243</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9/06-9/09</w:t>
            </w:r>
          </w:p>
        </w:tc>
        <w:tc>
          <w:tcPr>
            <w:tcW w:w="971" w:type="dxa"/>
            <w:vAlign w:val="bottom"/>
          </w:tcPr>
          <w:p w:rsidR="00F17389" w:rsidRPr="00E27FEE" w:rsidRDefault="00F17389" w:rsidP="00F17389">
            <w:pPr>
              <w:spacing w:after="0"/>
              <w:jc w:val="center"/>
              <w:rPr>
                <w:rFonts w:ascii="Arial" w:hAnsi="Arial" w:cs="Arial"/>
                <w:sz w:val="16"/>
                <w:szCs w:val="16"/>
              </w:rPr>
            </w:pPr>
            <w:r w:rsidRPr="00E27FEE">
              <w:rPr>
                <w:rFonts w:ascii="Arial" w:hAnsi="Arial" w:cs="Arial"/>
                <w:sz w:val="16"/>
                <w:szCs w:val="16"/>
              </w:rPr>
              <w:t>0.0</w:t>
            </w:r>
          </w:p>
        </w:tc>
        <w:tc>
          <w:tcPr>
            <w:tcW w:w="1012" w:type="dxa"/>
            <w:vAlign w:val="bottom"/>
          </w:tcPr>
          <w:p w:rsidR="00F17389" w:rsidRPr="00E27FEE" w:rsidRDefault="00F17389" w:rsidP="00F17389">
            <w:pPr>
              <w:spacing w:after="0"/>
              <w:jc w:val="center"/>
              <w:rPr>
                <w:rFonts w:ascii="Arial" w:hAnsi="Arial" w:cs="Arial"/>
                <w:sz w:val="16"/>
                <w:szCs w:val="16"/>
              </w:rPr>
            </w:pPr>
            <w:r w:rsidRPr="00E27FEE">
              <w:rPr>
                <w:rFonts w:ascii="Arial" w:hAnsi="Arial" w:cs="Arial"/>
                <w:sz w:val="16"/>
                <w:szCs w:val="16"/>
              </w:rPr>
              <w:t>13.0</w:t>
            </w:r>
          </w:p>
        </w:tc>
        <w:tc>
          <w:tcPr>
            <w:tcW w:w="2410" w:type="dxa"/>
            <w:tcBorders>
              <w:right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RN23551</w:t>
            </w:r>
          </w:p>
        </w:tc>
        <w:tc>
          <w:tcPr>
            <w:tcW w:w="1276" w:type="dxa"/>
          </w:tcPr>
          <w:p w:rsidR="00F17389" w:rsidRPr="007A1F1E" w:rsidRDefault="00F17389" w:rsidP="00F17389">
            <w:pPr>
              <w:spacing w:after="0"/>
              <w:rPr>
                <w:rFonts w:ascii="Arial" w:hAnsi="Arial" w:cs="Arial"/>
                <w:sz w:val="16"/>
                <w:szCs w:val="16"/>
              </w:rPr>
            </w:pPr>
            <w:r>
              <w:rPr>
                <w:rFonts w:ascii="Arial" w:hAnsi="Arial" w:cs="Arial"/>
                <w:sz w:val="16"/>
                <w:szCs w:val="16"/>
              </w:rPr>
              <w:t>RN023551</w:t>
            </w:r>
          </w:p>
        </w:tc>
        <w:tc>
          <w:tcPr>
            <w:tcW w:w="1135" w:type="dxa"/>
          </w:tcPr>
          <w:p w:rsidR="00F17389" w:rsidRDefault="00F17389" w:rsidP="00F17389">
            <w:pPr>
              <w:spacing w:after="0"/>
              <w:jc w:val="center"/>
              <w:rPr>
                <w:rFonts w:ascii="Arial" w:hAnsi="Arial" w:cs="Arial"/>
                <w:sz w:val="16"/>
                <w:szCs w:val="16"/>
              </w:rPr>
            </w:pPr>
            <w:r>
              <w:rPr>
                <w:rFonts w:ascii="Arial" w:hAnsi="Arial" w:cs="Arial"/>
                <w:sz w:val="16"/>
                <w:szCs w:val="16"/>
              </w:rPr>
              <w:t>9/04-9/12</w:t>
            </w:r>
          </w:p>
        </w:tc>
        <w:tc>
          <w:tcPr>
            <w:tcW w:w="971" w:type="dxa"/>
            <w:vAlign w:val="bottom"/>
          </w:tcPr>
          <w:p w:rsidR="00F17389" w:rsidRPr="00E27FEE" w:rsidRDefault="00F17389" w:rsidP="00F17389">
            <w:pPr>
              <w:spacing w:after="0"/>
              <w:jc w:val="center"/>
              <w:rPr>
                <w:rFonts w:ascii="Arial" w:hAnsi="Arial" w:cs="Arial"/>
                <w:sz w:val="16"/>
                <w:szCs w:val="16"/>
              </w:rPr>
            </w:pPr>
            <w:r w:rsidRPr="00E27FEE">
              <w:rPr>
                <w:rFonts w:ascii="Arial" w:hAnsi="Arial" w:cs="Arial"/>
                <w:sz w:val="16"/>
                <w:szCs w:val="16"/>
              </w:rPr>
              <w:t>4.0</w:t>
            </w:r>
          </w:p>
        </w:tc>
        <w:tc>
          <w:tcPr>
            <w:tcW w:w="1012" w:type="dxa"/>
            <w:vAlign w:val="bottom"/>
          </w:tcPr>
          <w:p w:rsidR="00F17389" w:rsidRPr="00E27FEE" w:rsidRDefault="00F17389" w:rsidP="00F17389">
            <w:pPr>
              <w:spacing w:after="0"/>
              <w:jc w:val="center"/>
              <w:rPr>
                <w:rFonts w:ascii="Arial" w:hAnsi="Arial" w:cs="Arial"/>
                <w:sz w:val="16"/>
                <w:szCs w:val="16"/>
              </w:rPr>
            </w:pPr>
            <w:r w:rsidRPr="00E27FEE">
              <w:rPr>
                <w:rFonts w:ascii="Arial" w:hAnsi="Arial" w:cs="Arial"/>
                <w:sz w:val="16"/>
                <w:szCs w:val="16"/>
              </w:rPr>
              <w:t>4.5</w:t>
            </w:r>
          </w:p>
        </w:tc>
        <w:tc>
          <w:tcPr>
            <w:tcW w:w="2410" w:type="dxa"/>
            <w:tcBorders>
              <w:right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RP1N1</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RN026625</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5/03</w:t>
            </w:r>
          </w:p>
        </w:tc>
        <w:tc>
          <w:tcPr>
            <w:tcW w:w="971" w:type="dxa"/>
            <w:vAlign w:val="bottom"/>
          </w:tcPr>
          <w:p w:rsidR="00F17389" w:rsidRPr="00E27FEE" w:rsidRDefault="00F17389" w:rsidP="00F17389">
            <w:pPr>
              <w:spacing w:after="0"/>
              <w:jc w:val="center"/>
              <w:rPr>
                <w:rFonts w:ascii="Arial" w:hAnsi="Arial" w:cs="Arial"/>
                <w:sz w:val="16"/>
                <w:szCs w:val="16"/>
              </w:rPr>
            </w:pPr>
            <w:r w:rsidRPr="00E27FEE">
              <w:rPr>
                <w:rFonts w:ascii="Arial" w:hAnsi="Arial" w:cs="Arial"/>
                <w:sz w:val="16"/>
                <w:szCs w:val="16"/>
              </w:rPr>
              <w:t>1.5</w:t>
            </w:r>
          </w:p>
        </w:tc>
        <w:tc>
          <w:tcPr>
            <w:tcW w:w="1012" w:type="dxa"/>
            <w:vAlign w:val="bottom"/>
          </w:tcPr>
          <w:p w:rsidR="00F17389" w:rsidRPr="00E27FEE" w:rsidRDefault="00F17389" w:rsidP="00F17389">
            <w:pPr>
              <w:spacing w:after="0"/>
              <w:jc w:val="center"/>
              <w:rPr>
                <w:rFonts w:ascii="Arial" w:hAnsi="Arial" w:cs="Arial"/>
                <w:bCs/>
                <w:sz w:val="16"/>
                <w:szCs w:val="16"/>
              </w:rPr>
            </w:pPr>
            <w:r w:rsidRPr="00E27FEE">
              <w:rPr>
                <w:rFonts w:ascii="Arial" w:hAnsi="Arial" w:cs="Arial"/>
                <w:bCs/>
                <w:sz w:val="16"/>
                <w:szCs w:val="16"/>
              </w:rPr>
              <w:t>8.9</w:t>
            </w:r>
          </w:p>
        </w:tc>
        <w:tc>
          <w:tcPr>
            <w:tcW w:w="2410" w:type="dxa"/>
            <w:tcBorders>
              <w:right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1 sample only</w:t>
            </w:r>
          </w:p>
        </w:tc>
      </w:tr>
      <w:tr w:rsidR="00F17389" w:rsidRPr="007A1F1E" w:rsidTr="00F17389">
        <w:trPr>
          <w:trHeight w:val="262"/>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RP1N2</w:t>
            </w:r>
          </w:p>
        </w:tc>
        <w:tc>
          <w:tcPr>
            <w:tcW w:w="1276" w:type="dxa"/>
            <w:tcBorders>
              <w:bottom w:val="single" w:sz="6" w:space="0" w:color="auto"/>
            </w:tcBorders>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RN026626</w:t>
            </w:r>
          </w:p>
        </w:tc>
        <w:tc>
          <w:tcPr>
            <w:tcW w:w="1135" w:type="dxa"/>
            <w:tcBorders>
              <w:bottom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5/03</w:t>
            </w:r>
          </w:p>
        </w:tc>
        <w:tc>
          <w:tcPr>
            <w:tcW w:w="971" w:type="dxa"/>
            <w:tcBorders>
              <w:bottom w:val="single" w:sz="6" w:space="0" w:color="auto"/>
            </w:tcBorders>
            <w:vAlign w:val="bottom"/>
          </w:tcPr>
          <w:p w:rsidR="00F17389" w:rsidRPr="00E27FEE" w:rsidRDefault="00F17389" w:rsidP="00F17389">
            <w:pPr>
              <w:spacing w:after="0"/>
              <w:jc w:val="center"/>
              <w:rPr>
                <w:rFonts w:ascii="Arial" w:hAnsi="Arial" w:cs="Arial"/>
                <w:sz w:val="16"/>
                <w:szCs w:val="16"/>
              </w:rPr>
            </w:pPr>
            <w:r w:rsidRPr="00E27FEE">
              <w:rPr>
                <w:rFonts w:ascii="Arial" w:hAnsi="Arial" w:cs="Arial"/>
                <w:sz w:val="16"/>
                <w:szCs w:val="16"/>
              </w:rPr>
              <w:t>11.0</w:t>
            </w:r>
          </w:p>
        </w:tc>
        <w:tc>
          <w:tcPr>
            <w:tcW w:w="1012" w:type="dxa"/>
            <w:tcBorders>
              <w:bottom w:val="single" w:sz="6" w:space="0" w:color="auto"/>
            </w:tcBorders>
            <w:vAlign w:val="bottom"/>
          </w:tcPr>
          <w:p w:rsidR="00F17389" w:rsidRPr="00E27FEE" w:rsidRDefault="00F17389" w:rsidP="00F17389">
            <w:pPr>
              <w:spacing w:after="0"/>
              <w:jc w:val="center"/>
              <w:rPr>
                <w:rFonts w:ascii="Arial" w:hAnsi="Arial" w:cs="Arial"/>
                <w:bCs/>
                <w:sz w:val="16"/>
                <w:szCs w:val="16"/>
              </w:rPr>
            </w:pPr>
            <w:r w:rsidRPr="00E27FEE">
              <w:rPr>
                <w:rFonts w:ascii="Arial" w:hAnsi="Arial" w:cs="Arial"/>
                <w:bCs/>
                <w:sz w:val="16"/>
                <w:szCs w:val="16"/>
              </w:rPr>
              <w:t>20.0</w:t>
            </w:r>
          </w:p>
        </w:tc>
        <w:tc>
          <w:tcPr>
            <w:tcW w:w="2410" w:type="dxa"/>
            <w:tcBorders>
              <w:bottom w:val="single" w:sz="6" w:space="0" w:color="auto"/>
              <w:right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1 sample only</w:t>
            </w:r>
          </w:p>
        </w:tc>
      </w:tr>
    </w:tbl>
    <w:p w:rsidR="00F17389" w:rsidRDefault="00F17389" w:rsidP="00F17389">
      <w:pPr>
        <w:pStyle w:val="tablenote"/>
      </w:pPr>
      <w:r w:rsidRPr="005D5A59">
        <w:rPr>
          <w:snapToGrid w:val="0"/>
          <w:color w:val="000000"/>
          <w:position w:val="5"/>
          <w:sz w:val="13"/>
          <w:szCs w:val="0"/>
          <w:u w:color="000000"/>
        </w:rPr>
        <w:t>*</w:t>
      </w:r>
      <w:r>
        <w:t>: active means that the bore is still being sampled by either ERA or DME.</w:t>
      </w:r>
    </w:p>
    <w:p w:rsidR="00F17389" w:rsidRDefault="00F17389" w:rsidP="00F17389">
      <w:pPr>
        <w:pStyle w:val="Heading4"/>
      </w:pPr>
      <w:r>
        <w:br w:type="page"/>
      </w:r>
      <w:bookmarkStart w:id="61" w:name="_Toc398721684"/>
      <w:bookmarkStart w:id="62" w:name="_Toc411850514"/>
      <w:r>
        <w:t>2.1.2 Bores in the TSF north area</w:t>
      </w:r>
      <w:bookmarkEnd w:id="61"/>
      <w:bookmarkEnd w:id="62"/>
    </w:p>
    <w:p w:rsidR="00F17389" w:rsidRDefault="00F17389" w:rsidP="00F17389">
      <w:r>
        <w:t>Figure 5 shows a close up of the bores in the TSF north area. Table 5 shows the site ID and RN numbers, the fitted screen depths and some other comments regarding the bores. Bore OB44 was drilled in July 1988 as a substitute for OB26 (Martin &amp; Akber 1996).</w:t>
      </w:r>
    </w:p>
    <w:p w:rsidR="00F17389" w:rsidRDefault="00F17389" w:rsidP="00F17389">
      <w:pPr>
        <w:pStyle w:val="figurecaption"/>
      </w:pPr>
      <w:r>
        <w:rPr>
          <w:noProof/>
          <w:lang w:eastAsia="en-AU"/>
        </w:rPr>
        <w:drawing>
          <wp:inline distT="0" distB="0" distL="0" distR="0">
            <wp:extent cx="3458845" cy="4531995"/>
            <wp:effectExtent l="19050" t="0" r="8255" b="0"/>
            <wp:docPr id="5" name="Picture 7" descr="TSF_north_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F_north_bores"/>
                    <pic:cNvPicPr>
                      <a:picLocks noChangeAspect="1" noChangeArrowheads="1"/>
                    </pic:cNvPicPr>
                  </pic:nvPicPr>
                  <pic:blipFill>
                    <a:blip r:embed="rId33" cstate="email"/>
                    <a:srcRect/>
                    <a:stretch>
                      <a:fillRect/>
                    </a:stretch>
                  </pic:blipFill>
                  <pic:spPr bwMode="auto">
                    <a:xfrm>
                      <a:off x="0" y="0"/>
                      <a:ext cx="3458845" cy="4531995"/>
                    </a:xfrm>
                    <a:prstGeom prst="rect">
                      <a:avLst/>
                    </a:prstGeom>
                    <a:noFill/>
                    <a:ln w="9525">
                      <a:noFill/>
                      <a:miter lim="800000"/>
                      <a:headEnd/>
                      <a:tailEnd/>
                    </a:ln>
                  </pic:spPr>
                </pic:pic>
              </a:graphicData>
            </a:graphic>
          </wp:inline>
        </w:drawing>
      </w:r>
    </w:p>
    <w:p w:rsidR="00F17389" w:rsidRDefault="00F17389" w:rsidP="00F17389">
      <w:pPr>
        <w:pStyle w:val="figurecaption"/>
      </w:pPr>
      <w:bookmarkStart w:id="63" w:name="_Toc398721489"/>
      <w:r w:rsidRPr="00347F1E">
        <w:rPr>
          <w:b/>
        </w:rPr>
        <w:t>Figure 5</w:t>
      </w:r>
      <w:r>
        <w:t xml:space="preserve"> Bores in </w:t>
      </w:r>
      <w:r w:rsidRPr="00EC10A4">
        <w:t xml:space="preserve">the </w:t>
      </w:r>
      <w:r>
        <w:t>TSF north area.</w:t>
      </w:r>
      <w:bookmarkEnd w:id="63"/>
    </w:p>
    <w:p w:rsidR="00F17389" w:rsidRPr="009B59C0" w:rsidRDefault="00F17389" w:rsidP="00F17389">
      <w:pPr>
        <w:pStyle w:val="tablecaption"/>
      </w:pPr>
      <w:bookmarkStart w:id="64" w:name="_Toc386618577"/>
      <w:r w:rsidRPr="00347F1E">
        <w:rPr>
          <w:b/>
        </w:rPr>
        <w:t>Table 5</w:t>
      </w:r>
      <w:r>
        <w:t xml:space="preserve"> Site IDs, RN numbers, time period of data available and screen depths of bores north of TSF.</w:t>
      </w:r>
      <w:bookmarkEnd w:id="64"/>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E0345E" w:rsidTr="00F17389">
        <w:trPr>
          <w:trHeight w:val="262"/>
        </w:trPr>
        <w:tc>
          <w:tcPr>
            <w:tcW w:w="1448" w:type="dxa"/>
            <w:tcBorders>
              <w:top w:val="single" w:sz="6" w:space="0" w:color="auto"/>
              <w:left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SiteID</w:t>
            </w:r>
          </w:p>
        </w:tc>
        <w:tc>
          <w:tcPr>
            <w:tcW w:w="1276"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RN number</w:t>
            </w:r>
          </w:p>
        </w:tc>
        <w:tc>
          <w:tcPr>
            <w:tcW w:w="1135"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Data from-to</w:t>
            </w:r>
          </w:p>
        </w:tc>
        <w:tc>
          <w:tcPr>
            <w:tcW w:w="971"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Top of screen</w:t>
            </w:r>
            <w:r>
              <w:rPr>
                <w:rFonts w:ascii="Arial" w:hAnsi="Arial" w:cs="Arial"/>
                <w:b/>
                <w:bCs/>
                <w:color w:val="000000"/>
                <w:sz w:val="16"/>
                <w:szCs w:val="16"/>
                <w:lang w:val="en-US"/>
              </w:rPr>
              <w:t xml:space="preserve"> (m)</w:t>
            </w:r>
          </w:p>
        </w:tc>
        <w:tc>
          <w:tcPr>
            <w:tcW w:w="1012"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Bottom of screen</w:t>
            </w:r>
            <w:r>
              <w:rPr>
                <w:rFonts w:ascii="Arial" w:hAnsi="Arial" w:cs="Arial"/>
                <w:b/>
                <w:bCs/>
                <w:color w:val="000000"/>
                <w:sz w:val="16"/>
                <w:szCs w:val="16"/>
                <w:lang w:val="en-US"/>
              </w:rPr>
              <w:t xml:space="preserve"> (m)</w:t>
            </w:r>
          </w:p>
        </w:tc>
        <w:tc>
          <w:tcPr>
            <w:tcW w:w="2410" w:type="dxa"/>
            <w:tcBorders>
              <w:top w:val="single" w:sz="6" w:space="0" w:color="auto"/>
              <w:bottom w:val="double" w:sz="6" w:space="0" w:color="auto"/>
              <w:right w:val="sing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comments</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OB23</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RN022937</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11/89-9/12</w:t>
            </w:r>
          </w:p>
        </w:tc>
        <w:tc>
          <w:tcPr>
            <w:tcW w:w="971"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36.0</w:t>
            </w:r>
          </w:p>
        </w:tc>
        <w:tc>
          <w:tcPr>
            <w:tcW w:w="1012"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51.0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active</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OB24</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RN022938</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11/89-5/02</w:t>
            </w:r>
          </w:p>
        </w:tc>
        <w:tc>
          <w:tcPr>
            <w:tcW w:w="971"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21.5</w:t>
            </w:r>
          </w:p>
        </w:tc>
        <w:tc>
          <w:tcPr>
            <w:tcW w:w="1012"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36.2</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OB44</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RN026593</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11/89-5/02</w:t>
            </w:r>
          </w:p>
        </w:tc>
        <w:tc>
          <w:tcPr>
            <w:tcW w:w="971"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11.0</w:t>
            </w:r>
          </w:p>
        </w:tc>
        <w:tc>
          <w:tcPr>
            <w:tcW w:w="1012"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16.0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OB17A</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RN026588</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1/89-5/02</w:t>
            </w:r>
          </w:p>
        </w:tc>
        <w:tc>
          <w:tcPr>
            <w:tcW w:w="971"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23.0</w:t>
            </w:r>
          </w:p>
        </w:tc>
        <w:tc>
          <w:tcPr>
            <w:tcW w:w="1012"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41.0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Pr>
                <w:rFonts w:ascii="Arial" w:hAnsi="Arial" w:cs="Arial"/>
                <w:sz w:val="16"/>
                <w:szCs w:val="16"/>
              </w:rPr>
              <w:t>b</w:t>
            </w:r>
            <w:r w:rsidRPr="00E0345E">
              <w:rPr>
                <w:rFonts w:ascii="Arial" w:hAnsi="Arial" w:cs="Arial"/>
                <w:sz w:val="16"/>
                <w:szCs w:val="16"/>
              </w:rPr>
              <w:t>uried</w:t>
            </w:r>
            <w:r>
              <w:rPr>
                <w:rFonts w:ascii="Arial" w:hAnsi="Arial" w:cs="Arial"/>
                <w:sz w:val="16"/>
                <w:szCs w:val="16"/>
              </w:rPr>
              <w:t>*</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OB12A</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RN022923</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11/89-5/96</w:t>
            </w:r>
          </w:p>
        </w:tc>
        <w:tc>
          <w:tcPr>
            <w:tcW w:w="971"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16.0</w:t>
            </w:r>
          </w:p>
        </w:tc>
        <w:tc>
          <w:tcPr>
            <w:tcW w:w="1012"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31.0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buried</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Pr>
                <w:rFonts w:ascii="Arial" w:hAnsi="Arial" w:cs="Arial"/>
                <w:b/>
                <w:sz w:val="16"/>
                <w:szCs w:val="16"/>
              </w:rPr>
              <w:t>OB15</w:t>
            </w:r>
          </w:p>
        </w:tc>
        <w:tc>
          <w:tcPr>
            <w:tcW w:w="1276" w:type="dxa"/>
          </w:tcPr>
          <w:p w:rsidR="00F17389" w:rsidRPr="00E0345E" w:rsidRDefault="00F17389" w:rsidP="00F17389">
            <w:pPr>
              <w:spacing w:after="0"/>
              <w:rPr>
                <w:rFonts w:ascii="Arial" w:hAnsi="Arial" w:cs="Arial"/>
                <w:sz w:val="16"/>
                <w:szCs w:val="16"/>
              </w:rPr>
            </w:pPr>
            <w:r>
              <w:rPr>
                <w:rFonts w:ascii="Arial" w:hAnsi="Arial" w:cs="Arial"/>
                <w:sz w:val="16"/>
                <w:szCs w:val="16"/>
              </w:rPr>
              <w:t>RN022926</w:t>
            </w:r>
          </w:p>
        </w:tc>
        <w:tc>
          <w:tcPr>
            <w:tcW w:w="1135"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11/88-5/97</w:t>
            </w:r>
          </w:p>
        </w:tc>
        <w:tc>
          <w:tcPr>
            <w:tcW w:w="971"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10.0</w:t>
            </w:r>
          </w:p>
        </w:tc>
        <w:tc>
          <w:tcPr>
            <w:tcW w:w="1012"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25.0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buried</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OB16</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RN022927</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9/88-5/97</w:t>
            </w:r>
          </w:p>
        </w:tc>
        <w:tc>
          <w:tcPr>
            <w:tcW w:w="971"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10.0</w:t>
            </w:r>
          </w:p>
        </w:tc>
        <w:tc>
          <w:tcPr>
            <w:tcW w:w="1012"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20.0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buried</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OB13A</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RN022924</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9/88-5/98</w:t>
            </w:r>
          </w:p>
        </w:tc>
        <w:tc>
          <w:tcPr>
            <w:tcW w:w="971"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10.0</w:t>
            </w:r>
          </w:p>
        </w:tc>
        <w:tc>
          <w:tcPr>
            <w:tcW w:w="1012"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30.0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buried</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OB11A</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RN022922</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9/88-5/97</w:t>
            </w:r>
          </w:p>
        </w:tc>
        <w:tc>
          <w:tcPr>
            <w:tcW w:w="971"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11.0</w:t>
            </w:r>
          </w:p>
        </w:tc>
        <w:tc>
          <w:tcPr>
            <w:tcW w:w="1012"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23.0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buried</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OB9A</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RN022918</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11/88-3/99</w:t>
            </w:r>
          </w:p>
        </w:tc>
        <w:tc>
          <w:tcPr>
            <w:tcW w:w="971"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12.0</w:t>
            </w:r>
          </w:p>
        </w:tc>
        <w:tc>
          <w:tcPr>
            <w:tcW w:w="1012" w:type="dxa"/>
          </w:tcPr>
          <w:p w:rsidR="00F17389" w:rsidRPr="00E0345E" w:rsidRDefault="00F17389" w:rsidP="00F17389">
            <w:pPr>
              <w:spacing w:after="0"/>
              <w:jc w:val="center"/>
              <w:rPr>
                <w:rFonts w:ascii="Arial" w:hAnsi="Arial" w:cs="Arial"/>
                <w:sz w:val="16"/>
                <w:szCs w:val="16"/>
              </w:rPr>
            </w:pPr>
            <w:r>
              <w:rPr>
                <w:rFonts w:ascii="Arial" w:hAnsi="Arial" w:cs="Arial"/>
                <w:sz w:val="16"/>
                <w:szCs w:val="16"/>
              </w:rPr>
              <w:t>30.0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Pr>
                <w:rFonts w:ascii="Arial" w:hAnsi="Arial" w:cs="Arial"/>
                <w:sz w:val="16"/>
                <w:szCs w:val="16"/>
              </w:rPr>
              <w:t>probably buried</w:t>
            </w:r>
          </w:p>
        </w:tc>
      </w:tr>
      <w:tr w:rsidR="00F17389" w:rsidRPr="00E0345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OB10A</w:t>
            </w:r>
          </w:p>
        </w:tc>
        <w:tc>
          <w:tcPr>
            <w:tcW w:w="1276" w:type="dxa"/>
          </w:tcPr>
          <w:p w:rsidR="00F17389" w:rsidRPr="00E0345E" w:rsidRDefault="00F17389" w:rsidP="00F17389">
            <w:pPr>
              <w:spacing w:after="0"/>
              <w:rPr>
                <w:rFonts w:ascii="Arial" w:hAnsi="Arial" w:cs="Arial"/>
                <w:sz w:val="16"/>
                <w:szCs w:val="16"/>
              </w:rPr>
            </w:pPr>
            <w:r w:rsidRPr="00E0345E">
              <w:rPr>
                <w:rFonts w:ascii="Arial" w:hAnsi="Arial" w:cs="Arial"/>
                <w:sz w:val="16"/>
                <w:szCs w:val="16"/>
              </w:rPr>
              <w:t>RN022920</w:t>
            </w:r>
          </w:p>
        </w:tc>
        <w:tc>
          <w:tcPr>
            <w:tcW w:w="1135"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5/89-5/02</w:t>
            </w:r>
          </w:p>
        </w:tc>
        <w:tc>
          <w:tcPr>
            <w:tcW w:w="971"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12.0</w:t>
            </w:r>
          </w:p>
        </w:tc>
        <w:tc>
          <w:tcPr>
            <w:tcW w:w="1012" w:type="dxa"/>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30.0</w:t>
            </w:r>
          </w:p>
        </w:tc>
        <w:tc>
          <w:tcPr>
            <w:tcW w:w="2410" w:type="dxa"/>
            <w:tcBorders>
              <w:right w:val="single" w:sz="6" w:space="0" w:color="auto"/>
            </w:tcBorders>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buried</w:t>
            </w:r>
          </w:p>
        </w:tc>
      </w:tr>
      <w:tr w:rsidR="00F17389" w:rsidRPr="00E0345E" w:rsidTr="00F17389">
        <w:trPr>
          <w:trHeight w:val="262"/>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Pr>
                <w:rFonts w:ascii="Arial" w:hAnsi="Arial" w:cs="Arial"/>
                <w:b/>
                <w:sz w:val="16"/>
                <w:szCs w:val="16"/>
              </w:rPr>
              <w:t>OB26</w:t>
            </w:r>
          </w:p>
        </w:tc>
        <w:tc>
          <w:tcPr>
            <w:tcW w:w="1276" w:type="dxa"/>
            <w:tcBorders>
              <w:bottom w:val="single" w:sz="6" w:space="0" w:color="auto"/>
            </w:tcBorders>
          </w:tcPr>
          <w:p w:rsidR="00F17389" w:rsidRPr="00E0345E" w:rsidRDefault="00F17389" w:rsidP="00F17389">
            <w:pPr>
              <w:spacing w:after="0"/>
              <w:rPr>
                <w:rFonts w:ascii="Arial" w:hAnsi="Arial" w:cs="Arial"/>
                <w:sz w:val="16"/>
                <w:szCs w:val="16"/>
              </w:rPr>
            </w:pPr>
          </w:p>
        </w:tc>
        <w:tc>
          <w:tcPr>
            <w:tcW w:w="1135" w:type="dxa"/>
            <w:tcBorders>
              <w:bottom w:val="single" w:sz="6" w:space="0" w:color="auto"/>
            </w:tcBorders>
          </w:tcPr>
          <w:p w:rsidR="00F17389" w:rsidRPr="00E0345E" w:rsidRDefault="00F17389" w:rsidP="00F17389">
            <w:pPr>
              <w:spacing w:after="0"/>
              <w:jc w:val="center"/>
              <w:rPr>
                <w:rFonts w:ascii="Arial" w:hAnsi="Arial" w:cs="Arial"/>
                <w:sz w:val="16"/>
                <w:szCs w:val="16"/>
              </w:rPr>
            </w:pPr>
            <w:r>
              <w:rPr>
                <w:rFonts w:ascii="Arial" w:hAnsi="Arial" w:cs="Arial"/>
                <w:sz w:val="16"/>
                <w:szCs w:val="16"/>
              </w:rPr>
              <w:t>7/88-1/89</w:t>
            </w:r>
          </w:p>
        </w:tc>
        <w:tc>
          <w:tcPr>
            <w:tcW w:w="971" w:type="dxa"/>
            <w:tcBorders>
              <w:bottom w:val="single" w:sz="6" w:space="0" w:color="auto"/>
            </w:tcBorders>
          </w:tcPr>
          <w:p w:rsidR="00F17389" w:rsidRPr="00E0345E" w:rsidRDefault="00F17389" w:rsidP="00F17389">
            <w:pPr>
              <w:spacing w:after="0"/>
              <w:jc w:val="center"/>
              <w:rPr>
                <w:rFonts w:ascii="Arial" w:hAnsi="Arial" w:cs="Arial"/>
                <w:sz w:val="16"/>
                <w:szCs w:val="16"/>
              </w:rPr>
            </w:pPr>
          </w:p>
        </w:tc>
        <w:tc>
          <w:tcPr>
            <w:tcW w:w="1012" w:type="dxa"/>
            <w:tcBorders>
              <w:bottom w:val="single" w:sz="6" w:space="0" w:color="auto"/>
            </w:tcBorders>
          </w:tcPr>
          <w:p w:rsidR="00F17389" w:rsidRPr="00E0345E" w:rsidRDefault="00F17389" w:rsidP="00F17389">
            <w:pPr>
              <w:spacing w:after="0"/>
              <w:jc w:val="center"/>
              <w:rPr>
                <w:rFonts w:ascii="Arial" w:hAnsi="Arial" w:cs="Arial"/>
                <w:sz w:val="16"/>
                <w:szCs w:val="16"/>
              </w:rPr>
            </w:pPr>
            <w:r>
              <w:rPr>
                <w:rFonts w:ascii="Arial" w:hAnsi="Arial" w:cs="Arial"/>
                <w:sz w:val="16"/>
                <w:szCs w:val="16"/>
              </w:rPr>
              <w:t>61.0</w:t>
            </w:r>
          </w:p>
        </w:tc>
        <w:tc>
          <w:tcPr>
            <w:tcW w:w="2410" w:type="dxa"/>
            <w:tcBorders>
              <w:bottom w:val="single" w:sz="6" w:space="0" w:color="auto"/>
              <w:right w:val="single" w:sz="6" w:space="0" w:color="auto"/>
            </w:tcBorders>
          </w:tcPr>
          <w:p w:rsidR="00F17389" w:rsidRPr="00E0345E" w:rsidRDefault="00F17389" w:rsidP="00F17389">
            <w:pPr>
              <w:spacing w:after="0"/>
              <w:jc w:val="center"/>
              <w:rPr>
                <w:rFonts w:ascii="Arial" w:hAnsi="Arial" w:cs="Arial"/>
                <w:sz w:val="16"/>
                <w:szCs w:val="16"/>
              </w:rPr>
            </w:pPr>
            <w:r w:rsidRPr="00E0345E">
              <w:rPr>
                <w:rFonts w:ascii="Arial" w:hAnsi="Arial" w:cs="Arial"/>
                <w:sz w:val="16"/>
                <w:szCs w:val="16"/>
              </w:rPr>
              <w:t>buried</w:t>
            </w:r>
          </w:p>
        </w:tc>
      </w:tr>
    </w:tbl>
    <w:p w:rsidR="00F17389" w:rsidRDefault="00F17389" w:rsidP="00F17389">
      <w:pPr>
        <w:pStyle w:val="tablenote"/>
      </w:pPr>
      <w:r>
        <w:t>*: buried means that the bore has been buried by infrastructure on site and no longer exists</w:t>
      </w:r>
    </w:p>
    <w:p w:rsidR="00F17389" w:rsidRDefault="00F17389" w:rsidP="00F17389">
      <w:pPr>
        <w:pStyle w:val="Heading4"/>
      </w:pPr>
      <w:bookmarkStart w:id="65" w:name="_Toc398721685"/>
      <w:bookmarkStart w:id="66" w:name="_Toc411850515"/>
      <w:r>
        <w:t>2.1.3 Bores to the north</w:t>
      </w:r>
      <w:r w:rsidR="00A720D3">
        <w:t>-</w:t>
      </w:r>
      <w:r>
        <w:t>west of TSF and the Gulungul catchment</w:t>
      </w:r>
      <w:bookmarkEnd w:id="65"/>
      <w:bookmarkEnd w:id="66"/>
    </w:p>
    <w:p w:rsidR="00F17389" w:rsidRDefault="00F17389" w:rsidP="00F17389">
      <w:r>
        <w:t>Figure 6 shows a close up of the bores to the north</w:t>
      </w:r>
      <w:r w:rsidR="00A720D3">
        <w:t>-</w:t>
      </w:r>
      <w:r>
        <w:t>west of TSF and the Gulungul catchment. Table 6 shows the site ID and RN numbers and the fitted screen depths and some other comments regarding the bores.</w:t>
      </w:r>
    </w:p>
    <w:p w:rsidR="00F17389" w:rsidRPr="00347F1E" w:rsidRDefault="00F17389" w:rsidP="00F17389">
      <w:pPr>
        <w:pStyle w:val="figurecaption"/>
        <w:rPr>
          <w:b/>
        </w:rPr>
      </w:pPr>
      <w:r>
        <w:rPr>
          <w:b/>
          <w:noProof/>
          <w:lang w:eastAsia="en-AU"/>
        </w:rPr>
        <w:drawing>
          <wp:inline distT="0" distB="0" distL="0" distR="0">
            <wp:extent cx="3768725" cy="4977765"/>
            <wp:effectExtent l="19050" t="0" r="3175" b="0"/>
            <wp:docPr id="8" name="Picture 8" descr="Gulungul_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lungul_bores"/>
                    <pic:cNvPicPr>
                      <a:picLocks noChangeAspect="1" noChangeArrowheads="1"/>
                    </pic:cNvPicPr>
                  </pic:nvPicPr>
                  <pic:blipFill>
                    <a:blip r:embed="rId34" cstate="email"/>
                    <a:srcRect/>
                    <a:stretch>
                      <a:fillRect/>
                    </a:stretch>
                  </pic:blipFill>
                  <pic:spPr bwMode="auto">
                    <a:xfrm>
                      <a:off x="0" y="0"/>
                      <a:ext cx="3768725" cy="4977765"/>
                    </a:xfrm>
                    <a:prstGeom prst="rect">
                      <a:avLst/>
                    </a:prstGeom>
                    <a:noFill/>
                    <a:ln w="9525">
                      <a:noFill/>
                      <a:miter lim="800000"/>
                      <a:headEnd/>
                      <a:tailEnd/>
                    </a:ln>
                  </pic:spPr>
                </pic:pic>
              </a:graphicData>
            </a:graphic>
          </wp:inline>
        </w:drawing>
      </w:r>
    </w:p>
    <w:p w:rsidR="00F17389" w:rsidRDefault="00F17389" w:rsidP="00F17389">
      <w:pPr>
        <w:pStyle w:val="figurecaption"/>
      </w:pPr>
      <w:bookmarkStart w:id="67" w:name="_Toc398721490"/>
      <w:r w:rsidRPr="00347F1E">
        <w:rPr>
          <w:b/>
        </w:rPr>
        <w:t>Figure 6</w:t>
      </w:r>
      <w:r>
        <w:t xml:space="preserve"> Bores to the north</w:t>
      </w:r>
      <w:r w:rsidR="00A720D3">
        <w:t>-</w:t>
      </w:r>
      <w:r>
        <w:t>west of TSF and the Gulungul catchment.</w:t>
      </w:r>
      <w:bookmarkEnd w:id="67"/>
    </w:p>
    <w:p w:rsidR="00F17389" w:rsidRPr="009B59C0" w:rsidRDefault="00F17389" w:rsidP="00F17389">
      <w:pPr>
        <w:pStyle w:val="tablecaption"/>
      </w:pPr>
      <w:bookmarkStart w:id="68" w:name="_Toc386618578"/>
      <w:r w:rsidRPr="00347F1E">
        <w:rPr>
          <w:b/>
        </w:rPr>
        <w:t>Table 6</w:t>
      </w:r>
      <w:r>
        <w:t xml:space="preserve"> Site IDs, RN numbers, time period of data available and screen depths of bores to the north</w:t>
      </w:r>
      <w:r w:rsidR="00A720D3">
        <w:t>-</w:t>
      </w:r>
      <w:r>
        <w:t>west of TSF and the Gulungul catchment.</w:t>
      </w:r>
      <w:bookmarkEnd w:id="68"/>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9B59C0" w:rsidTr="00F17389">
        <w:trPr>
          <w:trHeight w:val="262"/>
        </w:trPr>
        <w:tc>
          <w:tcPr>
            <w:tcW w:w="1448" w:type="dxa"/>
            <w:tcBorders>
              <w:top w:val="single" w:sz="6" w:space="0" w:color="auto"/>
              <w:left w:val="single" w:sz="6" w:space="0" w:color="auto"/>
              <w:bottom w:val="double" w:sz="6" w:space="0" w:color="auto"/>
            </w:tcBorders>
          </w:tcPr>
          <w:p w:rsidR="00F17389" w:rsidRPr="009B59C0" w:rsidRDefault="00F17389" w:rsidP="00F17389">
            <w:pPr>
              <w:spacing w:after="0"/>
              <w:jc w:val="center"/>
              <w:rPr>
                <w:rFonts w:ascii="Arial" w:hAnsi="Arial" w:cs="Arial"/>
                <w:b/>
                <w:bCs/>
                <w:sz w:val="16"/>
                <w:szCs w:val="16"/>
                <w:lang w:val="en-US"/>
              </w:rPr>
            </w:pPr>
            <w:r w:rsidRPr="009B59C0">
              <w:rPr>
                <w:rFonts w:ascii="Arial" w:hAnsi="Arial" w:cs="Arial"/>
                <w:b/>
                <w:bCs/>
                <w:sz w:val="16"/>
                <w:szCs w:val="16"/>
                <w:lang w:val="en-US"/>
              </w:rPr>
              <w:t>SiteID</w:t>
            </w:r>
          </w:p>
        </w:tc>
        <w:tc>
          <w:tcPr>
            <w:tcW w:w="1276" w:type="dxa"/>
            <w:tcBorders>
              <w:top w:val="single" w:sz="6" w:space="0" w:color="auto"/>
              <w:bottom w:val="double" w:sz="6" w:space="0" w:color="auto"/>
            </w:tcBorders>
          </w:tcPr>
          <w:p w:rsidR="00F17389" w:rsidRPr="009B59C0" w:rsidRDefault="00F17389" w:rsidP="00F17389">
            <w:pPr>
              <w:spacing w:after="0"/>
              <w:jc w:val="center"/>
              <w:rPr>
                <w:rFonts w:ascii="Arial" w:hAnsi="Arial" w:cs="Arial"/>
                <w:b/>
                <w:bCs/>
                <w:sz w:val="16"/>
                <w:szCs w:val="16"/>
                <w:lang w:val="en-US"/>
              </w:rPr>
            </w:pPr>
            <w:r w:rsidRPr="009B59C0">
              <w:rPr>
                <w:rFonts w:ascii="Arial" w:hAnsi="Arial" w:cs="Arial"/>
                <w:b/>
                <w:bCs/>
                <w:sz w:val="16"/>
                <w:szCs w:val="16"/>
                <w:lang w:val="en-US"/>
              </w:rPr>
              <w:t>RN number</w:t>
            </w:r>
          </w:p>
        </w:tc>
        <w:tc>
          <w:tcPr>
            <w:tcW w:w="1135" w:type="dxa"/>
            <w:tcBorders>
              <w:top w:val="single" w:sz="6" w:space="0" w:color="auto"/>
              <w:bottom w:val="double" w:sz="6" w:space="0" w:color="auto"/>
            </w:tcBorders>
          </w:tcPr>
          <w:p w:rsidR="00F17389" w:rsidRPr="009B59C0" w:rsidRDefault="00F17389" w:rsidP="00F17389">
            <w:pPr>
              <w:spacing w:after="0"/>
              <w:jc w:val="center"/>
              <w:rPr>
                <w:rFonts w:ascii="Arial" w:hAnsi="Arial" w:cs="Arial"/>
                <w:b/>
                <w:bCs/>
                <w:sz w:val="16"/>
                <w:szCs w:val="16"/>
                <w:lang w:val="en-US"/>
              </w:rPr>
            </w:pPr>
            <w:r w:rsidRPr="009B59C0">
              <w:rPr>
                <w:rFonts w:ascii="Arial" w:hAnsi="Arial" w:cs="Arial"/>
                <w:b/>
                <w:bCs/>
                <w:sz w:val="16"/>
                <w:szCs w:val="16"/>
                <w:lang w:val="en-US"/>
              </w:rPr>
              <w:t>Data from-to</w:t>
            </w:r>
          </w:p>
        </w:tc>
        <w:tc>
          <w:tcPr>
            <w:tcW w:w="971" w:type="dxa"/>
            <w:tcBorders>
              <w:top w:val="single" w:sz="6" w:space="0" w:color="auto"/>
              <w:bottom w:val="double" w:sz="6" w:space="0" w:color="auto"/>
            </w:tcBorders>
          </w:tcPr>
          <w:p w:rsidR="00F17389" w:rsidRPr="009B59C0" w:rsidRDefault="00F17389" w:rsidP="00F17389">
            <w:pPr>
              <w:spacing w:after="0"/>
              <w:jc w:val="center"/>
              <w:rPr>
                <w:rFonts w:ascii="Arial" w:hAnsi="Arial" w:cs="Arial"/>
                <w:b/>
                <w:bCs/>
                <w:sz w:val="16"/>
                <w:szCs w:val="16"/>
                <w:lang w:val="en-US"/>
              </w:rPr>
            </w:pPr>
            <w:r w:rsidRPr="009B59C0">
              <w:rPr>
                <w:rFonts w:ascii="Arial" w:hAnsi="Arial" w:cs="Arial"/>
                <w:b/>
                <w:bCs/>
                <w:sz w:val="16"/>
                <w:szCs w:val="16"/>
                <w:lang w:val="en-US"/>
              </w:rPr>
              <w:t>Top of screen</w:t>
            </w:r>
            <w:r>
              <w:rPr>
                <w:rFonts w:ascii="Arial" w:hAnsi="Arial" w:cs="Arial"/>
                <w:b/>
                <w:bCs/>
                <w:sz w:val="16"/>
                <w:szCs w:val="16"/>
                <w:lang w:val="en-US"/>
              </w:rPr>
              <w:t xml:space="preserve"> [m]</w:t>
            </w:r>
          </w:p>
        </w:tc>
        <w:tc>
          <w:tcPr>
            <w:tcW w:w="1012" w:type="dxa"/>
            <w:tcBorders>
              <w:top w:val="single" w:sz="6" w:space="0" w:color="auto"/>
              <w:bottom w:val="double" w:sz="6" w:space="0" w:color="auto"/>
            </w:tcBorders>
          </w:tcPr>
          <w:p w:rsidR="00F17389" w:rsidRPr="009B59C0" w:rsidRDefault="00F17389" w:rsidP="00F17389">
            <w:pPr>
              <w:spacing w:after="0"/>
              <w:jc w:val="center"/>
              <w:rPr>
                <w:rFonts w:ascii="Arial" w:hAnsi="Arial" w:cs="Arial"/>
                <w:b/>
                <w:bCs/>
                <w:sz w:val="16"/>
                <w:szCs w:val="16"/>
                <w:lang w:val="en-US"/>
              </w:rPr>
            </w:pPr>
            <w:r w:rsidRPr="009B59C0">
              <w:rPr>
                <w:rFonts w:ascii="Arial" w:hAnsi="Arial" w:cs="Arial"/>
                <w:b/>
                <w:bCs/>
                <w:sz w:val="16"/>
                <w:szCs w:val="16"/>
                <w:lang w:val="en-US"/>
              </w:rPr>
              <w:t>Bottom of screen</w:t>
            </w:r>
            <w:r>
              <w:rPr>
                <w:rFonts w:ascii="Arial" w:hAnsi="Arial" w:cs="Arial"/>
                <w:b/>
                <w:bCs/>
                <w:sz w:val="16"/>
                <w:szCs w:val="16"/>
                <w:lang w:val="en-US"/>
              </w:rPr>
              <w:t xml:space="preserve"> [m]</w:t>
            </w:r>
          </w:p>
        </w:tc>
        <w:tc>
          <w:tcPr>
            <w:tcW w:w="2410" w:type="dxa"/>
            <w:tcBorders>
              <w:top w:val="single" w:sz="6" w:space="0" w:color="auto"/>
              <w:bottom w:val="double" w:sz="6" w:space="0" w:color="auto"/>
              <w:right w:val="single" w:sz="6" w:space="0" w:color="auto"/>
            </w:tcBorders>
          </w:tcPr>
          <w:p w:rsidR="00F17389" w:rsidRPr="009B59C0" w:rsidRDefault="00F17389" w:rsidP="00F17389">
            <w:pPr>
              <w:spacing w:after="0"/>
              <w:jc w:val="center"/>
              <w:rPr>
                <w:rFonts w:ascii="Arial" w:hAnsi="Arial" w:cs="Arial"/>
                <w:b/>
                <w:bCs/>
                <w:sz w:val="16"/>
                <w:szCs w:val="16"/>
                <w:lang w:val="en-US"/>
              </w:rPr>
            </w:pPr>
            <w:r w:rsidRPr="009B59C0">
              <w:rPr>
                <w:rFonts w:ascii="Arial" w:hAnsi="Arial" w:cs="Arial"/>
                <w:b/>
                <w:bCs/>
                <w:sz w:val="16"/>
                <w:szCs w:val="16"/>
                <w:lang w:val="en-US"/>
              </w:rPr>
              <w:t>comments</w:t>
            </w:r>
          </w:p>
        </w:tc>
      </w:tr>
      <w:tr w:rsidR="00F17389" w:rsidRPr="009B59C0"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RN23556</w:t>
            </w:r>
          </w:p>
        </w:tc>
        <w:tc>
          <w:tcPr>
            <w:tcW w:w="1276" w:type="dxa"/>
          </w:tcPr>
          <w:p w:rsidR="00F17389" w:rsidRPr="009B59C0" w:rsidRDefault="00F17389" w:rsidP="00F17389">
            <w:pPr>
              <w:spacing w:after="0"/>
              <w:rPr>
                <w:rFonts w:ascii="Arial" w:hAnsi="Arial" w:cs="Arial"/>
                <w:sz w:val="16"/>
                <w:szCs w:val="16"/>
              </w:rPr>
            </w:pPr>
            <w:r w:rsidRPr="009B59C0">
              <w:rPr>
                <w:rFonts w:ascii="Arial" w:hAnsi="Arial" w:cs="Arial"/>
                <w:sz w:val="16"/>
                <w:szCs w:val="16"/>
              </w:rPr>
              <w:t>RN023556</w:t>
            </w:r>
          </w:p>
        </w:tc>
        <w:tc>
          <w:tcPr>
            <w:tcW w:w="1135" w:type="dxa"/>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3/12</w:t>
            </w:r>
          </w:p>
        </w:tc>
        <w:tc>
          <w:tcPr>
            <w:tcW w:w="971"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4.1</w:t>
            </w:r>
          </w:p>
        </w:tc>
        <w:tc>
          <w:tcPr>
            <w:tcW w:w="1012"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5.1</w:t>
            </w:r>
          </w:p>
        </w:tc>
        <w:tc>
          <w:tcPr>
            <w:tcW w:w="2410" w:type="dxa"/>
            <w:tcBorders>
              <w:right w:val="single" w:sz="6" w:space="0" w:color="auto"/>
            </w:tcBorders>
            <w:vAlign w:val="bottom"/>
          </w:tcPr>
          <w:p w:rsidR="00F17389" w:rsidRPr="009B59C0"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9B59C0"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OB1A</w:t>
            </w:r>
          </w:p>
        </w:tc>
        <w:tc>
          <w:tcPr>
            <w:tcW w:w="1276" w:type="dxa"/>
          </w:tcPr>
          <w:p w:rsidR="00F17389" w:rsidRPr="009B59C0" w:rsidRDefault="00F17389" w:rsidP="00F17389">
            <w:pPr>
              <w:spacing w:after="0"/>
              <w:rPr>
                <w:rFonts w:ascii="Arial" w:hAnsi="Arial" w:cs="Arial"/>
                <w:sz w:val="16"/>
                <w:szCs w:val="16"/>
              </w:rPr>
            </w:pPr>
            <w:r w:rsidRPr="009B59C0">
              <w:rPr>
                <w:rFonts w:ascii="Arial" w:hAnsi="Arial" w:cs="Arial"/>
                <w:sz w:val="16"/>
                <w:szCs w:val="16"/>
              </w:rPr>
              <w:t>RN022902</w:t>
            </w:r>
          </w:p>
        </w:tc>
        <w:tc>
          <w:tcPr>
            <w:tcW w:w="1135" w:type="dxa"/>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11/89-9/12</w:t>
            </w:r>
          </w:p>
        </w:tc>
        <w:tc>
          <w:tcPr>
            <w:tcW w:w="971"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16.0</w:t>
            </w:r>
          </w:p>
        </w:tc>
        <w:tc>
          <w:tcPr>
            <w:tcW w:w="1012"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31.0</w:t>
            </w:r>
          </w:p>
        </w:tc>
        <w:tc>
          <w:tcPr>
            <w:tcW w:w="2410" w:type="dxa"/>
            <w:tcBorders>
              <w:right w:val="single" w:sz="6" w:space="0" w:color="auto"/>
            </w:tcBorders>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buried</w:t>
            </w:r>
          </w:p>
        </w:tc>
      </w:tr>
      <w:tr w:rsidR="00F17389" w:rsidRPr="009B59C0"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OB2A</w:t>
            </w:r>
          </w:p>
        </w:tc>
        <w:tc>
          <w:tcPr>
            <w:tcW w:w="1276" w:type="dxa"/>
          </w:tcPr>
          <w:p w:rsidR="00F17389" w:rsidRPr="009B59C0" w:rsidRDefault="00F17389" w:rsidP="00F17389">
            <w:pPr>
              <w:spacing w:after="0"/>
              <w:rPr>
                <w:rFonts w:ascii="Arial" w:hAnsi="Arial" w:cs="Arial"/>
                <w:sz w:val="16"/>
                <w:szCs w:val="16"/>
              </w:rPr>
            </w:pPr>
            <w:r w:rsidRPr="009B59C0">
              <w:rPr>
                <w:rFonts w:ascii="Arial" w:hAnsi="Arial" w:cs="Arial"/>
                <w:sz w:val="16"/>
                <w:szCs w:val="16"/>
              </w:rPr>
              <w:t>RN022904</w:t>
            </w:r>
          </w:p>
        </w:tc>
        <w:tc>
          <w:tcPr>
            <w:tcW w:w="1135" w:type="dxa"/>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11/89-5/02</w:t>
            </w:r>
          </w:p>
        </w:tc>
        <w:tc>
          <w:tcPr>
            <w:tcW w:w="971"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15.0</w:t>
            </w:r>
          </w:p>
        </w:tc>
        <w:tc>
          <w:tcPr>
            <w:tcW w:w="1012"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30.0</w:t>
            </w:r>
          </w:p>
        </w:tc>
        <w:tc>
          <w:tcPr>
            <w:tcW w:w="2410" w:type="dxa"/>
            <w:tcBorders>
              <w:right w:val="single" w:sz="6" w:space="0" w:color="auto"/>
            </w:tcBorders>
            <w:vAlign w:val="bottom"/>
          </w:tcPr>
          <w:p w:rsidR="00F17389" w:rsidRPr="009B59C0" w:rsidRDefault="00F17389" w:rsidP="00F17389">
            <w:pPr>
              <w:spacing w:after="0"/>
              <w:jc w:val="center"/>
              <w:rPr>
                <w:rFonts w:ascii="Arial" w:hAnsi="Arial" w:cs="Arial"/>
                <w:sz w:val="16"/>
                <w:szCs w:val="16"/>
              </w:rPr>
            </w:pPr>
          </w:p>
        </w:tc>
      </w:tr>
      <w:tr w:rsidR="00F17389" w:rsidRPr="009B59C0"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RN23566</w:t>
            </w:r>
          </w:p>
        </w:tc>
        <w:tc>
          <w:tcPr>
            <w:tcW w:w="1276" w:type="dxa"/>
          </w:tcPr>
          <w:p w:rsidR="00F17389" w:rsidRPr="009B59C0" w:rsidRDefault="00F17389" w:rsidP="00F17389">
            <w:pPr>
              <w:spacing w:after="0"/>
              <w:rPr>
                <w:rFonts w:ascii="Arial" w:hAnsi="Arial" w:cs="Arial"/>
                <w:sz w:val="16"/>
                <w:szCs w:val="16"/>
              </w:rPr>
            </w:pPr>
            <w:r w:rsidRPr="009B59C0">
              <w:rPr>
                <w:rFonts w:ascii="Arial" w:hAnsi="Arial" w:cs="Arial"/>
                <w:sz w:val="16"/>
                <w:szCs w:val="16"/>
              </w:rPr>
              <w:t>RN023566</w:t>
            </w:r>
          </w:p>
        </w:tc>
        <w:tc>
          <w:tcPr>
            <w:tcW w:w="1135" w:type="dxa"/>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10/10-3/12</w:t>
            </w:r>
          </w:p>
        </w:tc>
        <w:tc>
          <w:tcPr>
            <w:tcW w:w="971"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4.0</w:t>
            </w:r>
          </w:p>
        </w:tc>
        <w:tc>
          <w:tcPr>
            <w:tcW w:w="1012"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5.5</w:t>
            </w:r>
          </w:p>
        </w:tc>
        <w:tc>
          <w:tcPr>
            <w:tcW w:w="2410" w:type="dxa"/>
            <w:tcBorders>
              <w:right w:val="single" w:sz="6" w:space="0" w:color="auto"/>
            </w:tcBorders>
            <w:vAlign w:val="bottom"/>
          </w:tcPr>
          <w:p w:rsidR="00F17389" w:rsidRPr="009B59C0"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9B59C0"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79/2 Ranger</w:t>
            </w:r>
          </w:p>
        </w:tc>
        <w:tc>
          <w:tcPr>
            <w:tcW w:w="1276" w:type="dxa"/>
          </w:tcPr>
          <w:p w:rsidR="00F17389" w:rsidRPr="009B59C0" w:rsidRDefault="00F17389" w:rsidP="00F17389">
            <w:pPr>
              <w:spacing w:after="0"/>
              <w:rPr>
                <w:rFonts w:ascii="Arial" w:hAnsi="Arial" w:cs="Arial"/>
                <w:sz w:val="16"/>
                <w:szCs w:val="16"/>
              </w:rPr>
            </w:pPr>
            <w:r w:rsidRPr="009B59C0">
              <w:rPr>
                <w:rFonts w:ascii="Arial" w:hAnsi="Arial" w:cs="Arial"/>
                <w:sz w:val="16"/>
                <w:szCs w:val="16"/>
              </w:rPr>
              <w:t>RN009329</w:t>
            </w:r>
          </w:p>
        </w:tc>
        <w:tc>
          <w:tcPr>
            <w:tcW w:w="1135" w:type="dxa"/>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9/03-9/12</w:t>
            </w:r>
          </w:p>
        </w:tc>
        <w:tc>
          <w:tcPr>
            <w:tcW w:w="971"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17.1</w:t>
            </w:r>
          </w:p>
        </w:tc>
        <w:tc>
          <w:tcPr>
            <w:tcW w:w="1012"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19.0</w:t>
            </w:r>
          </w:p>
        </w:tc>
        <w:tc>
          <w:tcPr>
            <w:tcW w:w="2410" w:type="dxa"/>
            <w:tcBorders>
              <w:right w:val="single" w:sz="6" w:space="0" w:color="auto"/>
            </w:tcBorders>
            <w:vAlign w:val="bottom"/>
          </w:tcPr>
          <w:p w:rsidR="00F17389" w:rsidRPr="009B59C0"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9B59C0"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Pr>
                <w:rFonts w:ascii="Arial" w:hAnsi="Arial" w:cs="Arial"/>
                <w:b/>
                <w:sz w:val="16"/>
                <w:szCs w:val="16"/>
              </w:rPr>
              <w:t>OB112_Deep</w:t>
            </w:r>
          </w:p>
        </w:tc>
        <w:tc>
          <w:tcPr>
            <w:tcW w:w="1276" w:type="dxa"/>
          </w:tcPr>
          <w:p w:rsidR="00F17389" w:rsidRPr="009B59C0" w:rsidRDefault="00F17389" w:rsidP="00F17389">
            <w:pPr>
              <w:spacing w:after="0"/>
              <w:rPr>
                <w:rFonts w:ascii="Arial" w:hAnsi="Arial" w:cs="Arial"/>
                <w:sz w:val="16"/>
                <w:szCs w:val="16"/>
              </w:rPr>
            </w:pPr>
            <w:r w:rsidRPr="009B59C0">
              <w:rPr>
                <w:rFonts w:ascii="Arial" w:hAnsi="Arial" w:cs="Arial"/>
                <w:sz w:val="16"/>
                <w:szCs w:val="16"/>
              </w:rPr>
              <w:t>OB112_DEEP</w:t>
            </w:r>
          </w:p>
        </w:tc>
        <w:tc>
          <w:tcPr>
            <w:tcW w:w="1135" w:type="dxa"/>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3/12</w:t>
            </w:r>
          </w:p>
        </w:tc>
        <w:tc>
          <w:tcPr>
            <w:tcW w:w="971"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14.0</w:t>
            </w:r>
          </w:p>
        </w:tc>
        <w:tc>
          <w:tcPr>
            <w:tcW w:w="1012" w:type="dxa"/>
            <w:vAlign w:val="bottom"/>
          </w:tcPr>
          <w:p w:rsidR="00F17389" w:rsidRPr="007B5B84" w:rsidRDefault="00F17389" w:rsidP="00F17389">
            <w:pPr>
              <w:spacing w:after="0"/>
              <w:jc w:val="center"/>
              <w:rPr>
                <w:rFonts w:ascii="Arial" w:hAnsi="Arial" w:cs="Arial"/>
                <w:bCs/>
                <w:sz w:val="16"/>
                <w:szCs w:val="16"/>
              </w:rPr>
            </w:pPr>
            <w:r w:rsidRPr="007B5B84">
              <w:rPr>
                <w:rFonts w:ascii="Arial" w:hAnsi="Arial" w:cs="Arial"/>
                <w:bCs/>
                <w:sz w:val="16"/>
                <w:szCs w:val="16"/>
              </w:rPr>
              <w:t>20.0</w:t>
            </w:r>
          </w:p>
        </w:tc>
        <w:tc>
          <w:tcPr>
            <w:tcW w:w="2410" w:type="dxa"/>
            <w:tcBorders>
              <w:right w:val="single" w:sz="6" w:space="0" w:color="auto"/>
            </w:tcBorders>
            <w:vAlign w:val="bottom"/>
          </w:tcPr>
          <w:p w:rsidR="00F17389" w:rsidRPr="009B59C0" w:rsidRDefault="00F17389" w:rsidP="00F17389">
            <w:pPr>
              <w:spacing w:after="0"/>
              <w:jc w:val="center"/>
              <w:rPr>
                <w:rFonts w:ascii="Arial" w:hAnsi="Arial" w:cs="Arial"/>
                <w:b/>
                <w:bCs/>
                <w:sz w:val="16"/>
                <w:szCs w:val="16"/>
              </w:rPr>
            </w:pPr>
            <w:r>
              <w:rPr>
                <w:rFonts w:ascii="Arial" w:hAnsi="Arial" w:cs="Arial"/>
                <w:sz w:val="16"/>
                <w:szCs w:val="16"/>
              </w:rPr>
              <w:t>active</w:t>
            </w:r>
          </w:p>
        </w:tc>
      </w:tr>
      <w:tr w:rsidR="00F17389" w:rsidRPr="009B59C0"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OB116_Deep</w:t>
            </w:r>
          </w:p>
        </w:tc>
        <w:tc>
          <w:tcPr>
            <w:tcW w:w="1276" w:type="dxa"/>
          </w:tcPr>
          <w:p w:rsidR="00F17389" w:rsidRPr="009B59C0" w:rsidRDefault="00F17389" w:rsidP="00F17389">
            <w:pPr>
              <w:spacing w:after="0"/>
              <w:rPr>
                <w:rFonts w:ascii="Arial" w:hAnsi="Arial" w:cs="Arial"/>
                <w:sz w:val="16"/>
                <w:szCs w:val="16"/>
              </w:rPr>
            </w:pPr>
            <w:r w:rsidRPr="009B59C0">
              <w:rPr>
                <w:rFonts w:ascii="Arial" w:hAnsi="Arial" w:cs="Arial"/>
                <w:sz w:val="16"/>
                <w:szCs w:val="16"/>
              </w:rPr>
              <w:t>OB116_DEEP</w:t>
            </w:r>
          </w:p>
        </w:tc>
        <w:tc>
          <w:tcPr>
            <w:tcW w:w="1135" w:type="dxa"/>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10/10-3/12</w:t>
            </w:r>
          </w:p>
        </w:tc>
        <w:tc>
          <w:tcPr>
            <w:tcW w:w="971"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14.0</w:t>
            </w:r>
          </w:p>
        </w:tc>
        <w:tc>
          <w:tcPr>
            <w:tcW w:w="1012" w:type="dxa"/>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19.9</w:t>
            </w:r>
          </w:p>
        </w:tc>
        <w:tc>
          <w:tcPr>
            <w:tcW w:w="2410" w:type="dxa"/>
            <w:tcBorders>
              <w:right w:val="single" w:sz="6" w:space="0" w:color="auto"/>
            </w:tcBorders>
            <w:vAlign w:val="bottom"/>
          </w:tcPr>
          <w:p w:rsidR="00F17389" w:rsidRPr="009B59C0"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9B59C0" w:rsidTr="00F17389">
        <w:trPr>
          <w:trHeight w:val="262"/>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OB116_Shallow</w:t>
            </w:r>
          </w:p>
        </w:tc>
        <w:tc>
          <w:tcPr>
            <w:tcW w:w="1276" w:type="dxa"/>
            <w:tcBorders>
              <w:bottom w:val="single" w:sz="6" w:space="0" w:color="auto"/>
            </w:tcBorders>
          </w:tcPr>
          <w:p w:rsidR="00F17389" w:rsidRPr="009B59C0" w:rsidRDefault="00F17389" w:rsidP="00F17389">
            <w:pPr>
              <w:spacing w:after="0"/>
              <w:rPr>
                <w:rFonts w:ascii="Arial" w:hAnsi="Arial" w:cs="Arial"/>
                <w:sz w:val="16"/>
                <w:szCs w:val="16"/>
              </w:rPr>
            </w:pPr>
          </w:p>
        </w:tc>
        <w:tc>
          <w:tcPr>
            <w:tcW w:w="1135" w:type="dxa"/>
            <w:tcBorders>
              <w:bottom w:val="single" w:sz="6" w:space="0" w:color="auto"/>
            </w:tcBorders>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3/12</w:t>
            </w:r>
          </w:p>
        </w:tc>
        <w:tc>
          <w:tcPr>
            <w:tcW w:w="971" w:type="dxa"/>
            <w:tcBorders>
              <w:bottom w:val="single" w:sz="6" w:space="0" w:color="auto"/>
            </w:tcBorders>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0.0</w:t>
            </w:r>
          </w:p>
        </w:tc>
        <w:tc>
          <w:tcPr>
            <w:tcW w:w="1012" w:type="dxa"/>
            <w:tcBorders>
              <w:bottom w:val="single" w:sz="6" w:space="0" w:color="auto"/>
            </w:tcBorders>
            <w:vAlign w:val="bottom"/>
          </w:tcPr>
          <w:p w:rsidR="00F17389" w:rsidRPr="009B59C0" w:rsidRDefault="00F17389" w:rsidP="00F17389">
            <w:pPr>
              <w:spacing w:after="0"/>
              <w:jc w:val="center"/>
              <w:rPr>
                <w:rFonts w:ascii="Arial" w:hAnsi="Arial" w:cs="Arial"/>
                <w:sz w:val="16"/>
                <w:szCs w:val="16"/>
              </w:rPr>
            </w:pPr>
            <w:r w:rsidRPr="009B59C0">
              <w:rPr>
                <w:rFonts w:ascii="Arial" w:hAnsi="Arial" w:cs="Arial"/>
                <w:sz w:val="16"/>
                <w:szCs w:val="16"/>
              </w:rPr>
              <w:t>5.0</w:t>
            </w:r>
          </w:p>
        </w:tc>
        <w:tc>
          <w:tcPr>
            <w:tcW w:w="2410" w:type="dxa"/>
            <w:tcBorders>
              <w:bottom w:val="single" w:sz="6" w:space="0" w:color="auto"/>
              <w:right w:val="single" w:sz="6" w:space="0" w:color="auto"/>
            </w:tcBorders>
            <w:vAlign w:val="bottom"/>
          </w:tcPr>
          <w:p w:rsidR="00F17389" w:rsidRPr="009B59C0" w:rsidRDefault="00F17389" w:rsidP="00F17389">
            <w:pPr>
              <w:spacing w:after="0"/>
              <w:jc w:val="center"/>
              <w:rPr>
                <w:rFonts w:ascii="Arial" w:hAnsi="Arial" w:cs="Arial"/>
                <w:sz w:val="16"/>
                <w:szCs w:val="16"/>
              </w:rPr>
            </w:pPr>
            <w:r>
              <w:rPr>
                <w:rFonts w:ascii="Arial" w:hAnsi="Arial" w:cs="Arial"/>
                <w:sz w:val="16"/>
                <w:szCs w:val="16"/>
              </w:rPr>
              <w:t>active</w:t>
            </w:r>
          </w:p>
        </w:tc>
      </w:tr>
    </w:tbl>
    <w:p w:rsidR="00F17389" w:rsidRDefault="00F17389" w:rsidP="00F17389">
      <w:pPr>
        <w:pStyle w:val="Heading4"/>
      </w:pPr>
      <w:r>
        <w:br w:type="page"/>
      </w:r>
      <w:bookmarkStart w:id="69" w:name="_Toc398721686"/>
      <w:bookmarkStart w:id="70" w:name="_Toc411850516"/>
      <w:r>
        <w:t>2.1.4 Bores on the south and south</w:t>
      </w:r>
      <w:r w:rsidR="00A720D3">
        <w:t>-</w:t>
      </w:r>
      <w:r>
        <w:t>west wall of TSF</w:t>
      </w:r>
      <w:bookmarkEnd w:id="69"/>
      <w:bookmarkEnd w:id="70"/>
      <w:r>
        <w:t xml:space="preserve"> </w:t>
      </w:r>
    </w:p>
    <w:p w:rsidR="00F17389" w:rsidRDefault="00F17389" w:rsidP="00F17389">
      <w:r>
        <w:t>Figure 7 shows a close up of the bores located close to the south and south</w:t>
      </w:r>
      <w:r w:rsidR="00A720D3">
        <w:t>-</w:t>
      </w:r>
      <w:r>
        <w:t>west wall of the TSF. All of these bores are now buried. Table 7 shows the site ID and RN numbers, the fitted screen depths and some other comments regarding the bore.</w:t>
      </w:r>
    </w:p>
    <w:p w:rsidR="00F17389" w:rsidRDefault="00F17389" w:rsidP="00F17389">
      <w:pPr>
        <w:pStyle w:val="figurecaption"/>
      </w:pPr>
      <w:r>
        <w:rPr>
          <w:noProof/>
          <w:lang w:eastAsia="en-AU"/>
        </w:rPr>
        <w:drawing>
          <wp:inline distT="0" distB="0" distL="0" distR="0">
            <wp:extent cx="3768725" cy="5319395"/>
            <wp:effectExtent l="19050" t="0" r="3175" b="0"/>
            <wp:docPr id="9" name="Picture 9" descr="TSF_wall_south_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F_wall_south_bores"/>
                    <pic:cNvPicPr>
                      <a:picLocks noChangeAspect="1" noChangeArrowheads="1"/>
                    </pic:cNvPicPr>
                  </pic:nvPicPr>
                  <pic:blipFill>
                    <a:blip r:embed="rId35" cstate="email"/>
                    <a:srcRect/>
                    <a:stretch>
                      <a:fillRect/>
                    </a:stretch>
                  </pic:blipFill>
                  <pic:spPr bwMode="auto">
                    <a:xfrm>
                      <a:off x="0" y="0"/>
                      <a:ext cx="3768725" cy="5319395"/>
                    </a:xfrm>
                    <a:prstGeom prst="rect">
                      <a:avLst/>
                    </a:prstGeom>
                    <a:noFill/>
                    <a:ln w="9525">
                      <a:noFill/>
                      <a:miter lim="800000"/>
                      <a:headEnd/>
                      <a:tailEnd/>
                    </a:ln>
                  </pic:spPr>
                </pic:pic>
              </a:graphicData>
            </a:graphic>
          </wp:inline>
        </w:drawing>
      </w:r>
    </w:p>
    <w:p w:rsidR="00F17389" w:rsidRDefault="00F17389" w:rsidP="00F17389">
      <w:pPr>
        <w:pStyle w:val="figurecaption"/>
      </w:pPr>
      <w:bookmarkStart w:id="71" w:name="_Toc398721491"/>
      <w:r w:rsidRPr="00347F1E">
        <w:rPr>
          <w:b/>
        </w:rPr>
        <w:t>Figure 7</w:t>
      </w:r>
      <w:r>
        <w:t xml:space="preserve"> Bores on the south and south</w:t>
      </w:r>
      <w:r w:rsidR="00A720D3">
        <w:t>-</w:t>
      </w:r>
      <w:r>
        <w:t>west wall of TSF.</w:t>
      </w:r>
      <w:bookmarkEnd w:id="71"/>
    </w:p>
    <w:p w:rsidR="00F17389" w:rsidRPr="009B59C0" w:rsidRDefault="00F17389" w:rsidP="00F17389">
      <w:pPr>
        <w:pStyle w:val="tablecaption"/>
      </w:pPr>
      <w:bookmarkStart w:id="72" w:name="_Toc386618579"/>
      <w:r w:rsidRPr="00347F1E">
        <w:rPr>
          <w:b/>
        </w:rPr>
        <w:t>Table 7</w:t>
      </w:r>
      <w:r>
        <w:t xml:space="preserve"> Site IDs, RN numbers, time period of data available and screen depths of bores on the south and south</w:t>
      </w:r>
      <w:r w:rsidR="00A720D3">
        <w:t>-</w:t>
      </w:r>
      <w:r>
        <w:t>west wall of TSF.</w:t>
      </w:r>
      <w:bookmarkEnd w:id="72"/>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E0345E" w:rsidTr="00F17389">
        <w:trPr>
          <w:trHeight w:val="262"/>
        </w:trPr>
        <w:tc>
          <w:tcPr>
            <w:tcW w:w="1448" w:type="dxa"/>
            <w:tcBorders>
              <w:top w:val="single" w:sz="6" w:space="0" w:color="auto"/>
              <w:left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SiteID</w:t>
            </w:r>
          </w:p>
        </w:tc>
        <w:tc>
          <w:tcPr>
            <w:tcW w:w="1276"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RN number</w:t>
            </w:r>
          </w:p>
        </w:tc>
        <w:tc>
          <w:tcPr>
            <w:tcW w:w="1135"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Data from-to</w:t>
            </w:r>
          </w:p>
        </w:tc>
        <w:tc>
          <w:tcPr>
            <w:tcW w:w="971"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Top of screen</w:t>
            </w:r>
            <w:r>
              <w:rPr>
                <w:rFonts w:ascii="Arial" w:hAnsi="Arial" w:cs="Arial"/>
                <w:b/>
                <w:bCs/>
                <w:color w:val="000000"/>
                <w:sz w:val="16"/>
                <w:szCs w:val="16"/>
                <w:lang w:val="en-US"/>
              </w:rPr>
              <w:t xml:space="preserve"> [m]</w:t>
            </w:r>
          </w:p>
        </w:tc>
        <w:tc>
          <w:tcPr>
            <w:tcW w:w="1012"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Bottom of screen</w:t>
            </w:r>
            <w:r>
              <w:rPr>
                <w:rFonts w:ascii="Arial" w:hAnsi="Arial" w:cs="Arial"/>
                <w:b/>
                <w:bCs/>
                <w:color w:val="000000"/>
                <w:sz w:val="16"/>
                <w:szCs w:val="16"/>
                <w:lang w:val="en-US"/>
              </w:rPr>
              <w:t xml:space="preserve"> [m]</w:t>
            </w:r>
          </w:p>
        </w:tc>
        <w:tc>
          <w:tcPr>
            <w:tcW w:w="2410" w:type="dxa"/>
            <w:tcBorders>
              <w:top w:val="single" w:sz="6" w:space="0" w:color="auto"/>
              <w:bottom w:val="double" w:sz="6" w:space="0" w:color="auto"/>
              <w:right w:val="sing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comments</w:t>
            </w:r>
          </w:p>
        </w:tc>
      </w:tr>
      <w:tr w:rsidR="00F17389" w:rsidRPr="007B5B84"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OB4A</w:t>
            </w:r>
          </w:p>
        </w:tc>
        <w:tc>
          <w:tcPr>
            <w:tcW w:w="1276" w:type="dxa"/>
          </w:tcPr>
          <w:p w:rsidR="00F17389" w:rsidRPr="007B5B84" w:rsidRDefault="00F17389" w:rsidP="00F17389">
            <w:pPr>
              <w:spacing w:after="0"/>
              <w:rPr>
                <w:rFonts w:ascii="Arial" w:hAnsi="Arial" w:cs="Arial"/>
                <w:sz w:val="16"/>
                <w:szCs w:val="16"/>
              </w:rPr>
            </w:pPr>
            <w:r w:rsidRPr="007B5B84">
              <w:rPr>
                <w:rFonts w:ascii="Arial" w:hAnsi="Arial" w:cs="Arial"/>
                <w:sz w:val="16"/>
                <w:szCs w:val="16"/>
              </w:rPr>
              <w:t>RN22908</w:t>
            </w:r>
          </w:p>
        </w:tc>
        <w:tc>
          <w:tcPr>
            <w:tcW w:w="1135" w:type="dxa"/>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7/88-5/01</w:t>
            </w:r>
          </w:p>
        </w:tc>
        <w:tc>
          <w:tcPr>
            <w:tcW w:w="971" w:type="dxa"/>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22.0</w:t>
            </w:r>
          </w:p>
        </w:tc>
        <w:tc>
          <w:tcPr>
            <w:tcW w:w="1012" w:type="dxa"/>
            <w:vAlign w:val="bottom"/>
          </w:tcPr>
          <w:p w:rsidR="00F17389" w:rsidRPr="007B5B84" w:rsidRDefault="00F17389" w:rsidP="00F17389">
            <w:pPr>
              <w:spacing w:after="0"/>
              <w:jc w:val="center"/>
              <w:rPr>
                <w:rFonts w:ascii="Arial" w:hAnsi="Arial" w:cs="Arial"/>
                <w:bCs/>
                <w:sz w:val="16"/>
                <w:szCs w:val="16"/>
              </w:rPr>
            </w:pPr>
            <w:r w:rsidRPr="007B5B84">
              <w:rPr>
                <w:rFonts w:ascii="Arial" w:hAnsi="Arial" w:cs="Arial"/>
                <w:bCs/>
                <w:sz w:val="16"/>
                <w:szCs w:val="16"/>
              </w:rPr>
              <w:t>37.0</w:t>
            </w:r>
          </w:p>
        </w:tc>
        <w:tc>
          <w:tcPr>
            <w:tcW w:w="2410" w:type="dxa"/>
            <w:tcBorders>
              <w:right w:val="single" w:sz="6" w:space="0" w:color="auto"/>
            </w:tcBorders>
            <w:vAlign w:val="bottom"/>
          </w:tcPr>
          <w:p w:rsidR="00F17389" w:rsidRPr="007B5B84" w:rsidRDefault="00F17389" w:rsidP="00F17389">
            <w:pPr>
              <w:spacing w:after="0"/>
              <w:jc w:val="center"/>
              <w:rPr>
                <w:rFonts w:ascii="Arial" w:hAnsi="Arial" w:cs="Arial"/>
                <w:bCs/>
                <w:color w:val="FF0000"/>
                <w:sz w:val="16"/>
                <w:szCs w:val="16"/>
              </w:rPr>
            </w:pPr>
            <w:r w:rsidRPr="007B5B84">
              <w:rPr>
                <w:rFonts w:ascii="Arial" w:hAnsi="Arial" w:cs="Arial"/>
                <w:sz w:val="16"/>
                <w:szCs w:val="16"/>
              </w:rPr>
              <w:t>buried</w:t>
            </w:r>
          </w:p>
        </w:tc>
      </w:tr>
      <w:tr w:rsidR="00F17389" w:rsidRPr="007B5B84"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OB19A</w:t>
            </w:r>
          </w:p>
        </w:tc>
        <w:tc>
          <w:tcPr>
            <w:tcW w:w="1276" w:type="dxa"/>
          </w:tcPr>
          <w:p w:rsidR="00F17389" w:rsidRPr="007B5B84" w:rsidRDefault="00F17389" w:rsidP="00F17389">
            <w:pPr>
              <w:spacing w:after="0"/>
              <w:rPr>
                <w:rFonts w:ascii="Arial" w:hAnsi="Arial" w:cs="Arial"/>
                <w:sz w:val="16"/>
                <w:szCs w:val="16"/>
              </w:rPr>
            </w:pPr>
            <w:r w:rsidRPr="007B5B84">
              <w:rPr>
                <w:rFonts w:ascii="Arial" w:hAnsi="Arial" w:cs="Arial"/>
                <w:sz w:val="16"/>
                <w:szCs w:val="16"/>
              </w:rPr>
              <w:t>RN026589</w:t>
            </w:r>
          </w:p>
        </w:tc>
        <w:tc>
          <w:tcPr>
            <w:tcW w:w="1135" w:type="dxa"/>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11/90-5/02</w:t>
            </w:r>
          </w:p>
        </w:tc>
        <w:tc>
          <w:tcPr>
            <w:tcW w:w="971" w:type="dxa"/>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33.0</w:t>
            </w:r>
          </w:p>
        </w:tc>
        <w:tc>
          <w:tcPr>
            <w:tcW w:w="1012" w:type="dxa"/>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51.0</w:t>
            </w:r>
          </w:p>
        </w:tc>
        <w:tc>
          <w:tcPr>
            <w:tcW w:w="2410" w:type="dxa"/>
            <w:tcBorders>
              <w:right w:val="single" w:sz="6" w:space="0" w:color="auto"/>
            </w:tcBorders>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buried</w:t>
            </w:r>
          </w:p>
        </w:tc>
      </w:tr>
      <w:tr w:rsidR="00F17389" w:rsidRPr="007B5B84"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OB6</w:t>
            </w:r>
          </w:p>
        </w:tc>
        <w:tc>
          <w:tcPr>
            <w:tcW w:w="1276" w:type="dxa"/>
          </w:tcPr>
          <w:p w:rsidR="00F17389" w:rsidRPr="007B5B84" w:rsidRDefault="00F17389" w:rsidP="00F17389">
            <w:pPr>
              <w:spacing w:after="0"/>
              <w:rPr>
                <w:rFonts w:ascii="Arial" w:hAnsi="Arial" w:cs="Arial"/>
                <w:sz w:val="16"/>
                <w:szCs w:val="16"/>
              </w:rPr>
            </w:pPr>
            <w:r w:rsidRPr="007B5B84">
              <w:rPr>
                <w:rFonts w:ascii="Arial" w:hAnsi="Arial" w:cs="Arial"/>
                <w:sz w:val="16"/>
                <w:szCs w:val="16"/>
              </w:rPr>
              <w:t>RN022911</w:t>
            </w:r>
          </w:p>
        </w:tc>
        <w:tc>
          <w:tcPr>
            <w:tcW w:w="1135" w:type="dxa"/>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5/00</w:t>
            </w:r>
          </w:p>
        </w:tc>
        <w:tc>
          <w:tcPr>
            <w:tcW w:w="971" w:type="dxa"/>
            <w:vAlign w:val="bottom"/>
          </w:tcPr>
          <w:p w:rsidR="00F17389" w:rsidRPr="007B5B84" w:rsidRDefault="00F17389" w:rsidP="00F17389">
            <w:pPr>
              <w:spacing w:after="0"/>
              <w:jc w:val="center"/>
              <w:rPr>
                <w:rFonts w:ascii="Arial" w:hAnsi="Arial" w:cs="Arial"/>
                <w:sz w:val="16"/>
                <w:szCs w:val="16"/>
              </w:rPr>
            </w:pPr>
          </w:p>
        </w:tc>
        <w:tc>
          <w:tcPr>
            <w:tcW w:w="1012" w:type="dxa"/>
            <w:vAlign w:val="bottom"/>
          </w:tcPr>
          <w:p w:rsidR="00F17389" w:rsidRPr="007B5B84" w:rsidRDefault="00F17389" w:rsidP="00F17389">
            <w:pPr>
              <w:spacing w:after="0"/>
              <w:jc w:val="center"/>
              <w:rPr>
                <w:rFonts w:ascii="Arial" w:hAnsi="Arial" w:cs="Arial"/>
                <w:bCs/>
                <w:sz w:val="16"/>
                <w:szCs w:val="16"/>
              </w:rPr>
            </w:pPr>
          </w:p>
        </w:tc>
        <w:tc>
          <w:tcPr>
            <w:tcW w:w="2410" w:type="dxa"/>
            <w:tcBorders>
              <w:right w:val="single" w:sz="6" w:space="0" w:color="auto"/>
            </w:tcBorders>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buried</w:t>
            </w:r>
          </w:p>
        </w:tc>
      </w:tr>
      <w:tr w:rsidR="00F17389" w:rsidRPr="007B5B84"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OB6A</w:t>
            </w:r>
          </w:p>
        </w:tc>
        <w:tc>
          <w:tcPr>
            <w:tcW w:w="1276" w:type="dxa"/>
          </w:tcPr>
          <w:p w:rsidR="00F17389" w:rsidRPr="007B5B84" w:rsidRDefault="00F17389" w:rsidP="00F17389">
            <w:pPr>
              <w:spacing w:after="0"/>
              <w:rPr>
                <w:rFonts w:ascii="Arial" w:hAnsi="Arial" w:cs="Arial"/>
                <w:sz w:val="16"/>
                <w:szCs w:val="16"/>
              </w:rPr>
            </w:pPr>
            <w:r w:rsidRPr="007B5B84">
              <w:rPr>
                <w:rFonts w:ascii="Arial" w:hAnsi="Arial" w:cs="Arial"/>
                <w:sz w:val="16"/>
                <w:szCs w:val="16"/>
              </w:rPr>
              <w:t>RN022912</w:t>
            </w:r>
          </w:p>
        </w:tc>
        <w:tc>
          <w:tcPr>
            <w:tcW w:w="1135" w:type="dxa"/>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9/88-5/02</w:t>
            </w:r>
          </w:p>
        </w:tc>
        <w:tc>
          <w:tcPr>
            <w:tcW w:w="971" w:type="dxa"/>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14.0</w:t>
            </w:r>
          </w:p>
        </w:tc>
        <w:tc>
          <w:tcPr>
            <w:tcW w:w="1012" w:type="dxa"/>
            <w:vAlign w:val="bottom"/>
          </w:tcPr>
          <w:p w:rsidR="00F17389" w:rsidRPr="007B5B84" w:rsidRDefault="00F17389" w:rsidP="00F17389">
            <w:pPr>
              <w:spacing w:after="0"/>
              <w:jc w:val="center"/>
              <w:rPr>
                <w:rFonts w:ascii="Arial" w:hAnsi="Arial" w:cs="Arial"/>
                <w:bCs/>
                <w:sz w:val="16"/>
                <w:szCs w:val="16"/>
              </w:rPr>
            </w:pPr>
            <w:r w:rsidRPr="007B5B84">
              <w:rPr>
                <w:rFonts w:ascii="Arial" w:hAnsi="Arial" w:cs="Arial"/>
                <w:bCs/>
                <w:sz w:val="16"/>
                <w:szCs w:val="16"/>
              </w:rPr>
              <w:t>26.0</w:t>
            </w:r>
          </w:p>
        </w:tc>
        <w:tc>
          <w:tcPr>
            <w:tcW w:w="2410" w:type="dxa"/>
            <w:tcBorders>
              <w:right w:val="single" w:sz="6" w:space="0" w:color="auto"/>
            </w:tcBorders>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buried</w:t>
            </w:r>
          </w:p>
        </w:tc>
      </w:tr>
      <w:tr w:rsidR="00F17389" w:rsidRPr="007B5B84" w:rsidTr="00F17389">
        <w:trPr>
          <w:trHeight w:val="262"/>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OB7A</w:t>
            </w:r>
          </w:p>
        </w:tc>
        <w:tc>
          <w:tcPr>
            <w:tcW w:w="1276" w:type="dxa"/>
            <w:tcBorders>
              <w:bottom w:val="single" w:sz="6" w:space="0" w:color="auto"/>
            </w:tcBorders>
          </w:tcPr>
          <w:p w:rsidR="00F17389" w:rsidRPr="007B5B84" w:rsidRDefault="00F17389" w:rsidP="00F17389">
            <w:pPr>
              <w:spacing w:after="0"/>
              <w:rPr>
                <w:rFonts w:ascii="Arial" w:hAnsi="Arial" w:cs="Arial"/>
                <w:sz w:val="16"/>
                <w:szCs w:val="16"/>
              </w:rPr>
            </w:pPr>
            <w:r w:rsidRPr="007B5B84">
              <w:rPr>
                <w:rFonts w:ascii="Arial" w:hAnsi="Arial" w:cs="Arial"/>
                <w:sz w:val="16"/>
                <w:szCs w:val="16"/>
              </w:rPr>
              <w:t>RN022914</w:t>
            </w:r>
          </w:p>
        </w:tc>
        <w:tc>
          <w:tcPr>
            <w:tcW w:w="1135" w:type="dxa"/>
            <w:tcBorders>
              <w:bottom w:val="single" w:sz="6" w:space="0" w:color="auto"/>
            </w:tcBorders>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11/89-5/02</w:t>
            </w:r>
          </w:p>
        </w:tc>
        <w:tc>
          <w:tcPr>
            <w:tcW w:w="971" w:type="dxa"/>
            <w:tcBorders>
              <w:bottom w:val="single" w:sz="6" w:space="0" w:color="auto"/>
            </w:tcBorders>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15.0</w:t>
            </w:r>
          </w:p>
        </w:tc>
        <w:tc>
          <w:tcPr>
            <w:tcW w:w="1012" w:type="dxa"/>
            <w:tcBorders>
              <w:bottom w:val="single" w:sz="6" w:space="0" w:color="auto"/>
            </w:tcBorders>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30.0</w:t>
            </w:r>
          </w:p>
        </w:tc>
        <w:tc>
          <w:tcPr>
            <w:tcW w:w="2410" w:type="dxa"/>
            <w:tcBorders>
              <w:bottom w:val="single" w:sz="6" w:space="0" w:color="auto"/>
              <w:right w:val="single" w:sz="6" w:space="0" w:color="auto"/>
            </w:tcBorders>
            <w:vAlign w:val="bottom"/>
          </w:tcPr>
          <w:p w:rsidR="00F17389" w:rsidRPr="007B5B84" w:rsidRDefault="00F17389" w:rsidP="00F17389">
            <w:pPr>
              <w:spacing w:after="0"/>
              <w:jc w:val="center"/>
              <w:rPr>
                <w:rFonts w:ascii="Arial" w:hAnsi="Arial" w:cs="Arial"/>
                <w:sz w:val="16"/>
                <w:szCs w:val="16"/>
              </w:rPr>
            </w:pPr>
            <w:r w:rsidRPr="007B5B84">
              <w:rPr>
                <w:rFonts w:ascii="Arial" w:hAnsi="Arial" w:cs="Arial"/>
                <w:sz w:val="16"/>
                <w:szCs w:val="16"/>
              </w:rPr>
              <w:t>buried</w:t>
            </w:r>
          </w:p>
        </w:tc>
      </w:tr>
    </w:tbl>
    <w:p w:rsidR="00F17389" w:rsidRPr="007B5B84" w:rsidRDefault="00F17389" w:rsidP="00F17389"/>
    <w:p w:rsidR="00F17389" w:rsidRDefault="00F17389" w:rsidP="00F17389">
      <w:pPr>
        <w:pStyle w:val="Heading4"/>
      </w:pPr>
      <w:r>
        <w:br w:type="page"/>
      </w:r>
      <w:bookmarkStart w:id="73" w:name="_Toc398721687"/>
      <w:bookmarkStart w:id="74" w:name="_Toc411850517"/>
      <w:r>
        <w:t>2.1.5 Bores to the south of TSF</w:t>
      </w:r>
      <w:bookmarkEnd w:id="73"/>
      <w:bookmarkEnd w:id="74"/>
      <w:r>
        <w:t xml:space="preserve"> </w:t>
      </w:r>
    </w:p>
    <w:p w:rsidR="00F17389" w:rsidRDefault="00F17389" w:rsidP="00F17389">
      <w:r>
        <w:t>Figure 8 shows a close up of the bores to the south of the TSF. Table 8 shows the site ID and RN numbers, the fitted screen depths and some other comments regarding the bore.</w:t>
      </w:r>
    </w:p>
    <w:p w:rsidR="00F17389" w:rsidRDefault="00F17389" w:rsidP="002F6687">
      <w:pPr>
        <w:pStyle w:val="figurecaption"/>
      </w:pPr>
      <w:r>
        <w:rPr>
          <w:noProof/>
          <w:lang w:eastAsia="en-AU"/>
        </w:rPr>
        <w:drawing>
          <wp:inline distT="0" distB="0" distL="0" distR="0">
            <wp:extent cx="3768725" cy="5152390"/>
            <wp:effectExtent l="19050" t="0" r="3175" b="0"/>
            <wp:docPr id="10" name="Picture 10" descr="TSF_south_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F_south_bores"/>
                    <pic:cNvPicPr>
                      <a:picLocks noChangeAspect="1" noChangeArrowheads="1"/>
                    </pic:cNvPicPr>
                  </pic:nvPicPr>
                  <pic:blipFill>
                    <a:blip r:embed="rId36" cstate="email"/>
                    <a:srcRect/>
                    <a:stretch>
                      <a:fillRect/>
                    </a:stretch>
                  </pic:blipFill>
                  <pic:spPr bwMode="auto">
                    <a:xfrm>
                      <a:off x="0" y="0"/>
                      <a:ext cx="3768725" cy="5152390"/>
                    </a:xfrm>
                    <a:prstGeom prst="rect">
                      <a:avLst/>
                    </a:prstGeom>
                    <a:noFill/>
                    <a:ln w="9525">
                      <a:noFill/>
                      <a:miter lim="800000"/>
                      <a:headEnd/>
                      <a:tailEnd/>
                    </a:ln>
                  </pic:spPr>
                </pic:pic>
              </a:graphicData>
            </a:graphic>
          </wp:inline>
        </w:drawing>
      </w:r>
      <w:bookmarkStart w:id="75" w:name="_Toc398721492"/>
      <w:r w:rsidRPr="00347F1E">
        <w:rPr>
          <w:b/>
        </w:rPr>
        <w:t>Figure 8</w:t>
      </w:r>
      <w:r>
        <w:t xml:space="preserve"> Bores to the south of the TSF.</w:t>
      </w:r>
      <w:bookmarkEnd w:id="75"/>
    </w:p>
    <w:p w:rsidR="00F17389" w:rsidRPr="009B59C0" w:rsidRDefault="00F17389" w:rsidP="00F17389">
      <w:pPr>
        <w:pStyle w:val="tablecaption"/>
      </w:pPr>
      <w:bookmarkStart w:id="76" w:name="_Toc386618580"/>
      <w:r w:rsidRPr="00347F1E">
        <w:rPr>
          <w:b/>
        </w:rPr>
        <w:t>Table 8</w:t>
      </w:r>
      <w:r>
        <w:t xml:space="preserve"> Site IDs, RN numbers, time period of data available and screen depths of bores to the south of the TSF.</w:t>
      </w:r>
      <w:bookmarkEnd w:id="76"/>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E0345E" w:rsidTr="00F17389">
        <w:trPr>
          <w:trHeight w:val="262"/>
        </w:trPr>
        <w:tc>
          <w:tcPr>
            <w:tcW w:w="1448" w:type="dxa"/>
            <w:tcBorders>
              <w:top w:val="single" w:sz="6" w:space="0" w:color="auto"/>
              <w:left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SiteID</w:t>
            </w:r>
          </w:p>
        </w:tc>
        <w:tc>
          <w:tcPr>
            <w:tcW w:w="1276"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RN number</w:t>
            </w:r>
          </w:p>
        </w:tc>
        <w:tc>
          <w:tcPr>
            <w:tcW w:w="1135"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Data from-to</w:t>
            </w:r>
          </w:p>
        </w:tc>
        <w:tc>
          <w:tcPr>
            <w:tcW w:w="971"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Top of screen</w:t>
            </w:r>
            <w:r>
              <w:rPr>
                <w:rFonts w:ascii="Arial" w:hAnsi="Arial" w:cs="Arial"/>
                <w:b/>
                <w:bCs/>
                <w:color w:val="000000"/>
                <w:sz w:val="16"/>
                <w:szCs w:val="16"/>
                <w:lang w:val="en-US"/>
              </w:rPr>
              <w:t xml:space="preserve"> [m]</w:t>
            </w:r>
          </w:p>
        </w:tc>
        <w:tc>
          <w:tcPr>
            <w:tcW w:w="1012"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Bottom of screen</w:t>
            </w:r>
            <w:r>
              <w:rPr>
                <w:rFonts w:ascii="Arial" w:hAnsi="Arial" w:cs="Arial"/>
                <w:b/>
                <w:bCs/>
                <w:color w:val="000000"/>
                <w:sz w:val="16"/>
                <w:szCs w:val="16"/>
                <w:lang w:val="en-US"/>
              </w:rPr>
              <w:t xml:space="preserve"> [m]</w:t>
            </w:r>
          </w:p>
        </w:tc>
        <w:tc>
          <w:tcPr>
            <w:tcW w:w="2410" w:type="dxa"/>
            <w:tcBorders>
              <w:top w:val="single" w:sz="6" w:space="0" w:color="auto"/>
              <w:bottom w:val="double" w:sz="6" w:space="0" w:color="auto"/>
              <w:right w:val="sing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comments</w:t>
            </w:r>
          </w:p>
        </w:tc>
      </w:tr>
      <w:tr w:rsidR="00F17389" w:rsidRPr="007A1F1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OB20</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RN022934</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11/89-9/12</w:t>
            </w:r>
          </w:p>
        </w:tc>
        <w:tc>
          <w:tcPr>
            <w:tcW w:w="971" w:type="dxa"/>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21.0</w:t>
            </w:r>
          </w:p>
        </w:tc>
        <w:tc>
          <w:tcPr>
            <w:tcW w:w="1012" w:type="dxa"/>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36.0</w:t>
            </w:r>
          </w:p>
        </w:tc>
        <w:tc>
          <w:tcPr>
            <w:tcW w:w="2410" w:type="dxa"/>
            <w:tcBorders>
              <w:right w:val="single" w:sz="6" w:space="0" w:color="auto"/>
            </w:tcBorders>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active</w:t>
            </w:r>
          </w:p>
        </w:tc>
      </w:tr>
      <w:tr w:rsidR="00F17389" w:rsidRPr="007A1F1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RN23568</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RN023568</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3/12</w:t>
            </w:r>
          </w:p>
        </w:tc>
        <w:tc>
          <w:tcPr>
            <w:tcW w:w="971" w:type="dxa"/>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3.3</w:t>
            </w:r>
          </w:p>
        </w:tc>
        <w:tc>
          <w:tcPr>
            <w:tcW w:w="1012" w:type="dxa"/>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4.3</w:t>
            </w:r>
          </w:p>
        </w:tc>
        <w:tc>
          <w:tcPr>
            <w:tcW w:w="2410" w:type="dxa"/>
            <w:tcBorders>
              <w:right w:val="single" w:sz="6" w:space="0" w:color="auto"/>
            </w:tcBorders>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active</w:t>
            </w:r>
          </w:p>
        </w:tc>
      </w:tr>
      <w:tr w:rsidR="00F17389" w:rsidRPr="007A1F1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OB21A</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RN022935</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11/89-9/12</w:t>
            </w:r>
          </w:p>
        </w:tc>
        <w:tc>
          <w:tcPr>
            <w:tcW w:w="971" w:type="dxa"/>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31.0</w:t>
            </w:r>
          </w:p>
        </w:tc>
        <w:tc>
          <w:tcPr>
            <w:tcW w:w="1012" w:type="dxa"/>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43.0</w:t>
            </w:r>
          </w:p>
        </w:tc>
        <w:tc>
          <w:tcPr>
            <w:tcW w:w="2410" w:type="dxa"/>
            <w:tcBorders>
              <w:right w:val="single" w:sz="6" w:space="0" w:color="auto"/>
            </w:tcBorders>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active</w:t>
            </w:r>
          </w:p>
        </w:tc>
      </w:tr>
      <w:tr w:rsidR="00F17389" w:rsidRPr="007A1F1E" w:rsidTr="00F17389">
        <w:trPr>
          <w:trHeight w:val="262"/>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C1SHALLOW</w:t>
            </w:r>
          </w:p>
        </w:tc>
        <w:tc>
          <w:tcPr>
            <w:tcW w:w="1276" w:type="dxa"/>
            <w:tcBorders>
              <w:bottom w:val="single" w:sz="6" w:space="0" w:color="auto"/>
            </w:tcBorders>
          </w:tcPr>
          <w:p w:rsidR="00F17389" w:rsidRPr="007A1F1E" w:rsidRDefault="00F17389" w:rsidP="00F17389">
            <w:pPr>
              <w:spacing w:after="0"/>
              <w:rPr>
                <w:rFonts w:ascii="Arial" w:hAnsi="Arial" w:cs="Arial"/>
                <w:sz w:val="16"/>
                <w:szCs w:val="16"/>
              </w:rPr>
            </w:pPr>
          </w:p>
        </w:tc>
        <w:tc>
          <w:tcPr>
            <w:tcW w:w="1135" w:type="dxa"/>
            <w:tcBorders>
              <w:bottom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5/03</w:t>
            </w:r>
          </w:p>
        </w:tc>
        <w:tc>
          <w:tcPr>
            <w:tcW w:w="971" w:type="dxa"/>
            <w:tcBorders>
              <w:bottom w:val="single" w:sz="6" w:space="0" w:color="auto"/>
            </w:tcBorders>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2.5</w:t>
            </w:r>
          </w:p>
        </w:tc>
        <w:tc>
          <w:tcPr>
            <w:tcW w:w="1012" w:type="dxa"/>
            <w:tcBorders>
              <w:bottom w:val="single" w:sz="6" w:space="0" w:color="auto"/>
            </w:tcBorders>
            <w:vAlign w:val="bottom"/>
          </w:tcPr>
          <w:p w:rsidR="00F17389" w:rsidRPr="00757BD7" w:rsidRDefault="00F17389" w:rsidP="00F17389">
            <w:pPr>
              <w:spacing w:after="0"/>
              <w:jc w:val="center"/>
              <w:rPr>
                <w:rFonts w:ascii="Arial" w:hAnsi="Arial" w:cs="Arial"/>
                <w:sz w:val="16"/>
                <w:szCs w:val="16"/>
              </w:rPr>
            </w:pPr>
            <w:r w:rsidRPr="00757BD7">
              <w:rPr>
                <w:rFonts w:ascii="Arial" w:hAnsi="Arial" w:cs="Arial"/>
                <w:sz w:val="16"/>
                <w:szCs w:val="16"/>
              </w:rPr>
              <w:t>8.4</w:t>
            </w:r>
          </w:p>
        </w:tc>
        <w:tc>
          <w:tcPr>
            <w:tcW w:w="2410" w:type="dxa"/>
            <w:tcBorders>
              <w:bottom w:val="single" w:sz="6" w:space="0" w:color="auto"/>
              <w:right w:val="single" w:sz="6" w:space="0" w:color="auto"/>
            </w:tcBorders>
            <w:vAlign w:val="bottom"/>
          </w:tcPr>
          <w:p w:rsidR="00F17389" w:rsidRPr="00757BD7" w:rsidRDefault="00F17389" w:rsidP="00F17389">
            <w:pPr>
              <w:spacing w:after="0"/>
              <w:jc w:val="center"/>
              <w:rPr>
                <w:rFonts w:ascii="Arial" w:hAnsi="Arial" w:cs="Arial"/>
                <w:sz w:val="16"/>
                <w:szCs w:val="16"/>
              </w:rPr>
            </w:pPr>
          </w:p>
        </w:tc>
      </w:tr>
    </w:tbl>
    <w:p w:rsidR="00F17389" w:rsidRDefault="00F17389" w:rsidP="00F17389"/>
    <w:p w:rsidR="00F17389" w:rsidRDefault="00F17389" w:rsidP="00F17389">
      <w:pPr>
        <w:pStyle w:val="Heading4"/>
      </w:pPr>
      <w:r>
        <w:br w:type="page"/>
      </w:r>
      <w:bookmarkStart w:id="77" w:name="_Toc398721688"/>
      <w:bookmarkStart w:id="78" w:name="_Toc411850518"/>
      <w:r>
        <w:t>2.1.6 Bores in the vicinity of Pit 1</w:t>
      </w:r>
      <w:bookmarkEnd w:id="77"/>
      <w:bookmarkEnd w:id="78"/>
      <w:r>
        <w:t xml:space="preserve"> </w:t>
      </w:r>
    </w:p>
    <w:p w:rsidR="00F17389" w:rsidRDefault="00F17389" w:rsidP="00F17389">
      <w:r>
        <w:t>Figure 9 shows a close up of the bores in this area. Table 9 shows the site ID and RN numbers, the fitted screen depths and some other comments regarding the bore.</w:t>
      </w:r>
    </w:p>
    <w:p w:rsidR="00F17389" w:rsidRDefault="00F17389" w:rsidP="00F17389">
      <w:pPr>
        <w:pStyle w:val="figurecaption"/>
      </w:pPr>
      <w:r>
        <w:rPr>
          <w:noProof/>
          <w:lang w:eastAsia="en-AU"/>
        </w:rPr>
        <w:drawing>
          <wp:inline distT="0" distB="0" distL="0" distR="0">
            <wp:extent cx="3768725" cy="5319395"/>
            <wp:effectExtent l="19050" t="0" r="3175" b="0"/>
            <wp:docPr id="11" name="Picture 11" descr="Pit1_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t1_bores"/>
                    <pic:cNvPicPr>
                      <a:picLocks noChangeAspect="1" noChangeArrowheads="1"/>
                    </pic:cNvPicPr>
                  </pic:nvPicPr>
                  <pic:blipFill>
                    <a:blip r:embed="rId37" cstate="email"/>
                    <a:srcRect/>
                    <a:stretch>
                      <a:fillRect/>
                    </a:stretch>
                  </pic:blipFill>
                  <pic:spPr bwMode="auto">
                    <a:xfrm>
                      <a:off x="0" y="0"/>
                      <a:ext cx="3768725" cy="5319395"/>
                    </a:xfrm>
                    <a:prstGeom prst="rect">
                      <a:avLst/>
                    </a:prstGeom>
                    <a:noFill/>
                    <a:ln w="9525">
                      <a:noFill/>
                      <a:miter lim="800000"/>
                      <a:headEnd/>
                      <a:tailEnd/>
                    </a:ln>
                  </pic:spPr>
                </pic:pic>
              </a:graphicData>
            </a:graphic>
          </wp:inline>
        </w:drawing>
      </w:r>
    </w:p>
    <w:p w:rsidR="00F17389" w:rsidRDefault="00F17389" w:rsidP="00F17389">
      <w:pPr>
        <w:pStyle w:val="figurecaption"/>
      </w:pPr>
      <w:bookmarkStart w:id="79" w:name="_Toc398721493"/>
      <w:r w:rsidRPr="00347F1E">
        <w:rPr>
          <w:b/>
        </w:rPr>
        <w:t>Figure 9</w:t>
      </w:r>
      <w:r>
        <w:t xml:space="preserve"> Bores in the vicinity of Pit 1</w:t>
      </w:r>
      <w:bookmarkEnd w:id="79"/>
    </w:p>
    <w:p w:rsidR="00F17389" w:rsidRPr="009C098B" w:rsidRDefault="00F17389" w:rsidP="00F17389"/>
    <w:p w:rsidR="00F17389" w:rsidRPr="009B59C0" w:rsidRDefault="00F17389" w:rsidP="00F17389">
      <w:pPr>
        <w:pStyle w:val="tablecaption"/>
      </w:pPr>
      <w:bookmarkStart w:id="80" w:name="_Toc386618581"/>
      <w:r w:rsidRPr="00347F1E">
        <w:rPr>
          <w:b/>
        </w:rPr>
        <w:t>Table 9</w:t>
      </w:r>
      <w:r>
        <w:t xml:space="preserve"> Site IDs, RN numbers, time period of data available and screen depths of bores in the vicinity of Pit 1.</w:t>
      </w:r>
      <w:bookmarkEnd w:id="80"/>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E0345E" w:rsidTr="00F17389">
        <w:trPr>
          <w:trHeight w:val="262"/>
        </w:trPr>
        <w:tc>
          <w:tcPr>
            <w:tcW w:w="1448" w:type="dxa"/>
            <w:tcBorders>
              <w:top w:val="single" w:sz="6" w:space="0" w:color="auto"/>
              <w:left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SiteID</w:t>
            </w:r>
          </w:p>
        </w:tc>
        <w:tc>
          <w:tcPr>
            <w:tcW w:w="1276"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RN number</w:t>
            </w:r>
          </w:p>
        </w:tc>
        <w:tc>
          <w:tcPr>
            <w:tcW w:w="1135"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Data from-to</w:t>
            </w:r>
          </w:p>
        </w:tc>
        <w:tc>
          <w:tcPr>
            <w:tcW w:w="971"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Top of screen</w:t>
            </w:r>
            <w:r>
              <w:rPr>
                <w:rFonts w:ascii="Arial" w:hAnsi="Arial" w:cs="Arial"/>
                <w:b/>
                <w:bCs/>
                <w:color w:val="000000"/>
                <w:sz w:val="16"/>
                <w:szCs w:val="16"/>
                <w:lang w:val="en-US"/>
              </w:rPr>
              <w:t xml:space="preserve"> [m]</w:t>
            </w:r>
          </w:p>
        </w:tc>
        <w:tc>
          <w:tcPr>
            <w:tcW w:w="1012"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Bottom of screen</w:t>
            </w:r>
            <w:r>
              <w:rPr>
                <w:rFonts w:ascii="Arial" w:hAnsi="Arial" w:cs="Arial"/>
                <w:b/>
                <w:bCs/>
                <w:color w:val="000000"/>
                <w:sz w:val="16"/>
                <w:szCs w:val="16"/>
                <w:lang w:val="en-US"/>
              </w:rPr>
              <w:t xml:space="preserve"> [m]</w:t>
            </w:r>
          </w:p>
        </w:tc>
        <w:tc>
          <w:tcPr>
            <w:tcW w:w="2410" w:type="dxa"/>
            <w:tcBorders>
              <w:top w:val="single" w:sz="6" w:space="0" w:color="auto"/>
              <w:bottom w:val="double" w:sz="6" w:space="0" w:color="auto"/>
              <w:right w:val="sing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comments</w:t>
            </w:r>
          </w:p>
        </w:tc>
      </w:tr>
      <w:tr w:rsidR="00F17389" w:rsidRPr="007A1F1E" w:rsidTr="00F17389">
        <w:trPr>
          <w:trHeight w:val="262"/>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MBH</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RN023721</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5/03</w:t>
            </w:r>
          </w:p>
        </w:tc>
        <w:tc>
          <w:tcPr>
            <w:tcW w:w="971" w:type="dxa"/>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44.0</w:t>
            </w:r>
          </w:p>
        </w:tc>
        <w:tc>
          <w:tcPr>
            <w:tcW w:w="1012" w:type="dxa"/>
            <w:vAlign w:val="bottom"/>
          </w:tcPr>
          <w:p w:rsidR="00F17389" w:rsidRPr="00613DE7" w:rsidRDefault="00F17389" w:rsidP="00F17389">
            <w:pPr>
              <w:spacing w:after="0"/>
              <w:jc w:val="center"/>
              <w:rPr>
                <w:rFonts w:ascii="Arial" w:hAnsi="Arial" w:cs="Arial"/>
                <w:bCs/>
                <w:sz w:val="16"/>
                <w:szCs w:val="16"/>
              </w:rPr>
            </w:pPr>
            <w:r w:rsidRPr="00613DE7">
              <w:rPr>
                <w:rFonts w:ascii="Arial" w:hAnsi="Arial" w:cs="Arial"/>
                <w:bCs/>
                <w:sz w:val="16"/>
                <w:szCs w:val="16"/>
              </w:rPr>
              <w:t>50.0</w:t>
            </w:r>
          </w:p>
        </w:tc>
        <w:tc>
          <w:tcPr>
            <w:tcW w:w="2410" w:type="dxa"/>
            <w:tcBorders>
              <w:right w:val="single" w:sz="6" w:space="0" w:color="auto"/>
            </w:tcBorders>
            <w:vAlign w:val="bottom"/>
          </w:tcPr>
          <w:p w:rsidR="00F17389" w:rsidRPr="007A1F1E" w:rsidRDefault="00F17389" w:rsidP="00F17389">
            <w:pPr>
              <w:spacing w:after="0"/>
              <w:jc w:val="center"/>
              <w:rPr>
                <w:rFonts w:ascii="Arial" w:hAnsi="Arial" w:cs="Arial"/>
                <w:sz w:val="16"/>
                <w:szCs w:val="16"/>
              </w:rPr>
            </w:pPr>
            <w:r w:rsidRPr="007A1F1E">
              <w:rPr>
                <w:rFonts w:ascii="Arial" w:hAnsi="Arial" w:cs="Arial"/>
                <w:sz w:val="16"/>
                <w:szCs w:val="16"/>
              </w:rPr>
              <w:t>Pit 1 Area</w:t>
            </w:r>
          </w:p>
        </w:tc>
      </w:tr>
      <w:tr w:rsidR="00F17389" w:rsidRPr="007A1F1E" w:rsidTr="00F17389">
        <w:trPr>
          <w:trHeight w:val="262"/>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MBL</w:t>
            </w:r>
          </w:p>
        </w:tc>
        <w:tc>
          <w:tcPr>
            <w:tcW w:w="1276" w:type="dxa"/>
            <w:tcBorders>
              <w:bottom w:val="single" w:sz="6" w:space="0" w:color="auto"/>
            </w:tcBorders>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RN023725</w:t>
            </w:r>
          </w:p>
        </w:tc>
        <w:tc>
          <w:tcPr>
            <w:tcW w:w="1135" w:type="dxa"/>
            <w:tcBorders>
              <w:bottom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5/03</w:t>
            </w:r>
          </w:p>
        </w:tc>
        <w:tc>
          <w:tcPr>
            <w:tcW w:w="971" w:type="dxa"/>
            <w:tcBorders>
              <w:bottom w:val="single" w:sz="6" w:space="0" w:color="auto"/>
            </w:tcBorders>
            <w:vAlign w:val="bottom"/>
          </w:tcPr>
          <w:p w:rsidR="00F17389" w:rsidRPr="00613DE7" w:rsidRDefault="00F17389" w:rsidP="00F17389">
            <w:pPr>
              <w:spacing w:after="0"/>
              <w:jc w:val="center"/>
              <w:rPr>
                <w:rFonts w:ascii="Arial" w:hAnsi="Arial" w:cs="Arial"/>
                <w:sz w:val="16"/>
                <w:szCs w:val="16"/>
              </w:rPr>
            </w:pPr>
          </w:p>
        </w:tc>
        <w:tc>
          <w:tcPr>
            <w:tcW w:w="1012" w:type="dxa"/>
            <w:tcBorders>
              <w:bottom w:val="single" w:sz="6" w:space="0" w:color="auto"/>
            </w:tcBorders>
            <w:vAlign w:val="bottom"/>
          </w:tcPr>
          <w:p w:rsidR="00F17389" w:rsidRPr="00613DE7" w:rsidRDefault="00F17389" w:rsidP="00F17389">
            <w:pPr>
              <w:spacing w:after="0"/>
              <w:jc w:val="center"/>
              <w:rPr>
                <w:rFonts w:ascii="Arial" w:hAnsi="Arial" w:cs="Arial"/>
                <w:bCs/>
                <w:sz w:val="16"/>
                <w:szCs w:val="16"/>
              </w:rPr>
            </w:pPr>
            <w:r w:rsidRPr="00613DE7">
              <w:rPr>
                <w:rFonts w:ascii="Arial" w:hAnsi="Arial" w:cs="Arial"/>
                <w:bCs/>
                <w:sz w:val="16"/>
                <w:szCs w:val="16"/>
              </w:rPr>
              <w:t>50.0</w:t>
            </w:r>
          </w:p>
        </w:tc>
        <w:tc>
          <w:tcPr>
            <w:tcW w:w="2410" w:type="dxa"/>
            <w:tcBorders>
              <w:bottom w:val="single" w:sz="6" w:space="0" w:color="auto"/>
              <w:right w:val="single" w:sz="6" w:space="0" w:color="auto"/>
            </w:tcBorders>
            <w:vAlign w:val="bottom"/>
          </w:tcPr>
          <w:p w:rsidR="00F17389" w:rsidRPr="007A1F1E" w:rsidRDefault="00F17389" w:rsidP="00F17389">
            <w:pPr>
              <w:spacing w:after="0"/>
              <w:jc w:val="center"/>
              <w:rPr>
                <w:rFonts w:ascii="Arial" w:hAnsi="Arial" w:cs="Arial"/>
                <w:sz w:val="16"/>
                <w:szCs w:val="16"/>
              </w:rPr>
            </w:pPr>
            <w:r w:rsidRPr="007A1F1E">
              <w:rPr>
                <w:rFonts w:ascii="Arial" w:hAnsi="Arial" w:cs="Arial"/>
                <w:sz w:val="16"/>
                <w:szCs w:val="16"/>
              </w:rPr>
              <w:t>Pit 1 Area</w:t>
            </w:r>
          </w:p>
        </w:tc>
      </w:tr>
    </w:tbl>
    <w:p w:rsidR="00F17389" w:rsidRDefault="00F17389" w:rsidP="00F17389"/>
    <w:p w:rsidR="00F17389" w:rsidRDefault="00F17389" w:rsidP="00F17389">
      <w:pPr>
        <w:pStyle w:val="Heading4"/>
      </w:pPr>
      <w:r>
        <w:br w:type="page"/>
      </w:r>
      <w:bookmarkStart w:id="81" w:name="_Toc398721689"/>
      <w:bookmarkStart w:id="82" w:name="_Toc411850519"/>
      <w:r>
        <w:t>2.1.7 Bores in the Corridor Creek - Georgetown Creek Area</w:t>
      </w:r>
      <w:bookmarkEnd w:id="81"/>
      <w:bookmarkEnd w:id="82"/>
    </w:p>
    <w:p w:rsidR="00F17389" w:rsidRDefault="00F17389" w:rsidP="00F17389">
      <w:r>
        <w:t>Figure 10 shows a close up of the bores in the Corridor and Georgetown Creek area. Table 10 shows the site ID and RN numbers, the fitted screen depths and some other comments regarding the bores.</w:t>
      </w:r>
    </w:p>
    <w:p w:rsidR="00F17389" w:rsidRDefault="00F17389" w:rsidP="00F17389">
      <w:pPr>
        <w:pStyle w:val="figurecaption"/>
      </w:pPr>
      <w:r>
        <w:rPr>
          <w:noProof/>
          <w:lang w:eastAsia="en-AU"/>
        </w:rPr>
        <w:drawing>
          <wp:inline distT="0" distB="0" distL="0" distR="0">
            <wp:extent cx="3768725" cy="5319395"/>
            <wp:effectExtent l="19050" t="0" r="3175" b="0"/>
            <wp:docPr id="12" name="Picture 12" descr="CC_GC_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_GC_bores"/>
                    <pic:cNvPicPr>
                      <a:picLocks noChangeAspect="1" noChangeArrowheads="1"/>
                    </pic:cNvPicPr>
                  </pic:nvPicPr>
                  <pic:blipFill>
                    <a:blip r:embed="rId38" cstate="email"/>
                    <a:srcRect/>
                    <a:stretch>
                      <a:fillRect/>
                    </a:stretch>
                  </pic:blipFill>
                  <pic:spPr bwMode="auto">
                    <a:xfrm>
                      <a:off x="0" y="0"/>
                      <a:ext cx="3768725" cy="5319395"/>
                    </a:xfrm>
                    <a:prstGeom prst="rect">
                      <a:avLst/>
                    </a:prstGeom>
                    <a:noFill/>
                    <a:ln w="9525">
                      <a:noFill/>
                      <a:miter lim="800000"/>
                      <a:headEnd/>
                      <a:tailEnd/>
                    </a:ln>
                  </pic:spPr>
                </pic:pic>
              </a:graphicData>
            </a:graphic>
          </wp:inline>
        </w:drawing>
      </w:r>
    </w:p>
    <w:p w:rsidR="00F17389" w:rsidRDefault="00F17389" w:rsidP="00F17389">
      <w:pPr>
        <w:pStyle w:val="figurecaption"/>
      </w:pPr>
      <w:bookmarkStart w:id="83" w:name="_Toc398721494"/>
      <w:r w:rsidRPr="00347F1E">
        <w:rPr>
          <w:b/>
        </w:rPr>
        <w:t xml:space="preserve">Figure </w:t>
      </w:r>
      <w:proofErr w:type="gramStart"/>
      <w:r w:rsidRPr="00347F1E">
        <w:rPr>
          <w:b/>
        </w:rPr>
        <w:t>10</w:t>
      </w:r>
      <w:r>
        <w:t xml:space="preserve">  Bores</w:t>
      </w:r>
      <w:proofErr w:type="gramEnd"/>
      <w:r>
        <w:t xml:space="preserve"> in the Corridor and Georgetown Creek area.</w:t>
      </w:r>
      <w:bookmarkEnd w:id="83"/>
    </w:p>
    <w:p w:rsidR="00F17389" w:rsidRPr="009B59C0" w:rsidRDefault="00F17389" w:rsidP="00F17389">
      <w:pPr>
        <w:pStyle w:val="tablecaption"/>
      </w:pPr>
      <w:bookmarkStart w:id="84" w:name="_Toc386618582"/>
      <w:r w:rsidRPr="00347F1E">
        <w:rPr>
          <w:b/>
        </w:rPr>
        <w:t>Table 10</w:t>
      </w:r>
      <w:r>
        <w:t xml:space="preserve"> Site IDs, RN numbers, time period of data available and screen depths of bores in the Corridor and Georgetown Creek area.</w:t>
      </w:r>
      <w:bookmarkEnd w:id="84"/>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E0345E" w:rsidTr="00F17389">
        <w:trPr>
          <w:trHeight w:val="262"/>
        </w:trPr>
        <w:tc>
          <w:tcPr>
            <w:tcW w:w="1448" w:type="dxa"/>
            <w:tcBorders>
              <w:top w:val="single" w:sz="6" w:space="0" w:color="auto"/>
              <w:left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SiteID</w:t>
            </w:r>
          </w:p>
        </w:tc>
        <w:tc>
          <w:tcPr>
            <w:tcW w:w="1276"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RN number</w:t>
            </w:r>
          </w:p>
        </w:tc>
        <w:tc>
          <w:tcPr>
            <w:tcW w:w="1135"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Data from-to</w:t>
            </w:r>
          </w:p>
        </w:tc>
        <w:tc>
          <w:tcPr>
            <w:tcW w:w="971"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Top of screen</w:t>
            </w:r>
            <w:r>
              <w:rPr>
                <w:rFonts w:ascii="Arial" w:hAnsi="Arial" w:cs="Arial"/>
                <w:b/>
                <w:bCs/>
                <w:color w:val="000000"/>
                <w:sz w:val="16"/>
                <w:szCs w:val="16"/>
                <w:lang w:val="en-US"/>
              </w:rPr>
              <w:t xml:space="preserve"> [m]</w:t>
            </w:r>
          </w:p>
        </w:tc>
        <w:tc>
          <w:tcPr>
            <w:tcW w:w="1012"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Bottom of screen</w:t>
            </w:r>
            <w:r>
              <w:rPr>
                <w:rFonts w:ascii="Arial" w:hAnsi="Arial" w:cs="Arial"/>
                <w:b/>
                <w:bCs/>
                <w:color w:val="000000"/>
                <w:sz w:val="16"/>
                <w:szCs w:val="16"/>
                <w:lang w:val="en-US"/>
              </w:rPr>
              <w:t xml:space="preserve"> [m]</w:t>
            </w:r>
          </w:p>
        </w:tc>
        <w:tc>
          <w:tcPr>
            <w:tcW w:w="2410" w:type="dxa"/>
            <w:tcBorders>
              <w:top w:val="single" w:sz="6" w:space="0" w:color="auto"/>
              <w:bottom w:val="double" w:sz="6" w:space="0" w:color="auto"/>
              <w:right w:val="sing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comments</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RN8708</w:t>
            </w:r>
          </w:p>
        </w:tc>
        <w:tc>
          <w:tcPr>
            <w:tcW w:w="1276" w:type="dxa"/>
          </w:tcPr>
          <w:p w:rsidR="00F17389" w:rsidRPr="007A1F1E" w:rsidRDefault="00F17389" w:rsidP="00F17389">
            <w:pPr>
              <w:spacing w:after="0"/>
              <w:rPr>
                <w:rFonts w:ascii="Arial" w:hAnsi="Arial" w:cs="Arial"/>
                <w:sz w:val="16"/>
                <w:szCs w:val="16"/>
              </w:rPr>
            </w:pP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9/09-9/12</w:t>
            </w:r>
          </w:p>
        </w:tc>
        <w:tc>
          <w:tcPr>
            <w:tcW w:w="971" w:type="dxa"/>
          </w:tcPr>
          <w:p w:rsidR="00F17389" w:rsidRPr="007A1F1E" w:rsidRDefault="00F17389" w:rsidP="00F17389">
            <w:pPr>
              <w:spacing w:after="0"/>
              <w:jc w:val="center"/>
              <w:rPr>
                <w:rFonts w:ascii="Arial" w:hAnsi="Arial" w:cs="Arial"/>
                <w:sz w:val="16"/>
                <w:szCs w:val="16"/>
              </w:rPr>
            </w:pPr>
          </w:p>
        </w:tc>
        <w:tc>
          <w:tcPr>
            <w:tcW w:w="1012" w:type="dxa"/>
          </w:tcPr>
          <w:p w:rsidR="00F17389" w:rsidRPr="007A1F1E" w:rsidRDefault="00F17389" w:rsidP="00F17389">
            <w:pPr>
              <w:spacing w:after="0"/>
              <w:jc w:val="center"/>
              <w:rPr>
                <w:rFonts w:ascii="Arial" w:hAnsi="Arial" w:cs="Arial"/>
                <w:sz w:val="16"/>
                <w:szCs w:val="16"/>
              </w:rPr>
            </w:pPr>
          </w:p>
        </w:tc>
        <w:tc>
          <w:tcPr>
            <w:tcW w:w="2410" w:type="dxa"/>
            <w:tcBorders>
              <w:right w:val="single" w:sz="6" w:space="0" w:color="auto"/>
            </w:tcBorders>
          </w:tcPr>
          <w:p w:rsidR="00F17389" w:rsidRPr="007A1F1E" w:rsidRDefault="00F17389" w:rsidP="00F17389">
            <w:pPr>
              <w:spacing w:after="0"/>
              <w:jc w:val="center"/>
              <w:rPr>
                <w:rFonts w:ascii="Arial" w:hAnsi="Arial" w:cs="Arial"/>
                <w:sz w:val="16"/>
                <w:szCs w:val="16"/>
              </w:rPr>
            </w:pPr>
            <w:r w:rsidRPr="007A1F1E">
              <w:rPr>
                <w:rFonts w:ascii="Arial" w:hAnsi="Arial" w:cs="Arial"/>
                <w:sz w:val="16"/>
                <w:szCs w:val="16"/>
              </w:rPr>
              <w:t>Corridor Creek Area</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OB30</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RN022941</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11/89-9/12</w:t>
            </w:r>
          </w:p>
        </w:tc>
        <w:tc>
          <w:tcPr>
            <w:tcW w:w="971" w:type="dxa"/>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20.0</w:t>
            </w:r>
          </w:p>
        </w:tc>
        <w:tc>
          <w:tcPr>
            <w:tcW w:w="1012" w:type="dxa"/>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35.0</w:t>
            </w:r>
          </w:p>
        </w:tc>
        <w:tc>
          <w:tcPr>
            <w:tcW w:w="2410" w:type="dxa"/>
            <w:tcBorders>
              <w:right w:val="single" w:sz="6" w:space="0" w:color="auto"/>
            </w:tcBorders>
            <w:vAlign w:val="bottom"/>
          </w:tcPr>
          <w:p w:rsidR="00F17389" w:rsidRPr="00613DE7"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C12</w:t>
            </w:r>
          </w:p>
        </w:tc>
        <w:tc>
          <w:tcPr>
            <w:tcW w:w="1276" w:type="dxa"/>
          </w:tcPr>
          <w:p w:rsidR="00F17389" w:rsidRPr="007A1F1E" w:rsidRDefault="00F17389" w:rsidP="00F17389">
            <w:pPr>
              <w:spacing w:after="0"/>
              <w:rPr>
                <w:rFonts w:ascii="Arial" w:hAnsi="Arial" w:cs="Arial"/>
                <w:sz w:val="16"/>
                <w:szCs w:val="16"/>
              </w:rPr>
            </w:pP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9/11</w:t>
            </w:r>
          </w:p>
        </w:tc>
        <w:tc>
          <w:tcPr>
            <w:tcW w:w="971" w:type="dxa"/>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7.0</w:t>
            </w:r>
          </w:p>
        </w:tc>
        <w:tc>
          <w:tcPr>
            <w:tcW w:w="1012" w:type="dxa"/>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13.0</w:t>
            </w:r>
          </w:p>
        </w:tc>
        <w:tc>
          <w:tcPr>
            <w:tcW w:w="2410" w:type="dxa"/>
            <w:tcBorders>
              <w:right w:val="single" w:sz="6" w:space="0" w:color="auto"/>
            </w:tcBorders>
            <w:vAlign w:val="bottom"/>
          </w:tcPr>
          <w:p w:rsidR="00F17389" w:rsidRPr="00613DE7"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OB27</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RN022930</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9/03-9/12</w:t>
            </w:r>
          </w:p>
        </w:tc>
        <w:tc>
          <w:tcPr>
            <w:tcW w:w="971" w:type="dxa"/>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15.0</w:t>
            </w:r>
          </w:p>
        </w:tc>
        <w:tc>
          <w:tcPr>
            <w:tcW w:w="1012" w:type="dxa"/>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40.0</w:t>
            </w:r>
          </w:p>
        </w:tc>
        <w:tc>
          <w:tcPr>
            <w:tcW w:w="2410" w:type="dxa"/>
            <w:tcBorders>
              <w:right w:val="single" w:sz="6" w:space="0" w:color="auto"/>
            </w:tcBorders>
            <w:vAlign w:val="bottom"/>
          </w:tcPr>
          <w:p w:rsidR="00F17389" w:rsidRPr="00613DE7"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7A1F1E" w:rsidTr="00F17389">
        <w:trPr>
          <w:trHeight w:val="247"/>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OB28</w:t>
            </w:r>
          </w:p>
        </w:tc>
        <w:tc>
          <w:tcPr>
            <w:tcW w:w="1276" w:type="dxa"/>
            <w:tcBorders>
              <w:bottom w:val="single" w:sz="6" w:space="0" w:color="auto"/>
            </w:tcBorders>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RN023939</w:t>
            </w:r>
          </w:p>
        </w:tc>
        <w:tc>
          <w:tcPr>
            <w:tcW w:w="1135" w:type="dxa"/>
            <w:tcBorders>
              <w:bottom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11/89-5/00</w:t>
            </w:r>
          </w:p>
        </w:tc>
        <w:tc>
          <w:tcPr>
            <w:tcW w:w="971" w:type="dxa"/>
            <w:tcBorders>
              <w:bottom w:val="single" w:sz="6" w:space="0" w:color="auto"/>
            </w:tcBorders>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31.0</w:t>
            </w:r>
          </w:p>
        </w:tc>
        <w:tc>
          <w:tcPr>
            <w:tcW w:w="1012" w:type="dxa"/>
            <w:tcBorders>
              <w:bottom w:val="single" w:sz="6" w:space="0" w:color="auto"/>
            </w:tcBorders>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46.0</w:t>
            </w:r>
          </w:p>
        </w:tc>
        <w:tc>
          <w:tcPr>
            <w:tcW w:w="2410" w:type="dxa"/>
            <w:tcBorders>
              <w:bottom w:val="single" w:sz="6" w:space="0" w:color="auto"/>
              <w:right w:val="single" w:sz="6" w:space="0" w:color="auto"/>
            </w:tcBorders>
            <w:vAlign w:val="bottom"/>
          </w:tcPr>
          <w:p w:rsidR="00F17389" w:rsidRPr="00613DE7" w:rsidRDefault="00F17389" w:rsidP="00F17389">
            <w:pPr>
              <w:spacing w:after="0"/>
              <w:jc w:val="center"/>
              <w:rPr>
                <w:rFonts w:ascii="Arial" w:hAnsi="Arial" w:cs="Arial"/>
                <w:sz w:val="16"/>
                <w:szCs w:val="16"/>
              </w:rPr>
            </w:pPr>
          </w:p>
        </w:tc>
      </w:tr>
    </w:tbl>
    <w:p w:rsidR="00F17389" w:rsidRDefault="00F17389" w:rsidP="00F17389"/>
    <w:p w:rsidR="00F17389" w:rsidRDefault="00F17389" w:rsidP="00F17389">
      <w:pPr>
        <w:pStyle w:val="Heading4"/>
      </w:pPr>
      <w:r>
        <w:br w:type="page"/>
      </w:r>
      <w:bookmarkStart w:id="85" w:name="_Toc398721690"/>
      <w:bookmarkStart w:id="86" w:name="_Toc411850520"/>
      <w:r>
        <w:t>2.1.8 Bores in the RP2/Pit 3 Area</w:t>
      </w:r>
      <w:bookmarkEnd w:id="85"/>
      <w:bookmarkEnd w:id="86"/>
    </w:p>
    <w:p w:rsidR="00F17389" w:rsidRDefault="00F17389" w:rsidP="00F17389">
      <w:r>
        <w:t>Figure 11 shows a close up of the bores in the RP2/Pit 3 area. Table 11 shows the site ID and RN numbers, the fitted screen depths and some other comments regarding the bore.</w:t>
      </w:r>
    </w:p>
    <w:p w:rsidR="00F17389" w:rsidRDefault="00F17389" w:rsidP="00F17389">
      <w:pPr>
        <w:pStyle w:val="figurecaption"/>
      </w:pPr>
      <w:r>
        <w:rPr>
          <w:noProof/>
          <w:lang w:eastAsia="en-AU"/>
        </w:rPr>
        <w:drawing>
          <wp:inline distT="0" distB="0" distL="0" distR="0">
            <wp:extent cx="3768725" cy="5319395"/>
            <wp:effectExtent l="19050" t="0" r="3175" b="0"/>
            <wp:docPr id="13" name="Picture 13" descr="RP2_Pit3_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2_Pit3_bores"/>
                    <pic:cNvPicPr>
                      <a:picLocks noChangeAspect="1" noChangeArrowheads="1"/>
                    </pic:cNvPicPr>
                  </pic:nvPicPr>
                  <pic:blipFill>
                    <a:blip r:embed="rId39" cstate="email"/>
                    <a:srcRect/>
                    <a:stretch>
                      <a:fillRect/>
                    </a:stretch>
                  </pic:blipFill>
                  <pic:spPr bwMode="auto">
                    <a:xfrm>
                      <a:off x="0" y="0"/>
                      <a:ext cx="3768725" cy="5319395"/>
                    </a:xfrm>
                    <a:prstGeom prst="rect">
                      <a:avLst/>
                    </a:prstGeom>
                    <a:noFill/>
                    <a:ln w="9525">
                      <a:noFill/>
                      <a:miter lim="800000"/>
                      <a:headEnd/>
                      <a:tailEnd/>
                    </a:ln>
                  </pic:spPr>
                </pic:pic>
              </a:graphicData>
            </a:graphic>
          </wp:inline>
        </w:drawing>
      </w:r>
    </w:p>
    <w:p w:rsidR="00F17389" w:rsidRDefault="00F17389" w:rsidP="00F17389">
      <w:pPr>
        <w:pStyle w:val="figurecaption"/>
      </w:pPr>
      <w:bookmarkStart w:id="87" w:name="_Toc398721495"/>
      <w:r w:rsidRPr="00347F1E">
        <w:rPr>
          <w:b/>
        </w:rPr>
        <w:t>Figure 11</w:t>
      </w:r>
      <w:r>
        <w:t xml:space="preserve"> Bores in the RP2/Pit 3 area.</w:t>
      </w:r>
      <w:bookmarkEnd w:id="87"/>
    </w:p>
    <w:p w:rsidR="00F17389" w:rsidRPr="009C098B" w:rsidRDefault="00F17389" w:rsidP="00F17389"/>
    <w:p w:rsidR="00F17389" w:rsidRPr="009B59C0" w:rsidRDefault="00F17389" w:rsidP="00F17389">
      <w:pPr>
        <w:pStyle w:val="tablecaption"/>
      </w:pPr>
      <w:bookmarkStart w:id="88" w:name="_Toc386618583"/>
      <w:r w:rsidRPr="00347F1E">
        <w:rPr>
          <w:b/>
        </w:rPr>
        <w:t>Table 11</w:t>
      </w:r>
      <w:r>
        <w:t xml:space="preserve"> Site IDs, RN numbers, time period of data available and screen depths of bores in the RP2/Pit 3 area.</w:t>
      </w:r>
      <w:bookmarkEnd w:id="88"/>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E0345E" w:rsidTr="00F17389">
        <w:trPr>
          <w:trHeight w:val="262"/>
        </w:trPr>
        <w:tc>
          <w:tcPr>
            <w:tcW w:w="1448" w:type="dxa"/>
            <w:tcBorders>
              <w:top w:val="single" w:sz="6" w:space="0" w:color="auto"/>
              <w:left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SiteID</w:t>
            </w:r>
          </w:p>
        </w:tc>
        <w:tc>
          <w:tcPr>
            <w:tcW w:w="1276"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RN number</w:t>
            </w:r>
          </w:p>
        </w:tc>
        <w:tc>
          <w:tcPr>
            <w:tcW w:w="1135"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Data from-to</w:t>
            </w:r>
          </w:p>
        </w:tc>
        <w:tc>
          <w:tcPr>
            <w:tcW w:w="971"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Top of screen</w:t>
            </w:r>
            <w:r>
              <w:rPr>
                <w:rFonts w:ascii="Arial" w:hAnsi="Arial" w:cs="Arial"/>
                <w:b/>
                <w:bCs/>
                <w:color w:val="000000"/>
                <w:sz w:val="16"/>
                <w:szCs w:val="16"/>
                <w:lang w:val="en-US"/>
              </w:rPr>
              <w:t xml:space="preserve"> [m]</w:t>
            </w:r>
          </w:p>
        </w:tc>
        <w:tc>
          <w:tcPr>
            <w:tcW w:w="1012" w:type="dxa"/>
            <w:tcBorders>
              <w:top w:val="single" w:sz="6" w:space="0" w:color="auto"/>
              <w:bottom w:val="doub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Bottom of screen</w:t>
            </w:r>
            <w:r>
              <w:rPr>
                <w:rFonts w:ascii="Arial" w:hAnsi="Arial" w:cs="Arial"/>
                <w:b/>
                <w:bCs/>
                <w:color w:val="000000"/>
                <w:sz w:val="16"/>
                <w:szCs w:val="16"/>
                <w:lang w:val="en-US"/>
              </w:rPr>
              <w:t xml:space="preserve"> [m]</w:t>
            </w:r>
          </w:p>
        </w:tc>
        <w:tc>
          <w:tcPr>
            <w:tcW w:w="2410" w:type="dxa"/>
            <w:tcBorders>
              <w:top w:val="single" w:sz="6" w:space="0" w:color="auto"/>
              <w:bottom w:val="double" w:sz="6" w:space="0" w:color="auto"/>
              <w:right w:val="single" w:sz="6" w:space="0" w:color="auto"/>
            </w:tcBorders>
          </w:tcPr>
          <w:p w:rsidR="00F17389" w:rsidRPr="00E0345E" w:rsidRDefault="00F17389" w:rsidP="00F17389">
            <w:pPr>
              <w:spacing w:after="0"/>
              <w:jc w:val="center"/>
              <w:rPr>
                <w:rFonts w:ascii="Arial" w:hAnsi="Arial" w:cs="Arial"/>
                <w:b/>
                <w:bCs/>
                <w:color w:val="000000"/>
                <w:sz w:val="16"/>
                <w:szCs w:val="16"/>
                <w:lang w:val="en-US"/>
              </w:rPr>
            </w:pPr>
            <w:r w:rsidRPr="00E0345E">
              <w:rPr>
                <w:rFonts w:ascii="Arial" w:hAnsi="Arial" w:cs="Arial"/>
                <w:b/>
                <w:bCs/>
                <w:color w:val="000000"/>
                <w:sz w:val="16"/>
                <w:szCs w:val="16"/>
                <w:lang w:val="en-US"/>
              </w:rPr>
              <w:t>comments</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R.P. 79/ 1 Ranger</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RN020090</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7/88-5/96</w:t>
            </w:r>
          </w:p>
        </w:tc>
        <w:tc>
          <w:tcPr>
            <w:tcW w:w="971" w:type="dxa"/>
            <w:vAlign w:val="bottom"/>
          </w:tcPr>
          <w:p w:rsidR="00F17389" w:rsidRPr="00613DE7" w:rsidRDefault="00F17389" w:rsidP="00F17389">
            <w:pPr>
              <w:spacing w:after="0"/>
              <w:jc w:val="center"/>
              <w:rPr>
                <w:rFonts w:ascii="Arial" w:hAnsi="Arial" w:cs="Arial"/>
                <w:sz w:val="16"/>
                <w:szCs w:val="16"/>
              </w:rPr>
            </w:pPr>
            <w:r>
              <w:rPr>
                <w:rFonts w:ascii="Arial" w:hAnsi="Arial" w:cs="Arial"/>
                <w:sz w:val="16"/>
                <w:szCs w:val="16"/>
              </w:rPr>
              <w:t>21.0</w:t>
            </w:r>
          </w:p>
        </w:tc>
        <w:tc>
          <w:tcPr>
            <w:tcW w:w="1012" w:type="dxa"/>
            <w:vAlign w:val="bottom"/>
          </w:tcPr>
          <w:p w:rsidR="00F17389" w:rsidRPr="00613DE7" w:rsidRDefault="00F17389" w:rsidP="00F17389">
            <w:pPr>
              <w:spacing w:after="0"/>
              <w:jc w:val="center"/>
              <w:rPr>
                <w:rFonts w:ascii="Arial" w:hAnsi="Arial" w:cs="Arial"/>
                <w:sz w:val="16"/>
                <w:szCs w:val="16"/>
              </w:rPr>
            </w:pPr>
            <w:r>
              <w:rPr>
                <w:rFonts w:ascii="Arial" w:hAnsi="Arial" w:cs="Arial"/>
                <w:sz w:val="16"/>
                <w:szCs w:val="16"/>
              </w:rPr>
              <w:t>23.0</w:t>
            </w:r>
          </w:p>
        </w:tc>
        <w:tc>
          <w:tcPr>
            <w:tcW w:w="2410" w:type="dxa"/>
            <w:tcBorders>
              <w:right w:val="single" w:sz="6" w:space="0" w:color="auto"/>
            </w:tcBorders>
            <w:vAlign w:val="bottom"/>
          </w:tcPr>
          <w:p w:rsidR="00F17389" w:rsidRPr="007A1F1E" w:rsidRDefault="00F17389" w:rsidP="00F17389">
            <w:pPr>
              <w:spacing w:after="0"/>
              <w:jc w:val="center"/>
              <w:rPr>
                <w:rFonts w:ascii="Arial" w:hAnsi="Arial" w:cs="Arial"/>
                <w:sz w:val="16"/>
                <w:szCs w:val="16"/>
              </w:rPr>
            </w:pPr>
            <w:r>
              <w:rPr>
                <w:rFonts w:ascii="Arial" w:hAnsi="Arial" w:cs="Arial"/>
                <w:sz w:val="16"/>
                <w:szCs w:val="16"/>
              </w:rPr>
              <w:t>buried</w:t>
            </w:r>
          </w:p>
        </w:tc>
      </w:tr>
      <w:tr w:rsidR="00F17389" w:rsidRPr="007A1F1E"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R.P. 79/ 2 Ranger</w:t>
            </w:r>
          </w:p>
        </w:tc>
        <w:tc>
          <w:tcPr>
            <w:tcW w:w="1276" w:type="dxa"/>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RN020091</w:t>
            </w:r>
          </w:p>
        </w:tc>
        <w:tc>
          <w:tcPr>
            <w:tcW w:w="1135" w:type="dxa"/>
          </w:tcPr>
          <w:p w:rsidR="00F17389" w:rsidRPr="007A1F1E" w:rsidRDefault="00F17389" w:rsidP="00F17389">
            <w:pPr>
              <w:spacing w:after="0"/>
              <w:jc w:val="center"/>
              <w:rPr>
                <w:rFonts w:ascii="Arial" w:hAnsi="Arial" w:cs="Arial"/>
                <w:sz w:val="16"/>
                <w:szCs w:val="16"/>
              </w:rPr>
            </w:pPr>
            <w:r>
              <w:rPr>
                <w:rFonts w:ascii="Arial" w:hAnsi="Arial" w:cs="Arial"/>
                <w:sz w:val="16"/>
                <w:szCs w:val="16"/>
              </w:rPr>
              <w:t>1/89</w:t>
            </w:r>
          </w:p>
        </w:tc>
        <w:tc>
          <w:tcPr>
            <w:tcW w:w="971" w:type="dxa"/>
            <w:vAlign w:val="bottom"/>
          </w:tcPr>
          <w:p w:rsidR="00F17389" w:rsidRPr="00613DE7" w:rsidRDefault="00F17389" w:rsidP="00F17389">
            <w:pPr>
              <w:spacing w:after="0"/>
              <w:jc w:val="center"/>
              <w:rPr>
                <w:rFonts w:ascii="Arial" w:hAnsi="Arial" w:cs="Arial"/>
                <w:sz w:val="16"/>
                <w:szCs w:val="16"/>
              </w:rPr>
            </w:pPr>
          </w:p>
        </w:tc>
        <w:tc>
          <w:tcPr>
            <w:tcW w:w="1012" w:type="dxa"/>
            <w:vAlign w:val="bottom"/>
          </w:tcPr>
          <w:p w:rsidR="00F17389" w:rsidRPr="00613DE7" w:rsidRDefault="00F17389" w:rsidP="00F17389">
            <w:pPr>
              <w:spacing w:after="0"/>
              <w:jc w:val="center"/>
              <w:rPr>
                <w:rFonts w:ascii="Arial" w:hAnsi="Arial" w:cs="Arial"/>
                <w:sz w:val="16"/>
                <w:szCs w:val="16"/>
              </w:rPr>
            </w:pPr>
          </w:p>
        </w:tc>
        <w:tc>
          <w:tcPr>
            <w:tcW w:w="2410" w:type="dxa"/>
            <w:tcBorders>
              <w:right w:val="single" w:sz="6" w:space="0" w:color="auto"/>
            </w:tcBorders>
            <w:vAlign w:val="bottom"/>
          </w:tcPr>
          <w:p w:rsidR="00F17389" w:rsidRPr="007A1F1E"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7A1F1E" w:rsidTr="00F17389">
        <w:trPr>
          <w:trHeight w:val="247"/>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OB29</w:t>
            </w:r>
          </w:p>
        </w:tc>
        <w:tc>
          <w:tcPr>
            <w:tcW w:w="1276" w:type="dxa"/>
            <w:tcBorders>
              <w:bottom w:val="single" w:sz="6" w:space="0" w:color="auto"/>
            </w:tcBorders>
          </w:tcPr>
          <w:p w:rsidR="00F17389" w:rsidRPr="007A1F1E" w:rsidRDefault="00F17389" w:rsidP="00F17389">
            <w:pPr>
              <w:spacing w:after="0"/>
              <w:rPr>
                <w:rFonts w:ascii="Arial" w:hAnsi="Arial" w:cs="Arial"/>
                <w:sz w:val="16"/>
                <w:szCs w:val="16"/>
              </w:rPr>
            </w:pPr>
            <w:r w:rsidRPr="007A1F1E">
              <w:rPr>
                <w:rFonts w:ascii="Arial" w:hAnsi="Arial" w:cs="Arial"/>
                <w:sz w:val="16"/>
                <w:szCs w:val="16"/>
              </w:rPr>
              <w:t>RN022940</w:t>
            </w:r>
          </w:p>
        </w:tc>
        <w:tc>
          <w:tcPr>
            <w:tcW w:w="1135" w:type="dxa"/>
            <w:tcBorders>
              <w:bottom w:val="single" w:sz="6" w:space="0" w:color="auto"/>
            </w:tcBorders>
          </w:tcPr>
          <w:p w:rsidR="00F17389" w:rsidRPr="007A1F1E" w:rsidRDefault="00F17389" w:rsidP="00F17389">
            <w:pPr>
              <w:spacing w:after="0"/>
              <w:jc w:val="center"/>
              <w:rPr>
                <w:rFonts w:ascii="Arial" w:hAnsi="Arial" w:cs="Arial"/>
                <w:sz w:val="16"/>
                <w:szCs w:val="16"/>
              </w:rPr>
            </w:pPr>
            <w:r>
              <w:rPr>
                <w:rFonts w:ascii="Arial" w:hAnsi="Arial" w:cs="Arial"/>
                <w:sz w:val="16"/>
                <w:szCs w:val="16"/>
              </w:rPr>
              <w:t>1/89-5/02</w:t>
            </w:r>
          </w:p>
        </w:tc>
        <w:tc>
          <w:tcPr>
            <w:tcW w:w="971" w:type="dxa"/>
            <w:tcBorders>
              <w:bottom w:val="single" w:sz="6" w:space="0" w:color="auto"/>
            </w:tcBorders>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35.0</w:t>
            </w:r>
          </w:p>
        </w:tc>
        <w:tc>
          <w:tcPr>
            <w:tcW w:w="1012" w:type="dxa"/>
            <w:tcBorders>
              <w:bottom w:val="single" w:sz="6" w:space="0" w:color="auto"/>
            </w:tcBorders>
            <w:vAlign w:val="bottom"/>
          </w:tcPr>
          <w:p w:rsidR="00F17389" w:rsidRPr="00613DE7" w:rsidRDefault="00F17389" w:rsidP="00F17389">
            <w:pPr>
              <w:spacing w:after="0"/>
              <w:jc w:val="center"/>
              <w:rPr>
                <w:rFonts w:ascii="Arial" w:hAnsi="Arial" w:cs="Arial"/>
                <w:sz w:val="16"/>
                <w:szCs w:val="16"/>
              </w:rPr>
            </w:pPr>
            <w:r w:rsidRPr="00613DE7">
              <w:rPr>
                <w:rFonts w:ascii="Arial" w:hAnsi="Arial" w:cs="Arial"/>
                <w:sz w:val="16"/>
                <w:szCs w:val="16"/>
              </w:rPr>
              <w:t>50.0</w:t>
            </w:r>
          </w:p>
        </w:tc>
        <w:tc>
          <w:tcPr>
            <w:tcW w:w="2410" w:type="dxa"/>
            <w:tcBorders>
              <w:bottom w:val="single" w:sz="6" w:space="0" w:color="auto"/>
              <w:right w:val="single" w:sz="6" w:space="0" w:color="auto"/>
            </w:tcBorders>
            <w:vAlign w:val="bottom"/>
          </w:tcPr>
          <w:p w:rsidR="00F17389" w:rsidRPr="007A1F1E" w:rsidRDefault="00F17389" w:rsidP="00F17389">
            <w:pPr>
              <w:spacing w:after="0"/>
              <w:jc w:val="center"/>
              <w:rPr>
                <w:rFonts w:ascii="Arial" w:hAnsi="Arial" w:cs="Arial"/>
                <w:sz w:val="16"/>
                <w:szCs w:val="16"/>
              </w:rPr>
            </w:pPr>
            <w:r>
              <w:rPr>
                <w:rFonts w:ascii="Arial" w:hAnsi="Arial" w:cs="Arial"/>
                <w:sz w:val="16"/>
                <w:szCs w:val="16"/>
              </w:rPr>
              <w:t>buried</w:t>
            </w:r>
          </w:p>
        </w:tc>
      </w:tr>
    </w:tbl>
    <w:p w:rsidR="00F17389" w:rsidRDefault="00F17389" w:rsidP="00F17389"/>
    <w:p w:rsidR="00F17389" w:rsidRDefault="00F17389" w:rsidP="00F17389">
      <w:pPr>
        <w:pStyle w:val="Heading4"/>
      </w:pPr>
      <w:r>
        <w:br w:type="page"/>
      </w:r>
      <w:bookmarkStart w:id="89" w:name="_Toc398721691"/>
      <w:bookmarkStart w:id="90" w:name="_Toc411850521"/>
      <w:r>
        <w:t>2.1.9 Bores in the Djalkmarra and Magela Creek area</w:t>
      </w:r>
      <w:bookmarkEnd w:id="89"/>
      <w:bookmarkEnd w:id="90"/>
    </w:p>
    <w:p w:rsidR="00F17389" w:rsidRDefault="00F17389" w:rsidP="00F17389">
      <w:r>
        <w:t>Figure 12 shows a close up of the bores in the Djalkmarra and Magela Creek area. Table 12 shows the site ID and RN numbers, the fitted screen depths and some other comments regarding the bore.</w:t>
      </w:r>
    </w:p>
    <w:p w:rsidR="00F17389" w:rsidRDefault="00F17389" w:rsidP="00F17389">
      <w:pPr>
        <w:pStyle w:val="figurecaption"/>
      </w:pPr>
      <w:r>
        <w:rPr>
          <w:noProof/>
          <w:lang w:eastAsia="en-AU"/>
        </w:rPr>
        <w:drawing>
          <wp:inline distT="0" distB="0" distL="0" distR="0">
            <wp:extent cx="3768725" cy="5319395"/>
            <wp:effectExtent l="19050" t="0" r="3175" b="0"/>
            <wp:docPr id="14" name="Picture 14" descr="Pit3_Magela_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t3_Magela_bores"/>
                    <pic:cNvPicPr>
                      <a:picLocks noChangeAspect="1" noChangeArrowheads="1"/>
                    </pic:cNvPicPr>
                  </pic:nvPicPr>
                  <pic:blipFill>
                    <a:blip r:embed="rId40" cstate="email"/>
                    <a:srcRect/>
                    <a:stretch>
                      <a:fillRect/>
                    </a:stretch>
                  </pic:blipFill>
                  <pic:spPr bwMode="auto">
                    <a:xfrm>
                      <a:off x="0" y="0"/>
                      <a:ext cx="3768725" cy="5319395"/>
                    </a:xfrm>
                    <a:prstGeom prst="rect">
                      <a:avLst/>
                    </a:prstGeom>
                    <a:noFill/>
                    <a:ln w="9525">
                      <a:noFill/>
                      <a:miter lim="800000"/>
                      <a:headEnd/>
                      <a:tailEnd/>
                    </a:ln>
                  </pic:spPr>
                </pic:pic>
              </a:graphicData>
            </a:graphic>
          </wp:inline>
        </w:drawing>
      </w:r>
    </w:p>
    <w:p w:rsidR="00F17389" w:rsidRDefault="00F17389" w:rsidP="00F17389">
      <w:pPr>
        <w:pStyle w:val="figurecaption"/>
      </w:pPr>
      <w:bookmarkStart w:id="91" w:name="_Toc398721496"/>
      <w:r w:rsidRPr="00347F1E">
        <w:rPr>
          <w:b/>
        </w:rPr>
        <w:t>Figure 12</w:t>
      </w:r>
      <w:r>
        <w:t xml:space="preserve"> Bores in the Djalkmarra and Magela Creek area.</w:t>
      </w:r>
      <w:bookmarkEnd w:id="91"/>
    </w:p>
    <w:p w:rsidR="00F17389" w:rsidRDefault="00F17389" w:rsidP="00F17389">
      <w:pPr>
        <w:pStyle w:val="tablecaption"/>
      </w:pPr>
      <w:bookmarkStart w:id="92" w:name="_Toc386618584"/>
      <w:r w:rsidRPr="00347F1E">
        <w:rPr>
          <w:b/>
        </w:rPr>
        <w:t>Table 12</w:t>
      </w:r>
      <w:r>
        <w:t xml:space="preserve"> Site IDs, RN numbers, time period of data available and screen depths of bores in the Djalkmarra and Magela Creek area.</w:t>
      </w:r>
      <w:bookmarkEnd w:id="92"/>
    </w:p>
    <w:tbl>
      <w:tblPr>
        <w:tblW w:w="8252" w:type="dxa"/>
        <w:tblLayout w:type="fixed"/>
        <w:tblCellMar>
          <w:left w:w="30" w:type="dxa"/>
          <w:right w:w="30" w:type="dxa"/>
        </w:tblCellMar>
        <w:tblLook w:val="0000"/>
      </w:tblPr>
      <w:tblGrid>
        <w:gridCol w:w="1448"/>
        <w:gridCol w:w="1276"/>
        <w:gridCol w:w="1135"/>
        <w:gridCol w:w="971"/>
        <w:gridCol w:w="1012"/>
        <w:gridCol w:w="2410"/>
      </w:tblGrid>
      <w:tr w:rsidR="00F17389" w:rsidRPr="003F1755" w:rsidTr="00F17389">
        <w:trPr>
          <w:trHeight w:val="262"/>
        </w:trPr>
        <w:tc>
          <w:tcPr>
            <w:tcW w:w="1448" w:type="dxa"/>
            <w:tcBorders>
              <w:top w:val="single" w:sz="6" w:space="0" w:color="auto"/>
              <w:left w:val="single" w:sz="6" w:space="0" w:color="auto"/>
              <w:bottom w:val="double" w:sz="6" w:space="0" w:color="auto"/>
            </w:tcBorders>
          </w:tcPr>
          <w:p w:rsidR="00F17389" w:rsidRPr="003F1755" w:rsidRDefault="00F17389" w:rsidP="00F17389">
            <w:pPr>
              <w:spacing w:after="0"/>
              <w:jc w:val="center"/>
              <w:rPr>
                <w:rFonts w:ascii="Arial" w:hAnsi="Arial" w:cs="Arial"/>
                <w:b/>
                <w:bCs/>
                <w:sz w:val="16"/>
                <w:szCs w:val="16"/>
                <w:lang w:val="en-US"/>
              </w:rPr>
            </w:pPr>
            <w:r w:rsidRPr="003F1755">
              <w:rPr>
                <w:rFonts w:ascii="Arial" w:hAnsi="Arial" w:cs="Arial"/>
                <w:b/>
                <w:bCs/>
                <w:sz w:val="16"/>
                <w:szCs w:val="16"/>
                <w:lang w:val="en-US"/>
              </w:rPr>
              <w:t>SiteID</w:t>
            </w:r>
          </w:p>
        </w:tc>
        <w:tc>
          <w:tcPr>
            <w:tcW w:w="1276" w:type="dxa"/>
            <w:tcBorders>
              <w:top w:val="single" w:sz="6" w:space="0" w:color="auto"/>
              <w:bottom w:val="double" w:sz="6" w:space="0" w:color="auto"/>
            </w:tcBorders>
          </w:tcPr>
          <w:p w:rsidR="00F17389" w:rsidRPr="003F1755" w:rsidRDefault="00F17389" w:rsidP="00F17389">
            <w:pPr>
              <w:spacing w:after="0"/>
              <w:jc w:val="center"/>
              <w:rPr>
                <w:rFonts w:ascii="Arial" w:hAnsi="Arial" w:cs="Arial"/>
                <w:b/>
                <w:bCs/>
                <w:sz w:val="16"/>
                <w:szCs w:val="16"/>
                <w:lang w:val="en-US"/>
              </w:rPr>
            </w:pPr>
            <w:r w:rsidRPr="003F1755">
              <w:rPr>
                <w:rFonts w:ascii="Arial" w:hAnsi="Arial" w:cs="Arial"/>
                <w:b/>
                <w:bCs/>
                <w:sz w:val="16"/>
                <w:szCs w:val="16"/>
                <w:lang w:val="en-US"/>
              </w:rPr>
              <w:t>RN number</w:t>
            </w:r>
          </w:p>
        </w:tc>
        <w:tc>
          <w:tcPr>
            <w:tcW w:w="1135" w:type="dxa"/>
            <w:tcBorders>
              <w:top w:val="single" w:sz="6" w:space="0" w:color="auto"/>
              <w:bottom w:val="double" w:sz="6" w:space="0" w:color="auto"/>
            </w:tcBorders>
          </w:tcPr>
          <w:p w:rsidR="00F17389" w:rsidRPr="003F1755" w:rsidRDefault="00F17389" w:rsidP="00F17389">
            <w:pPr>
              <w:spacing w:after="0"/>
              <w:jc w:val="center"/>
              <w:rPr>
                <w:rFonts w:ascii="Arial" w:hAnsi="Arial" w:cs="Arial"/>
                <w:b/>
                <w:bCs/>
                <w:sz w:val="16"/>
                <w:szCs w:val="16"/>
                <w:lang w:val="en-US"/>
              </w:rPr>
            </w:pPr>
            <w:r w:rsidRPr="003F1755">
              <w:rPr>
                <w:rFonts w:ascii="Arial" w:hAnsi="Arial" w:cs="Arial"/>
                <w:b/>
                <w:bCs/>
                <w:sz w:val="16"/>
                <w:szCs w:val="16"/>
                <w:lang w:val="en-US"/>
              </w:rPr>
              <w:t>Data from-to</w:t>
            </w:r>
          </w:p>
        </w:tc>
        <w:tc>
          <w:tcPr>
            <w:tcW w:w="971" w:type="dxa"/>
            <w:tcBorders>
              <w:top w:val="single" w:sz="6" w:space="0" w:color="auto"/>
              <w:bottom w:val="double" w:sz="6" w:space="0" w:color="auto"/>
            </w:tcBorders>
          </w:tcPr>
          <w:p w:rsidR="00F17389" w:rsidRPr="003F1755" w:rsidRDefault="00F17389" w:rsidP="00F17389">
            <w:pPr>
              <w:spacing w:after="0"/>
              <w:jc w:val="center"/>
              <w:rPr>
                <w:rFonts w:ascii="Arial" w:hAnsi="Arial" w:cs="Arial"/>
                <w:b/>
                <w:bCs/>
                <w:sz w:val="16"/>
                <w:szCs w:val="16"/>
                <w:lang w:val="en-US"/>
              </w:rPr>
            </w:pPr>
            <w:r w:rsidRPr="003F1755">
              <w:rPr>
                <w:rFonts w:ascii="Arial" w:hAnsi="Arial" w:cs="Arial"/>
                <w:b/>
                <w:bCs/>
                <w:sz w:val="16"/>
                <w:szCs w:val="16"/>
                <w:lang w:val="en-US"/>
              </w:rPr>
              <w:t>Top of screen</w:t>
            </w:r>
            <w:r>
              <w:rPr>
                <w:rFonts w:ascii="Arial" w:hAnsi="Arial" w:cs="Arial"/>
                <w:b/>
                <w:bCs/>
                <w:sz w:val="16"/>
                <w:szCs w:val="16"/>
                <w:lang w:val="en-US"/>
              </w:rPr>
              <w:t xml:space="preserve"> [m]</w:t>
            </w:r>
          </w:p>
        </w:tc>
        <w:tc>
          <w:tcPr>
            <w:tcW w:w="1012" w:type="dxa"/>
            <w:tcBorders>
              <w:top w:val="single" w:sz="6" w:space="0" w:color="auto"/>
              <w:bottom w:val="double" w:sz="6" w:space="0" w:color="auto"/>
            </w:tcBorders>
          </w:tcPr>
          <w:p w:rsidR="00F17389" w:rsidRPr="003F1755" w:rsidRDefault="00F17389" w:rsidP="00F17389">
            <w:pPr>
              <w:spacing w:after="0"/>
              <w:jc w:val="center"/>
              <w:rPr>
                <w:rFonts w:ascii="Arial" w:hAnsi="Arial" w:cs="Arial"/>
                <w:b/>
                <w:bCs/>
                <w:sz w:val="16"/>
                <w:szCs w:val="16"/>
                <w:lang w:val="en-US"/>
              </w:rPr>
            </w:pPr>
            <w:r w:rsidRPr="003F1755">
              <w:rPr>
                <w:rFonts w:ascii="Arial" w:hAnsi="Arial" w:cs="Arial"/>
                <w:b/>
                <w:bCs/>
                <w:sz w:val="16"/>
                <w:szCs w:val="16"/>
                <w:lang w:val="en-US"/>
              </w:rPr>
              <w:t>Bottom of screen</w:t>
            </w:r>
            <w:r>
              <w:rPr>
                <w:rFonts w:ascii="Arial" w:hAnsi="Arial" w:cs="Arial"/>
                <w:b/>
                <w:bCs/>
                <w:sz w:val="16"/>
                <w:szCs w:val="16"/>
                <w:lang w:val="en-US"/>
              </w:rPr>
              <w:t xml:space="preserve"> [m]</w:t>
            </w:r>
          </w:p>
        </w:tc>
        <w:tc>
          <w:tcPr>
            <w:tcW w:w="2410" w:type="dxa"/>
            <w:tcBorders>
              <w:top w:val="single" w:sz="6" w:space="0" w:color="auto"/>
              <w:bottom w:val="double" w:sz="6" w:space="0" w:color="auto"/>
              <w:right w:val="single" w:sz="6" w:space="0" w:color="auto"/>
            </w:tcBorders>
          </w:tcPr>
          <w:p w:rsidR="00F17389" w:rsidRPr="003F1755" w:rsidRDefault="00F17389" w:rsidP="00F17389">
            <w:pPr>
              <w:spacing w:after="0"/>
              <w:jc w:val="center"/>
              <w:rPr>
                <w:rFonts w:ascii="Arial" w:hAnsi="Arial" w:cs="Arial"/>
                <w:b/>
                <w:bCs/>
                <w:sz w:val="16"/>
                <w:szCs w:val="16"/>
                <w:lang w:val="en-US"/>
              </w:rPr>
            </w:pPr>
            <w:r w:rsidRPr="003F1755">
              <w:rPr>
                <w:rFonts w:ascii="Arial" w:hAnsi="Arial" w:cs="Arial"/>
                <w:b/>
                <w:bCs/>
                <w:sz w:val="16"/>
                <w:szCs w:val="16"/>
                <w:lang w:val="en-US"/>
              </w:rPr>
              <w:t>comments</w:t>
            </w:r>
          </w:p>
        </w:tc>
      </w:tr>
      <w:tr w:rsidR="00F17389" w:rsidRPr="003F1755"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MC24</w:t>
            </w:r>
          </w:p>
        </w:tc>
        <w:tc>
          <w:tcPr>
            <w:tcW w:w="1276" w:type="dxa"/>
          </w:tcPr>
          <w:p w:rsidR="00F17389" w:rsidRPr="003F1755" w:rsidRDefault="00F17389" w:rsidP="00F17389">
            <w:pPr>
              <w:spacing w:after="0"/>
              <w:rPr>
                <w:rFonts w:ascii="Arial" w:hAnsi="Arial" w:cs="Arial"/>
                <w:sz w:val="16"/>
                <w:szCs w:val="16"/>
              </w:rPr>
            </w:pPr>
            <w:r w:rsidRPr="003F1755">
              <w:rPr>
                <w:rFonts w:ascii="Arial" w:hAnsi="Arial" w:cs="Arial"/>
                <w:sz w:val="16"/>
                <w:szCs w:val="16"/>
              </w:rPr>
              <w:t>RN025466</w:t>
            </w:r>
          </w:p>
        </w:tc>
        <w:tc>
          <w:tcPr>
            <w:tcW w:w="1135" w:type="dxa"/>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9/03</w:t>
            </w:r>
          </w:p>
        </w:tc>
        <w:tc>
          <w:tcPr>
            <w:tcW w:w="971" w:type="dxa"/>
            <w:vAlign w:val="bottom"/>
          </w:tcPr>
          <w:p w:rsidR="00F17389" w:rsidRPr="003F1755" w:rsidRDefault="00F17389" w:rsidP="00F17389">
            <w:pPr>
              <w:spacing w:after="0"/>
              <w:jc w:val="center"/>
              <w:rPr>
                <w:rFonts w:ascii="Arial" w:hAnsi="Arial" w:cs="Arial"/>
                <w:sz w:val="16"/>
                <w:szCs w:val="16"/>
              </w:rPr>
            </w:pPr>
          </w:p>
        </w:tc>
        <w:tc>
          <w:tcPr>
            <w:tcW w:w="1012" w:type="dxa"/>
            <w:vAlign w:val="bottom"/>
          </w:tcPr>
          <w:p w:rsidR="00F17389" w:rsidRPr="003F1755" w:rsidRDefault="00F17389" w:rsidP="00F17389">
            <w:pPr>
              <w:spacing w:after="0"/>
              <w:jc w:val="center"/>
              <w:rPr>
                <w:rFonts w:ascii="Arial" w:hAnsi="Arial" w:cs="Arial"/>
                <w:sz w:val="16"/>
                <w:szCs w:val="16"/>
              </w:rPr>
            </w:pPr>
          </w:p>
        </w:tc>
        <w:tc>
          <w:tcPr>
            <w:tcW w:w="2410" w:type="dxa"/>
            <w:tcBorders>
              <w:right w:val="single" w:sz="6" w:space="0" w:color="auto"/>
            </w:tcBorders>
            <w:vAlign w:val="bottom"/>
          </w:tcPr>
          <w:p w:rsidR="00F17389" w:rsidRPr="003F1755" w:rsidRDefault="00F17389" w:rsidP="00F17389">
            <w:pPr>
              <w:spacing w:after="0"/>
              <w:jc w:val="center"/>
              <w:rPr>
                <w:rFonts w:ascii="Arial" w:hAnsi="Arial" w:cs="Arial"/>
                <w:sz w:val="16"/>
                <w:szCs w:val="16"/>
              </w:rPr>
            </w:pPr>
            <w:r>
              <w:rPr>
                <w:rFonts w:ascii="Arial" w:hAnsi="Arial" w:cs="Arial"/>
                <w:sz w:val="16"/>
                <w:szCs w:val="16"/>
              </w:rPr>
              <w:t>1 sample only</w:t>
            </w:r>
          </w:p>
        </w:tc>
      </w:tr>
      <w:tr w:rsidR="00F17389" w:rsidRPr="003F1755"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MC27</w:t>
            </w:r>
          </w:p>
        </w:tc>
        <w:tc>
          <w:tcPr>
            <w:tcW w:w="1276" w:type="dxa"/>
          </w:tcPr>
          <w:p w:rsidR="00F17389" w:rsidRPr="003F1755" w:rsidRDefault="00F17389" w:rsidP="00F17389">
            <w:pPr>
              <w:spacing w:after="0"/>
              <w:rPr>
                <w:rFonts w:ascii="Arial" w:hAnsi="Arial" w:cs="Arial"/>
                <w:sz w:val="16"/>
                <w:szCs w:val="16"/>
              </w:rPr>
            </w:pPr>
            <w:r w:rsidRPr="003F1755">
              <w:rPr>
                <w:rFonts w:ascii="Arial" w:hAnsi="Arial" w:cs="Arial"/>
                <w:sz w:val="16"/>
                <w:szCs w:val="16"/>
              </w:rPr>
              <w:t>RN025469</w:t>
            </w:r>
          </w:p>
        </w:tc>
        <w:tc>
          <w:tcPr>
            <w:tcW w:w="1135" w:type="dxa"/>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9/03-9/04</w:t>
            </w:r>
          </w:p>
        </w:tc>
        <w:tc>
          <w:tcPr>
            <w:tcW w:w="971" w:type="dxa"/>
            <w:vAlign w:val="bottom"/>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1.0</w:t>
            </w:r>
          </w:p>
        </w:tc>
        <w:tc>
          <w:tcPr>
            <w:tcW w:w="1012" w:type="dxa"/>
            <w:vAlign w:val="bottom"/>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3.0</w:t>
            </w:r>
          </w:p>
        </w:tc>
        <w:tc>
          <w:tcPr>
            <w:tcW w:w="2410" w:type="dxa"/>
            <w:tcBorders>
              <w:right w:val="single" w:sz="6" w:space="0" w:color="auto"/>
            </w:tcBorders>
            <w:vAlign w:val="bottom"/>
          </w:tcPr>
          <w:p w:rsidR="00F17389" w:rsidRPr="003F1755" w:rsidRDefault="00F17389" w:rsidP="00F17389">
            <w:pPr>
              <w:spacing w:after="0"/>
              <w:jc w:val="center"/>
              <w:rPr>
                <w:rFonts w:ascii="Arial" w:hAnsi="Arial" w:cs="Arial"/>
                <w:sz w:val="16"/>
                <w:szCs w:val="16"/>
              </w:rPr>
            </w:pPr>
          </w:p>
        </w:tc>
      </w:tr>
      <w:tr w:rsidR="00F17389" w:rsidRPr="003F1755"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83_1</w:t>
            </w:r>
          </w:p>
        </w:tc>
        <w:tc>
          <w:tcPr>
            <w:tcW w:w="1276" w:type="dxa"/>
          </w:tcPr>
          <w:p w:rsidR="00F17389" w:rsidRPr="003F1755" w:rsidRDefault="00F17389" w:rsidP="00F17389">
            <w:pPr>
              <w:spacing w:after="0"/>
              <w:rPr>
                <w:rFonts w:ascii="Arial" w:hAnsi="Arial" w:cs="Arial"/>
                <w:sz w:val="16"/>
                <w:szCs w:val="16"/>
              </w:rPr>
            </w:pPr>
            <w:r w:rsidRPr="003F1755">
              <w:rPr>
                <w:rFonts w:ascii="Arial" w:hAnsi="Arial" w:cs="Arial"/>
                <w:sz w:val="16"/>
                <w:szCs w:val="16"/>
              </w:rPr>
              <w:t>RN023010</w:t>
            </w:r>
          </w:p>
        </w:tc>
        <w:tc>
          <w:tcPr>
            <w:tcW w:w="1135" w:type="dxa"/>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5/03-9/12</w:t>
            </w:r>
          </w:p>
        </w:tc>
        <w:tc>
          <w:tcPr>
            <w:tcW w:w="971" w:type="dxa"/>
            <w:vAlign w:val="bottom"/>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0.0</w:t>
            </w:r>
          </w:p>
        </w:tc>
        <w:tc>
          <w:tcPr>
            <w:tcW w:w="1012" w:type="dxa"/>
            <w:vAlign w:val="bottom"/>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90.0</w:t>
            </w:r>
          </w:p>
        </w:tc>
        <w:tc>
          <w:tcPr>
            <w:tcW w:w="2410" w:type="dxa"/>
            <w:tcBorders>
              <w:right w:val="single" w:sz="6" w:space="0" w:color="auto"/>
            </w:tcBorders>
            <w:vAlign w:val="bottom"/>
          </w:tcPr>
          <w:p w:rsidR="00F17389" w:rsidRPr="003F1755" w:rsidRDefault="00F17389" w:rsidP="00F17389">
            <w:pPr>
              <w:spacing w:after="0"/>
              <w:jc w:val="center"/>
              <w:rPr>
                <w:rFonts w:ascii="Arial" w:hAnsi="Arial" w:cs="Arial"/>
                <w:sz w:val="16"/>
                <w:szCs w:val="16"/>
              </w:rPr>
            </w:pPr>
            <w:r>
              <w:rPr>
                <w:rFonts w:ascii="Arial" w:hAnsi="Arial" w:cs="Arial"/>
                <w:sz w:val="16"/>
                <w:szCs w:val="16"/>
              </w:rPr>
              <w:t>active</w:t>
            </w:r>
          </w:p>
        </w:tc>
      </w:tr>
      <w:tr w:rsidR="00F17389" w:rsidRPr="003F1755"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79/6</w:t>
            </w:r>
          </w:p>
        </w:tc>
        <w:tc>
          <w:tcPr>
            <w:tcW w:w="1276" w:type="dxa"/>
          </w:tcPr>
          <w:p w:rsidR="00F17389" w:rsidRPr="003F1755" w:rsidRDefault="00F17389" w:rsidP="00F17389">
            <w:pPr>
              <w:spacing w:after="0"/>
              <w:rPr>
                <w:rFonts w:ascii="Arial" w:hAnsi="Arial" w:cs="Arial"/>
                <w:sz w:val="16"/>
                <w:szCs w:val="16"/>
              </w:rPr>
            </w:pPr>
            <w:r w:rsidRPr="003F1755">
              <w:rPr>
                <w:rFonts w:ascii="Arial" w:hAnsi="Arial" w:cs="Arial"/>
                <w:sz w:val="16"/>
                <w:szCs w:val="16"/>
              </w:rPr>
              <w:t>RN022901</w:t>
            </w:r>
          </w:p>
        </w:tc>
        <w:tc>
          <w:tcPr>
            <w:tcW w:w="1135" w:type="dxa"/>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11/89-5/92</w:t>
            </w:r>
          </w:p>
        </w:tc>
        <w:tc>
          <w:tcPr>
            <w:tcW w:w="971" w:type="dxa"/>
            <w:vAlign w:val="bottom"/>
          </w:tcPr>
          <w:p w:rsidR="00F17389" w:rsidRPr="003F1755" w:rsidRDefault="00F17389" w:rsidP="00F17389">
            <w:pPr>
              <w:spacing w:after="0"/>
              <w:jc w:val="center"/>
              <w:rPr>
                <w:rFonts w:ascii="Arial" w:hAnsi="Arial" w:cs="Arial"/>
                <w:sz w:val="16"/>
                <w:szCs w:val="16"/>
              </w:rPr>
            </w:pPr>
          </w:p>
        </w:tc>
        <w:tc>
          <w:tcPr>
            <w:tcW w:w="1012" w:type="dxa"/>
            <w:vAlign w:val="bottom"/>
          </w:tcPr>
          <w:p w:rsidR="00F17389" w:rsidRPr="003F1755" w:rsidRDefault="00F17389" w:rsidP="00F17389">
            <w:pPr>
              <w:spacing w:after="0"/>
              <w:jc w:val="center"/>
              <w:rPr>
                <w:rFonts w:ascii="Arial" w:hAnsi="Arial" w:cs="Arial"/>
                <w:sz w:val="16"/>
                <w:szCs w:val="16"/>
              </w:rPr>
            </w:pPr>
          </w:p>
        </w:tc>
        <w:tc>
          <w:tcPr>
            <w:tcW w:w="2410" w:type="dxa"/>
            <w:tcBorders>
              <w:right w:val="single" w:sz="6" w:space="0" w:color="auto"/>
            </w:tcBorders>
            <w:vAlign w:val="bottom"/>
          </w:tcPr>
          <w:p w:rsidR="00F17389" w:rsidRPr="003F1755" w:rsidRDefault="00F17389" w:rsidP="00F17389">
            <w:pPr>
              <w:spacing w:after="0"/>
              <w:jc w:val="center"/>
              <w:rPr>
                <w:rFonts w:ascii="Arial" w:hAnsi="Arial" w:cs="Arial"/>
                <w:sz w:val="16"/>
                <w:szCs w:val="16"/>
              </w:rPr>
            </w:pPr>
            <w:r>
              <w:rPr>
                <w:rFonts w:ascii="Arial" w:hAnsi="Arial" w:cs="Arial"/>
                <w:sz w:val="16"/>
                <w:szCs w:val="16"/>
              </w:rPr>
              <w:t>buried</w:t>
            </w:r>
          </w:p>
        </w:tc>
      </w:tr>
      <w:tr w:rsidR="00F17389" w:rsidRPr="003F1755"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79/9</w:t>
            </w:r>
          </w:p>
        </w:tc>
        <w:tc>
          <w:tcPr>
            <w:tcW w:w="1276" w:type="dxa"/>
          </w:tcPr>
          <w:p w:rsidR="00F17389" w:rsidRPr="003F1755" w:rsidRDefault="00F17389" w:rsidP="00F17389">
            <w:pPr>
              <w:spacing w:after="0"/>
              <w:rPr>
                <w:rFonts w:ascii="Arial" w:hAnsi="Arial" w:cs="Arial"/>
                <w:sz w:val="16"/>
                <w:szCs w:val="16"/>
              </w:rPr>
            </w:pPr>
            <w:r w:rsidRPr="003F1755">
              <w:rPr>
                <w:rFonts w:ascii="Arial" w:hAnsi="Arial" w:cs="Arial"/>
                <w:sz w:val="16"/>
                <w:szCs w:val="16"/>
              </w:rPr>
              <w:t>RN020098</w:t>
            </w:r>
          </w:p>
        </w:tc>
        <w:tc>
          <w:tcPr>
            <w:tcW w:w="1135" w:type="dxa"/>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11/89-5/96</w:t>
            </w:r>
          </w:p>
        </w:tc>
        <w:tc>
          <w:tcPr>
            <w:tcW w:w="971" w:type="dxa"/>
            <w:vAlign w:val="bottom"/>
          </w:tcPr>
          <w:p w:rsidR="00F17389" w:rsidRPr="003F1755" w:rsidRDefault="00F17389" w:rsidP="00F17389">
            <w:pPr>
              <w:spacing w:after="0"/>
              <w:jc w:val="center"/>
              <w:rPr>
                <w:rFonts w:ascii="Arial" w:hAnsi="Arial" w:cs="Arial"/>
                <w:sz w:val="16"/>
                <w:szCs w:val="16"/>
              </w:rPr>
            </w:pPr>
            <w:r>
              <w:rPr>
                <w:rFonts w:ascii="Arial" w:hAnsi="Arial" w:cs="Arial"/>
                <w:sz w:val="16"/>
                <w:szCs w:val="16"/>
              </w:rPr>
              <w:t>20.0</w:t>
            </w:r>
          </w:p>
        </w:tc>
        <w:tc>
          <w:tcPr>
            <w:tcW w:w="1012" w:type="dxa"/>
            <w:vAlign w:val="bottom"/>
          </w:tcPr>
          <w:p w:rsidR="00F17389" w:rsidRPr="003F1755" w:rsidRDefault="00F17389" w:rsidP="00F17389">
            <w:pPr>
              <w:spacing w:after="0"/>
              <w:jc w:val="center"/>
              <w:rPr>
                <w:rFonts w:ascii="Arial" w:hAnsi="Arial" w:cs="Arial"/>
                <w:sz w:val="16"/>
                <w:szCs w:val="16"/>
              </w:rPr>
            </w:pPr>
            <w:r>
              <w:rPr>
                <w:rFonts w:ascii="Arial" w:hAnsi="Arial" w:cs="Arial"/>
                <w:sz w:val="16"/>
                <w:szCs w:val="16"/>
              </w:rPr>
              <w:t>70.0</w:t>
            </w:r>
          </w:p>
        </w:tc>
        <w:tc>
          <w:tcPr>
            <w:tcW w:w="2410" w:type="dxa"/>
            <w:tcBorders>
              <w:right w:val="single" w:sz="6" w:space="0" w:color="auto"/>
            </w:tcBorders>
            <w:vAlign w:val="bottom"/>
          </w:tcPr>
          <w:p w:rsidR="00F17389" w:rsidRPr="003F1755" w:rsidRDefault="00F17389" w:rsidP="00F17389">
            <w:pPr>
              <w:spacing w:after="0"/>
              <w:jc w:val="center"/>
              <w:rPr>
                <w:rFonts w:ascii="Arial" w:hAnsi="Arial" w:cs="Arial"/>
                <w:sz w:val="16"/>
                <w:szCs w:val="16"/>
              </w:rPr>
            </w:pPr>
          </w:p>
        </w:tc>
      </w:tr>
      <w:tr w:rsidR="00F17389" w:rsidRPr="003F1755"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RN23562</w:t>
            </w:r>
          </w:p>
        </w:tc>
        <w:tc>
          <w:tcPr>
            <w:tcW w:w="1276" w:type="dxa"/>
          </w:tcPr>
          <w:p w:rsidR="00F17389" w:rsidRPr="003F1755" w:rsidRDefault="00F17389" w:rsidP="00F17389">
            <w:pPr>
              <w:spacing w:after="0"/>
              <w:rPr>
                <w:rFonts w:ascii="Arial" w:hAnsi="Arial" w:cs="Arial"/>
                <w:sz w:val="16"/>
                <w:szCs w:val="16"/>
              </w:rPr>
            </w:pPr>
            <w:r w:rsidRPr="003F1755">
              <w:rPr>
                <w:rFonts w:ascii="Arial" w:hAnsi="Arial" w:cs="Arial"/>
                <w:sz w:val="16"/>
                <w:szCs w:val="16"/>
              </w:rPr>
              <w:t>RN023562</w:t>
            </w:r>
          </w:p>
        </w:tc>
        <w:tc>
          <w:tcPr>
            <w:tcW w:w="1135" w:type="dxa"/>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9/07-9/11</w:t>
            </w:r>
          </w:p>
        </w:tc>
        <w:tc>
          <w:tcPr>
            <w:tcW w:w="971" w:type="dxa"/>
            <w:vAlign w:val="bottom"/>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4.4</w:t>
            </w:r>
          </w:p>
        </w:tc>
        <w:tc>
          <w:tcPr>
            <w:tcW w:w="1012" w:type="dxa"/>
            <w:vAlign w:val="bottom"/>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5.4</w:t>
            </w:r>
          </w:p>
        </w:tc>
        <w:tc>
          <w:tcPr>
            <w:tcW w:w="2410" w:type="dxa"/>
            <w:tcBorders>
              <w:right w:val="single" w:sz="6" w:space="0" w:color="auto"/>
            </w:tcBorders>
            <w:vAlign w:val="bottom"/>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active</w:t>
            </w:r>
          </w:p>
        </w:tc>
      </w:tr>
      <w:tr w:rsidR="00F17389" w:rsidRPr="003F1755" w:rsidTr="00F17389">
        <w:trPr>
          <w:trHeight w:val="247"/>
        </w:trPr>
        <w:tc>
          <w:tcPr>
            <w:tcW w:w="1448" w:type="dxa"/>
            <w:tcBorders>
              <w:left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RN22211</w:t>
            </w:r>
          </w:p>
        </w:tc>
        <w:tc>
          <w:tcPr>
            <w:tcW w:w="1276" w:type="dxa"/>
          </w:tcPr>
          <w:p w:rsidR="00F17389" w:rsidRPr="003F1755" w:rsidRDefault="00F17389" w:rsidP="00F17389">
            <w:pPr>
              <w:spacing w:after="0"/>
              <w:rPr>
                <w:rFonts w:ascii="Arial" w:hAnsi="Arial" w:cs="Arial"/>
                <w:sz w:val="16"/>
                <w:szCs w:val="16"/>
              </w:rPr>
            </w:pPr>
            <w:r w:rsidRPr="003F1755">
              <w:rPr>
                <w:rFonts w:ascii="Arial" w:hAnsi="Arial" w:cs="Arial"/>
                <w:sz w:val="16"/>
                <w:szCs w:val="16"/>
              </w:rPr>
              <w:t>RN022211</w:t>
            </w:r>
          </w:p>
        </w:tc>
        <w:tc>
          <w:tcPr>
            <w:tcW w:w="1135" w:type="dxa"/>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9/07-9/09</w:t>
            </w:r>
          </w:p>
        </w:tc>
        <w:tc>
          <w:tcPr>
            <w:tcW w:w="971" w:type="dxa"/>
            <w:vAlign w:val="bottom"/>
          </w:tcPr>
          <w:p w:rsidR="00F17389" w:rsidRPr="003F1755" w:rsidRDefault="00F17389" w:rsidP="00F17389">
            <w:pPr>
              <w:spacing w:after="0"/>
              <w:jc w:val="center"/>
              <w:rPr>
                <w:rFonts w:ascii="Arial" w:hAnsi="Arial" w:cs="Arial"/>
                <w:sz w:val="16"/>
                <w:szCs w:val="16"/>
              </w:rPr>
            </w:pPr>
          </w:p>
        </w:tc>
        <w:tc>
          <w:tcPr>
            <w:tcW w:w="1012" w:type="dxa"/>
            <w:vAlign w:val="bottom"/>
          </w:tcPr>
          <w:p w:rsidR="00F17389" w:rsidRPr="003F1755" w:rsidRDefault="00F17389" w:rsidP="00F17389">
            <w:pPr>
              <w:spacing w:after="0"/>
              <w:jc w:val="center"/>
              <w:rPr>
                <w:rFonts w:ascii="Arial" w:hAnsi="Arial" w:cs="Arial"/>
                <w:sz w:val="16"/>
                <w:szCs w:val="16"/>
              </w:rPr>
            </w:pPr>
          </w:p>
        </w:tc>
        <w:tc>
          <w:tcPr>
            <w:tcW w:w="2410" w:type="dxa"/>
            <w:tcBorders>
              <w:right w:val="single" w:sz="6" w:space="0" w:color="auto"/>
            </w:tcBorders>
            <w:vAlign w:val="bottom"/>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not active</w:t>
            </w:r>
          </w:p>
        </w:tc>
      </w:tr>
      <w:tr w:rsidR="00F17389" w:rsidRPr="003F1755" w:rsidTr="00F17389">
        <w:trPr>
          <w:trHeight w:val="247"/>
        </w:trPr>
        <w:tc>
          <w:tcPr>
            <w:tcW w:w="1448" w:type="dxa"/>
            <w:tcBorders>
              <w:left w:val="single" w:sz="6" w:space="0" w:color="auto"/>
              <w:bottom w:val="single" w:sz="6" w:space="0" w:color="auto"/>
            </w:tcBorders>
          </w:tcPr>
          <w:p w:rsidR="00F17389" w:rsidRPr="00E57696" w:rsidRDefault="00F17389" w:rsidP="00F17389">
            <w:pPr>
              <w:spacing w:after="0"/>
              <w:rPr>
                <w:rFonts w:ascii="Arial" w:hAnsi="Arial" w:cs="Arial"/>
                <w:b/>
                <w:sz w:val="16"/>
                <w:szCs w:val="16"/>
              </w:rPr>
            </w:pPr>
            <w:r w:rsidRPr="00E57696">
              <w:rPr>
                <w:rFonts w:ascii="Arial" w:hAnsi="Arial" w:cs="Arial"/>
                <w:b/>
                <w:sz w:val="16"/>
                <w:szCs w:val="16"/>
              </w:rPr>
              <w:t>Magela Ck 11/80</w:t>
            </w:r>
          </w:p>
        </w:tc>
        <w:tc>
          <w:tcPr>
            <w:tcW w:w="1276" w:type="dxa"/>
            <w:tcBorders>
              <w:bottom w:val="single" w:sz="6" w:space="0" w:color="auto"/>
            </w:tcBorders>
          </w:tcPr>
          <w:p w:rsidR="00F17389" w:rsidRPr="003F1755" w:rsidRDefault="00F17389" w:rsidP="00F17389">
            <w:pPr>
              <w:spacing w:after="0"/>
              <w:rPr>
                <w:rFonts w:ascii="Arial" w:hAnsi="Arial" w:cs="Arial"/>
                <w:sz w:val="16"/>
                <w:szCs w:val="16"/>
              </w:rPr>
            </w:pPr>
            <w:r w:rsidRPr="003F1755">
              <w:rPr>
                <w:rFonts w:ascii="Arial" w:hAnsi="Arial" w:cs="Arial"/>
                <w:sz w:val="16"/>
                <w:szCs w:val="16"/>
              </w:rPr>
              <w:t>RN020369</w:t>
            </w:r>
          </w:p>
        </w:tc>
        <w:tc>
          <w:tcPr>
            <w:tcW w:w="1135" w:type="dxa"/>
            <w:tcBorders>
              <w:bottom w:val="single" w:sz="6" w:space="0" w:color="auto"/>
            </w:tcBorders>
          </w:tcPr>
          <w:p w:rsidR="00F17389" w:rsidRPr="003F1755" w:rsidRDefault="00F17389" w:rsidP="00F17389">
            <w:pPr>
              <w:spacing w:after="0"/>
              <w:jc w:val="center"/>
              <w:rPr>
                <w:rFonts w:ascii="Arial" w:hAnsi="Arial" w:cs="Arial"/>
                <w:sz w:val="16"/>
                <w:szCs w:val="16"/>
              </w:rPr>
            </w:pPr>
            <w:r w:rsidRPr="003F1755">
              <w:rPr>
                <w:rFonts w:ascii="Arial" w:hAnsi="Arial" w:cs="Arial"/>
                <w:sz w:val="16"/>
                <w:szCs w:val="16"/>
              </w:rPr>
              <w:t>9/07</w:t>
            </w:r>
          </w:p>
        </w:tc>
        <w:tc>
          <w:tcPr>
            <w:tcW w:w="971" w:type="dxa"/>
            <w:tcBorders>
              <w:bottom w:val="single" w:sz="6" w:space="0" w:color="auto"/>
            </w:tcBorders>
            <w:vAlign w:val="bottom"/>
          </w:tcPr>
          <w:p w:rsidR="00F17389" w:rsidRPr="003F1755" w:rsidRDefault="00F17389" w:rsidP="00F17389">
            <w:pPr>
              <w:spacing w:after="0"/>
              <w:jc w:val="center"/>
              <w:rPr>
                <w:rFonts w:ascii="Arial" w:hAnsi="Arial" w:cs="Arial"/>
                <w:sz w:val="16"/>
                <w:szCs w:val="16"/>
              </w:rPr>
            </w:pPr>
          </w:p>
        </w:tc>
        <w:tc>
          <w:tcPr>
            <w:tcW w:w="1012" w:type="dxa"/>
            <w:tcBorders>
              <w:bottom w:val="single" w:sz="6" w:space="0" w:color="auto"/>
            </w:tcBorders>
            <w:vAlign w:val="bottom"/>
          </w:tcPr>
          <w:p w:rsidR="00F17389" w:rsidRPr="003F1755" w:rsidRDefault="00F17389" w:rsidP="00F17389">
            <w:pPr>
              <w:spacing w:after="0"/>
              <w:jc w:val="center"/>
              <w:rPr>
                <w:rFonts w:ascii="Arial" w:hAnsi="Arial" w:cs="Arial"/>
                <w:b/>
                <w:bCs/>
                <w:sz w:val="16"/>
                <w:szCs w:val="16"/>
              </w:rPr>
            </w:pPr>
          </w:p>
        </w:tc>
        <w:tc>
          <w:tcPr>
            <w:tcW w:w="2410" w:type="dxa"/>
            <w:tcBorders>
              <w:bottom w:val="single" w:sz="6" w:space="0" w:color="auto"/>
              <w:right w:val="single" w:sz="6" w:space="0" w:color="auto"/>
            </w:tcBorders>
            <w:vAlign w:val="bottom"/>
          </w:tcPr>
          <w:p w:rsidR="00F17389" w:rsidRPr="003F1755" w:rsidRDefault="00F17389" w:rsidP="00F17389">
            <w:pPr>
              <w:spacing w:after="0"/>
              <w:jc w:val="center"/>
              <w:rPr>
                <w:rFonts w:ascii="Arial" w:hAnsi="Arial" w:cs="Arial"/>
                <w:b/>
                <w:bCs/>
                <w:sz w:val="16"/>
                <w:szCs w:val="16"/>
              </w:rPr>
            </w:pPr>
            <w:r>
              <w:rPr>
                <w:rFonts w:ascii="Arial" w:hAnsi="Arial" w:cs="Arial"/>
                <w:sz w:val="16"/>
                <w:szCs w:val="16"/>
              </w:rPr>
              <w:t>1 sample only, active</w:t>
            </w:r>
          </w:p>
        </w:tc>
      </w:tr>
    </w:tbl>
    <w:p w:rsidR="00F17389" w:rsidRDefault="00F17389" w:rsidP="00F17389">
      <w:pPr>
        <w:pStyle w:val="Heading3"/>
      </w:pPr>
      <w:r>
        <w:br w:type="page"/>
      </w:r>
      <w:bookmarkStart w:id="93" w:name="_Toc398721692"/>
      <w:bookmarkStart w:id="94" w:name="_Toc411850522"/>
      <w:bookmarkStart w:id="95" w:name="_Toc413230058"/>
      <w:r w:rsidRPr="0065434D">
        <w:t xml:space="preserve">2.2 </w:t>
      </w:r>
      <w:r>
        <w:t>Analytical m</w:t>
      </w:r>
      <w:r w:rsidRPr="0065434D">
        <w:t>ethods</w:t>
      </w:r>
      <w:bookmarkEnd w:id="93"/>
      <w:bookmarkEnd w:id="94"/>
      <w:bookmarkEnd w:id="95"/>
    </w:p>
    <w:p w:rsidR="00F17389" w:rsidRDefault="00F17389" w:rsidP="00F17389">
      <w:pPr>
        <w:pStyle w:val="Heading4"/>
      </w:pPr>
      <w:bookmarkStart w:id="96" w:name="_Toc398721693"/>
      <w:bookmarkStart w:id="97" w:name="_Toc411850523"/>
      <w:r>
        <w:t>2.2.1 Measurement of radioisotopes</w:t>
      </w:r>
      <w:bookmarkEnd w:id="96"/>
      <w:bookmarkEnd w:id="97"/>
    </w:p>
    <w:p w:rsidR="00F17389" w:rsidRDefault="00F17389" w:rsidP="00F17389">
      <w:r>
        <w:t xml:space="preserve">Measurement of radioisotopes was done at </w:t>
      </w:r>
      <w:r w:rsidR="006B194D">
        <w:t xml:space="preserve">Supervising Scientist </w:t>
      </w:r>
      <w:r>
        <w:t xml:space="preserve">using methods developed in-house (Martin &amp; Hancock, 2004; Medley et al 2005). </w:t>
      </w:r>
    </w:p>
    <w:p w:rsidR="00F17389" w:rsidRDefault="00F17389" w:rsidP="00F17389">
      <w:r>
        <w:t xml:space="preserve">Uranium isotope activity concentrations (and hence activity ratios) were determined by alpha spectrometry after radiochemical separation of uranium from a bulk sample. This involved iron hydroxide co-precipitation for sample pre-concentration followed by chemical separation. Chemical separation was performed in two stages, first a tributyl phosphate (TBP) solvent extraction, then an anion exchange to ensure complete separation of thorium (in particular </w:t>
      </w:r>
      <w:r w:rsidRPr="008706AC">
        <w:rPr>
          <w:snapToGrid w:val="0"/>
          <w:color w:val="000000"/>
          <w:position w:val="5"/>
          <w:sz w:val="15"/>
          <w:szCs w:val="0"/>
          <w:u w:color="000000"/>
        </w:rPr>
        <w:t>230</w:t>
      </w:r>
      <w:r>
        <w:t xml:space="preserve">Th which can interfere with </w:t>
      </w:r>
      <w:r>
        <w:rPr>
          <w:position w:val="5"/>
          <w:sz w:val="15"/>
        </w:rPr>
        <w:t>226</w:t>
      </w:r>
      <w:r>
        <w:t>Ra on the final source). Chemical separation is followed by electro deposition of uranium onto a stainless steel planchet for alpha counting. Uranium-232 was used as a source tracer for chemical recovery determination (Martin and Hancock 2004).</w:t>
      </w:r>
    </w:p>
    <w:p w:rsidR="00F17389" w:rsidRDefault="00F17389" w:rsidP="00F17389">
      <w:r>
        <w:t>Some earlier groundwater samples were analysed for radionuclides using gamma spectrometry techniques. Radionuclides were co-precipitated in a 20 litre pail with manganese</w:t>
      </w:r>
      <w:r w:rsidR="00A553BE">
        <w:t xml:space="preserve"> </w:t>
      </w:r>
      <w:r>
        <w:t>dioxide. This first precipitation was</w:t>
      </w:r>
      <w:r w:rsidR="00A553BE">
        <w:t xml:space="preserve"> </w:t>
      </w:r>
      <w:r>
        <w:t>followed by a second precipitation using ferric hydroxide.</w:t>
      </w:r>
      <w:r w:rsidR="00A553BE">
        <w:t xml:space="preserve"> </w:t>
      </w:r>
      <w:r>
        <w:t>After separation of the precipitate from the supernatant, the precipitate and filter were</w:t>
      </w:r>
      <w:r w:rsidR="00A553BE">
        <w:t xml:space="preserve"> </w:t>
      </w:r>
      <w:r>
        <w:t>ashed,</w:t>
      </w:r>
      <w:r w:rsidR="00A553BE">
        <w:t xml:space="preserve"> </w:t>
      </w:r>
      <w:proofErr w:type="gramStart"/>
      <w:r>
        <w:t>then</w:t>
      </w:r>
      <w:proofErr w:type="gramEnd"/>
      <w:r w:rsidR="00A553BE">
        <w:t xml:space="preserve"> </w:t>
      </w:r>
      <w:r>
        <w:t>cast</w:t>
      </w:r>
      <w:r w:rsidR="00A553BE">
        <w:t xml:space="preserve"> </w:t>
      </w:r>
      <w:r>
        <w:t>in</w:t>
      </w:r>
      <w:r w:rsidR="00A553BE">
        <w:t xml:space="preserve"> </w:t>
      </w:r>
      <w:r>
        <w:t>a mould using a polyester resin before counting</w:t>
      </w:r>
      <w:r w:rsidR="00A553BE">
        <w:t xml:space="preserve"> </w:t>
      </w:r>
      <w:r>
        <w:t>on</w:t>
      </w:r>
      <w:r w:rsidR="00A553BE">
        <w:t xml:space="preserve"> </w:t>
      </w:r>
      <w:r>
        <w:t>a</w:t>
      </w:r>
      <w:r w:rsidR="00A553BE">
        <w:t xml:space="preserve"> </w:t>
      </w:r>
      <w:r>
        <w:t>high purity germanium (HPGe) gamma-ray</w:t>
      </w:r>
      <w:r w:rsidR="00A553BE">
        <w:t xml:space="preserve"> </w:t>
      </w:r>
      <w:r>
        <w:t>spectrometer (Martin &amp; Akber 1996).</w:t>
      </w:r>
      <w:r w:rsidR="00A553BE">
        <w:t xml:space="preserve"> </w:t>
      </w:r>
      <w:r>
        <w:t>Casting and analysis techniques have been described in detail in Murray et al (1987).</w:t>
      </w:r>
    </w:p>
    <w:p w:rsidR="00F17389" w:rsidRDefault="00F17389" w:rsidP="00F17389">
      <w:r>
        <w:t>Radium-226 activity concentrations were determined by alpha spectrometry after radiochemical separation of radium from a bulk sample. For samples analysed prior to 2001 a method developed by Martin and Hancock (2004) was used. This involved co-precipitation of radium with Ba/PbSO</w:t>
      </w:r>
      <w:r w:rsidRPr="008B4B7A">
        <w:rPr>
          <w:snapToGrid w:val="0"/>
          <w:color w:val="000000"/>
          <w:position w:val="-5"/>
          <w:sz w:val="15"/>
          <w:szCs w:val="0"/>
          <w:u w:color="000000"/>
        </w:rPr>
        <w:t>4</w:t>
      </w:r>
      <w:r>
        <w:t xml:space="preserve">, anion and cation exchange separations followed by electro deposition of radium onto a stainless steel planchet. Radium-225 was used as a source tracer for chemical recovery determination in this technique and high resolution of the source allowed measurement of all </w:t>
      </w:r>
      <w:r w:rsidR="006B194D">
        <w:t xml:space="preserve">four </w:t>
      </w:r>
      <w:r>
        <w:t>naturally occurring radium isotopes. Since 2001 a new technique (Medley et al 2005) involving a dual co-precipitation of radium with Ba/PbSO</w:t>
      </w:r>
      <w:r w:rsidRPr="008B4B7A">
        <w:rPr>
          <w:snapToGrid w:val="0"/>
          <w:color w:val="000000"/>
          <w:position w:val="-5"/>
          <w:sz w:val="15"/>
          <w:szCs w:val="0"/>
          <w:u w:color="000000"/>
        </w:rPr>
        <w:t>4</w:t>
      </w:r>
      <w:r>
        <w:t xml:space="preserve"> followed by micro-filtration of the colloidal precipitate for source preparation. Due to the poorer resolution of this source, alpha spectrometric measurement only allows determination of </w:t>
      </w:r>
      <w:r>
        <w:rPr>
          <w:position w:val="5"/>
          <w:sz w:val="15"/>
        </w:rPr>
        <w:t>226</w:t>
      </w:r>
      <w:r>
        <w:t>Ra on these sources. Barium-133 was used as a source tracer in these measurements and typical chemical recoveries should be above 85% to be confident that the assumption of similar chemical behaviour of barium and radium in the chemical separation process is valid.</w:t>
      </w:r>
    </w:p>
    <w:p w:rsidR="00F17389" w:rsidRDefault="00F17389" w:rsidP="00F17389">
      <w:r>
        <w:t>In cases where expected radium and/or uranium activity concentrations are close to the detection limits for alpha spectrometric analysis (i.e. – less than 4 mBq/L), consecutive analysis of radium and uranium was undertaken. This involved iron hydroxide co-precipitation and TBP extraction.</w:t>
      </w:r>
      <w:r w:rsidR="00A553BE">
        <w:t xml:space="preserve"> </w:t>
      </w:r>
      <w:r>
        <w:t xml:space="preserve">The aqueous waste solution from this solvent extraction was heated with concentrated nitric acid to remove traces of solvent then used for </w:t>
      </w:r>
      <w:r>
        <w:rPr>
          <w:position w:val="5"/>
          <w:sz w:val="15"/>
        </w:rPr>
        <w:t>226</w:t>
      </w:r>
      <w:r>
        <w:t xml:space="preserve">Ra determination using the micro-filtration technique. </w:t>
      </w:r>
    </w:p>
    <w:p w:rsidR="00F17389" w:rsidRPr="00105F80" w:rsidRDefault="00F17389" w:rsidP="00F17389">
      <w:r>
        <w:t>Where consecutive analysis was undertaken chemical recoveries usually were lower than for samples undergoing co-precipitation of radium with Ba/PbSO</w:t>
      </w:r>
      <w:r w:rsidRPr="008B4B7A">
        <w:rPr>
          <w:snapToGrid w:val="0"/>
          <w:color w:val="000000"/>
          <w:position w:val="-5"/>
          <w:sz w:val="15"/>
          <w:szCs w:val="0"/>
          <w:u w:color="000000"/>
        </w:rPr>
        <w:t>4</w:t>
      </w:r>
      <w:r>
        <w:t xml:space="preserve"> only. It is believed that this can be explained by massic losses during the iron hydroxide and TBP extraction steps and that the accuracy of chemical recovery determination using the </w:t>
      </w:r>
      <w:r w:rsidRPr="008706AC">
        <w:rPr>
          <w:snapToGrid w:val="0"/>
          <w:color w:val="000000"/>
          <w:position w:val="5"/>
          <w:sz w:val="15"/>
          <w:szCs w:val="0"/>
          <w:u w:color="000000"/>
        </w:rPr>
        <w:t>133</w:t>
      </w:r>
      <w:r>
        <w:t>Ba tracer is not adversely affected by this consecutive analysis process.</w:t>
      </w:r>
    </w:p>
    <w:p w:rsidR="00F17389" w:rsidRDefault="00F17389" w:rsidP="00F17389">
      <w:pPr>
        <w:pStyle w:val="Heading4"/>
      </w:pPr>
      <w:bookmarkStart w:id="98" w:name="_Toc398721694"/>
      <w:bookmarkStart w:id="99" w:name="_Toc411850524"/>
      <w:r>
        <w:t>2.2.2 Measurement of metal concentrations</w:t>
      </w:r>
      <w:bookmarkEnd w:id="98"/>
      <w:bookmarkEnd w:id="99"/>
    </w:p>
    <w:p w:rsidR="00F17389" w:rsidRDefault="00F17389" w:rsidP="00F17389">
      <w:r>
        <w:t xml:space="preserve">Elemental and major anion analysis of filtered groundwater samples was undertaken by a variety of isotope dilution, Inductively Coupled Plasma (ICP) spectrometry techniques. These include ICP-Atomic emission spectrometry (ICPAES), ICP-Mass spectrometry (ICPMS) and ICP-Optical emission spectrometry (ICPOES). </w:t>
      </w:r>
    </w:p>
    <w:p w:rsidR="00F17389" w:rsidRDefault="00F17389" w:rsidP="00F17389">
      <w:r>
        <w:t>The particular suite of analytes that were measured in each batch of samples varied over the period of sample collections, and the technique used for each element was determined by the expected concentration of the analyte and the accuracy and precision of the measurement technique (with ICPMS being the most sensitive method). ICP analyses were performed at three different laboratories during the period of sample collection; Charles Darwin University (formerly Northern Territory University) from 1999 to 2001 and 2004 to 2005, the Northern Territory Environmental Laboratories (</w:t>
      </w:r>
      <w:r w:rsidRPr="006B54FC">
        <w:rPr>
          <w:i/>
        </w:rPr>
        <w:t>NTEL</w:t>
      </w:r>
      <w:r>
        <w:t xml:space="preserve">) from 2002 to 2003 and 2006 to 2011, and </w:t>
      </w:r>
      <w:r w:rsidRPr="006B54FC">
        <w:rPr>
          <w:i/>
        </w:rPr>
        <w:t>EnviroLabs</w:t>
      </w:r>
      <w:r>
        <w:t xml:space="preserve"> in Sydney from 2012 onwards. </w:t>
      </w:r>
    </w:p>
    <w:p w:rsidR="00F17389" w:rsidRDefault="00F17389" w:rsidP="00F17389">
      <w:bookmarkStart w:id="100" w:name="_Toc386618585"/>
      <w:r>
        <w:t xml:space="preserve">Samples were prepared for analysis by filtration through 0.45 </w:t>
      </w:r>
      <w:r>
        <w:rPr>
          <w:rFonts w:ascii="Calibri" w:hAnsi="Calibri"/>
        </w:rPr>
        <w:t>µ</w:t>
      </w:r>
      <w:r>
        <w:t xml:space="preserve">m cellulose acetate or nitrocellulose filter papers. Samples were filtered in the </w:t>
      </w:r>
      <w:r w:rsidRPr="008B6579">
        <w:rPr>
          <w:b/>
          <w:i/>
          <w:sz w:val="28"/>
          <w:szCs w:val="28"/>
        </w:rPr>
        <w:t>eriss</w:t>
      </w:r>
      <w:r>
        <w:t xml:space="preserve"> laboratories until 2003, at which point filtration was undertaken in the field by DME. </w:t>
      </w:r>
    </w:p>
    <w:p w:rsidR="00F17389" w:rsidRDefault="00F17389" w:rsidP="00F17389">
      <w:r>
        <w:t>Acidification of samples was done for sample preservation using either 2% concentrated nitric acid or 0.5% concentrated hydrochloric acid (on a volume</w:t>
      </w:r>
      <w:proofErr w:type="gramStart"/>
      <w:r>
        <w:t>:volume</w:t>
      </w:r>
      <w:proofErr w:type="gramEnd"/>
      <w:r>
        <w:t xml:space="preserve"> basis). Typical detection limits varied by analyte, sample volume and the technique used for analysis. The range of detection limits for ICP analysis is shown in Table 13.</w:t>
      </w:r>
    </w:p>
    <w:p w:rsidR="00F17389" w:rsidRPr="00102545" w:rsidRDefault="00F17389" w:rsidP="00F17389">
      <w:pPr>
        <w:pStyle w:val="tablecaption"/>
      </w:pPr>
      <w:r w:rsidRPr="00102545">
        <w:t xml:space="preserve">Table 13 </w:t>
      </w:r>
      <w:r>
        <w:t>Typical u</w:t>
      </w:r>
      <w:r w:rsidRPr="00102545">
        <w:t>pper and lower range of detection limits for various ICP analytical techniques used for elemental and major anion analysis</w:t>
      </w:r>
      <w:bookmarkEnd w:id="100"/>
    </w:p>
    <w:tbl>
      <w:tblPr>
        <w:tblW w:w="0" w:type="auto"/>
        <w:tblLook w:val="04A0"/>
      </w:tblPr>
      <w:tblGrid>
        <w:gridCol w:w="2528"/>
        <w:gridCol w:w="490"/>
        <w:gridCol w:w="536"/>
        <w:gridCol w:w="490"/>
        <w:gridCol w:w="536"/>
        <w:gridCol w:w="581"/>
        <w:gridCol w:w="490"/>
        <w:gridCol w:w="536"/>
        <w:gridCol w:w="536"/>
        <w:gridCol w:w="627"/>
        <w:gridCol w:w="536"/>
        <w:gridCol w:w="536"/>
      </w:tblGrid>
      <w:tr w:rsidR="00F17389" w:rsidRPr="00102545" w:rsidTr="00F17389">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Analyte</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 xml:space="preserve">As  </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Ba</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Ca</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Cd</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Cl</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Cr</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Cu</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Fe</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K</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Li</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Mg</w:t>
            </w:r>
          </w:p>
        </w:tc>
      </w:tr>
      <w:tr w:rsidR="00F17389" w:rsidRPr="00102545" w:rsidTr="00F17389">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Lowest Detection Limit (µg.L</w:t>
            </w:r>
            <w:r w:rsidRPr="00102545">
              <w:rPr>
                <w:rFonts w:ascii="Calibri" w:hAnsi="Calibri" w:cs="Calibri"/>
                <w:sz w:val="18"/>
                <w:szCs w:val="18"/>
                <w:vertAlign w:val="superscript"/>
              </w:rPr>
              <w:t>-1</w:t>
            </w:r>
            <w:r w:rsidRPr="00102545">
              <w:rPr>
                <w:rFonts w:ascii="Calibri" w:hAnsi="Calibri" w:cs="Calibri"/>
                <w:sz w:val="18"/>
                <w:szCs w:val="18"/>
              </w:rPr>
              <w:t>)</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1000</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0.02</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0.05</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r>
      <w:tr w:rsidR="00F17389" w:rsidRPr="00102545" w:rsidTr="00F17389">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Highest Detection Limit (</w:t>
            </w:r>
            <w:r>
              <w:rPr>
                <w:rFonts w:ascii="Calibri" w:hAnsi="Calibri" w:cs="Calibri"/>
                <w:sz w:val="18"/>
                <w:szCs w:val="18"/>
              </w:rPr>
              <w:t>m</w:t>
            </w:r>
            <w:r w:rsidRPr="00102545">
              <w:rPr>
                <w:rFonts w:ascii="Calibri" w:hAnsi="Calibri" w:cs="Calibri"/>
                <w:sz w:val="18"/>
                <w:szCs w:val="18"/>
              </w:rPr>
              <w:t>g.L</w:t>
            </w:r>
            <w:r w:rsidRPr="00102545">
              <w:rPr>
                <w:rFonts w:ascii="Calibri" w:hAnsi="Calibri" w:cs="Calibri"/>
                <w:sz w:val="18"/>
                <w:szCs w:val="18"/>
                <w:vertAlign w:val="superscript"/>
              </w:rPr>
              <w:t>-1</w:t>
            </w:r>
            <w:r w:rsidRPr="00102545">
              <w:rPr>
                <w:rFonts w:ascii="Calibri" w:hAnsi="Calibri" w:cs="Calibri"/>
                <w:sz w:val="18"/>
                <w:szCs w:val="18"/>
              </w:rPr>
              <w:t>)</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0.02</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300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0.01</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1000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0.02</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20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0.05</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100</w:t>
            </w:r>
          </w:p>
        </w:tc>
      </w:tr>
      <w:tr w:rsidR="00F17389" w:rsidRPr="00102545" w:rsidTr="00F17389">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Analyte</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Na</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Pb</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Rb</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S</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SO</w:t>
            </w:r>
            <w:r w:rsidRPr="00102545">
              <w:rPr>
                <w:rFonts w:ascii="Calibri" w:hAnsi="Calibri" w:cs="Calibri"/>
                <w:color w:val="000000"/>
                <w:sz w:val="18"/>
                <w:szCs w:val="18"/>
                <w:vertAlign w:val="subscript"/>
              </w:rPr>
              <w:t>4</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Se</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Sr</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Th</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U</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V</w:t>
            </w:r>
          </w:p>
        </w:tc>
        <w:tc>
          <w:tcPr>
            <w:tcW w:w="0" w:type="auto"/>
            <w:tcBorders>
              <w:top w:val="single" w:sz="4" w:space="0" w:color="auto"/>
              <w:bottom w:val="single" w:sz="4" w:space="0" w:color="auto"/>
            </w:tcBorders>
            <w:vAlign w:val="bottom"/>
          </w:tcPr>
          <w:p w:rsidR="00F17389" w:rsidRPr="00102545" w:rsidRDefault="00F17389" w:rsidP="00F17389">
            <w:pPr>
              <w:pStyle w:val="table1"/>
              <w:rPr>
                <w:rFonts w:ascii="Calibri" w:hAnsi="Calibri" w:cs="Calibri"/>
                <w:color w:val="000000"/>
                <w:sz w:val="18"/>
                <w:szCs w:val="18"/>
              </w:rPr>
            </w:pPr>
            <w:r w:rsidRPr="00102545">
              <w:rPr>
                <w:rFonts w:ascii="Calibri" w:hAnsi="Calibri" w:cs="Calibri"/>
                <w:color w:val="000000"/>
                <w:sz w:val="18"/>
                <w:szCs w:val="18"/>
              </w:rPr>
              <w:t>Zn</w:t>
            </w:r>
          </w:p>
        </w:tc>
      </w:tr>
      <w:tr w:rsidR="00F17389" w:rsidRPr="00102545" w:rsidTr="00F17389">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Lowest Detection Limit (µg.L</w:t>
            </w:r>
            <w:r w:rsidRPr="00102545">
              <w:rPr>
                <w:rFonts w:ascii="Calibri" w:hAnsi="Calibri" w:cs="Calibri"/>
                <w:sz w:val="18"/>
                <w:szCs w:val="18"/>
                <w:vertAlign w:val="superscript"/>
              </w:rPr>
              <w:t>-1</w:t>
            </w:r>
            <w:r w:rsidRPr="00102545">
              <w:rPr>
                <w:rFonts w:ascii="Calibri" w:hAnsi="Calibri" w:cs="Calibri"/>
                <w:sz w:val="18"/>
                <w:szCs w:val="18"/>
              </w:rPr>
              <w:t>)</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200</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1000</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0.2</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0.001</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0.05</w:t>
            </w:r>
          </w:p>
        </w:tc>
        <w:tc>
          <w:tcPr>
            <w:tcW w:w="0" w:type="auto"/>
            <w:tcBorders>
              <w:top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0.04</w:t>
            </w:r>
          </w:p>
        </w:tc>
      </w:tr>
      <w:tr w:rsidR="00F17389" w:rsidRPr="00102545" w:rsidTr="00F17389">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Highest Detection Limit (</w:t>
            </w:r>
            <w:r>
              <w:rPr>
                <w:rFonts w:ascii="Calibri" w:hAnsi="Calibri" w:cs="Calibri"/>
                <w:sz w:val="18"/>
                <w:szCs w:val="18"/>
              </w:rPr>
              <w:t>m</w:t>
            </w:r>
            <w:r w:rsidRPr="00102545">
              <w:rPr>
                <w:rFonts w:ascii="Calibri" w:hAnsi="Calibri" w:cs="Calibri"/>
                <w:sz w:val="18"/>
                <w:szCs w:val="18"/>
              </w:rPr>
              <w:t>g.L</w:t>
            </w:r>
            <w:r w:rsidRPr="00102545">
              <w:rPr>
                <w:rFonts w:ascii="Calibri" w:hAnsi="Calibri" w:cs="Calibri"/>
                <w:sz w:val="18"/>
                <w:szCs w:val="18"/>
                <w:vertAlign w:val="superscript"/>
              </w:rPr>
              <w:t>-1</w:t>
            </w:r>
            <w:r w:rsidRPr="00102545">
              <w:rPr>
                <w:rFonts w:ascii="Calibri" w:hAnsi="Calibri" w:cs="Calibri"/>
                <w:sz w:val="18"/>
                <w:szCs w:val="18"/>
              </w:rPr>
              <w:t>)</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0.07</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200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1000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0.02</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0.01</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0.01</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10</w:t>
            </w:r>
          </w:p>
        </w:tc>
        <w:tc>
          <w:tcPr>
            <w:tcW w:w="0" w:type="auto"/>
            <w:tcBorders>
              <w:bottom w:val="single" w:sz="4" w:space="0" w:color="auto"/>
            </w:tcBorders>
            <w:vAlign w:val="bottom"/>
          </w:tcPr>
          <w:p w:rsidR="00F17389" w:rsidRPr="00102545" w:rsidRDefault="00F17389" w:rsidP="00F17389">
            <w:pPr>
              <w:pStyle w:val="table1"/>
              <w:rPr>
                <w:rFonts w:ascii="Calibri" w:hAnsi="Calibri" w:cs="Calibri"/>
                <w:sz w:val="18"/>
                <w:szCs w:val="18"/>
              </w:rPr>
            </w:pPr>
            <w:r w:rsidRPr="00102545">
              <w:rPr>
                <w:rFonts w:ascii="Calibri" w:hAnsi="Calibri" w:cs="Calibri"/>
                <w:sz w:val="18"/>
                <w:szCs w:val="18"/>
              </w:rPr>
              <w:t>0.1</w:t>
            </w:r>
          </w:p>
        </w:tc>
      </w:tr>
    </w:tbl>
    <w:p w:rsidR="00F17389" w:rsidRDefault="00F17389" w:rsidP="00F17389">
      <w:pPr>
        <w:pStyle w:val="Heading4"/>
      </w:pPr>
    </w:p>
    <w:p w:rsidR="00F17389" w:rsidRDefault="00F17389" w:rsidP="00F17389">
      <w:pPr>
        <w:pStyle w:val="Heading4"/>
      </w:pPr>
      <w:bookmarkStart w:id="101" w:name="_Toc398721695"/>
      <w:bookmarkStart w:id="102" w:name="_Toc411850525"/>
      <w:r>
        <w:t>2.2.3 Comparison of uranium concentrations measured via ICPMS and alpha spectrometry</w:t>
      </w:r>
      <w:bookmarkEnd w:id="101"/>
      <w:bookmarkEnd w:id="102"/>
    </w:p>
    <w:p w:rsidR="00F17389" w:rsidRDefault="00F17389" w:rsidP="00F17389">
      <w:pPr>
        <w:autoSpaceDE w:val="0"/>
        <w:autoSpaceDN w:val="0"/>
        <w:adjustRightInd w:val="0"/>
      </w:pPr>
      <w:r>
        <w:t xml:space="preserve">As uranium concentrations have been measured in some of the bore water samples by both alpha spectrometry and ICPMS an independent quality assurance check of the measured uranium concentration data was possible. </w:t>
      </w:r>
    </w:p>
    <w:p w:rsidR="00F17389" w:rsidRDefault="00F17389" w:rsidP="00F17389">
      <w:pPr>
        <w:autoSpaceDE w:val="0"/>
        <w:autoSpaceDN w:val="0"/>
        <w:adjustRightInd w:val="0"/>
      </w:pPr>
      <w:r>
        <w:t xml:space="preserve">Figure 13 shows a comparison of uranium concentration results measured via ICPMS and </w:t>
      </w:r>
      <w:r w:rsidRPr="00C6477C">
        <w:rPr>
          <w:snapToGrid w:val="0"/>
          <w:color w:val="000000"/>
          <w:position w:val="5"/>
          <w:sz w:val="15"/>
          <w:szCs w:val="0"/>
          <w:u w:color="000000"/>
        </w:rPr>
        <w:t>238</w:t>
      </w:r>
      <w:r>
        <w:t xml:space="preserve">U activity concentration measurements via alpha spectrometry in the same sample, for bore waters investigated in this study. The concentration </w:t>
      </w:r>
      <w:proofErr w:type="gramStart"/>
      <w:r>
        <w:t>range of these measurements span</w:t>
      </w:r>
      <w:proofErr w:type="gramEnd"/>
      <w:r>
        <w:t xml:space="preserve"> four orders of magnitude.</w:t>
      </w:r>
    </w:p>
    <w:p w:rsidR="00F17389" w:rsidRDefault="00F17389" w:rsidP="00F17389">
      <w:pPr>
        <w:autoSpaceDE w:val="0"/>
        <w:autoSpaceDN w:val="0"/>
        <w:adjustRightInd w:val="0"/>
        <w:spacing w:after="0" w:line="240" w:lineRule="auto"/>
      </w:pPr>
    </w:p>
    <w:p w:rsidR="00F17389" w:rsidRDefault="00F17389" w:rsidP="00F17389">
      <w:pPr>
        <w:jc w:val="center"/>
      </w:pPr>
      <w:r>
        <w:rPr>
          <w:noProof/>
          <w:lang w:eastAsia="en-AU"/>
        </w:rPr>
        <w:drawing>
          <wp:inline distT="0" distB="0" distL="0" distR="0">
            <wp:extent cx="4158615" cy="29178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email"/>
                    <a:srcRect t="8745"/>
                    <a:stretch>
                      <a:fillRect/>
                    </a:stretch>
                  </pic:blipFill>
                  <pic:spPr bwMode="auto">
                    <a:xfrm>
                      <a:off x="0" y="0"/>
                      <a:ext cx="4158615" cy="2917825"/>
                    </a:xfrm>
                    <a:prstGeom prst="rect">
                      <a:avLst/>
                    </a:prstGeom>
                    <a:noFill/>
                    <a:ln w="9525">
                      <a:noFill/>
                      <a:miter lim="800000"/>
                      <a:headEnd/>
                      <a:tailEnd/>
                    </a:ln>
                  </pic:spPr>
                </pic:pic>
              </a:graphicData>
            </a:graphic>
          </wp:inline>
        </w:drawing>
      </w:r>
    </w:p>
    <w:p w:rsidR="00F17389" w:rsidRDefault="00F17389" w:rsidP="00F17389">
      <w:pPr>
        <w:pStyle w:val="figurecaption"/>
      </w:pPr>
      <w:bookmarkStart w:id="103" w:name="_Toc398721497"/>
      <w:r w:rsidRPr="000A3842">
        <w:rPr>
          <w:b/>
        </w:rPr>
        <w:t>Figure 13</w:t>
      </w:r>
      <w:r>
        <w:t xml:space="preserve"> Comparison of uranium measurements via ICPMS and alpha spectrometry.</w:t>
      </w:r>
      <w:bookmarkEnd w:id="103"/>
      <w:r>
        <w:t xml:space="preserve"> </w:t>
      </w:r>
    </w:p>
    <w:p w:rsidR="00F17389" w:rsidRDefault="00F17389" w:rsidP="00F17389">
      <w:r>
        <w:t xml:space="preserve">The dashed line in Figure 13 indicates the expected </w:t>
      </w:r>
      <w:r w:rsidRPr="002737CE">
        <w:rPr>
          <w:snapToGrid w:val="0"/>
          <w:color w:val="000000"/>
          <w:position w:val="5"/>
          <w:sz w:val="15"/>
          <w:szCs w:val="0"/>
          <w:u w:color="000000"/>
        </w:rPr>
        <w:t>238</w:t>
      </w:r>
      <w:r>
        <w:t xml:space="preserve">U activity concentration, </w:t>
      </w:r>
      <w:r w:rsidR="00DC4556" w:rsidRPr="00DC4556">
        <w:rPr>
          <w:rFonts w:cs="TimesNewRomanPSMT"/>
          <w:szCs w:val="22"/>
          <w:lang w:eastAsia="en-AU"/>
        </w:rPr>
        <w:t xml:space="preserve">using the conversion factor of 1 Bq </w:t>
      </w:r>
      <w:r w:rsidR="00DC4556" w:rsidRPr="00DC4556">
        <w:rPr>
          <w:snapToGrid w:val="0"/>
          <w:color w:val="000000"/>
          <w:position w:val="5"/>
          <w:sz w:val="15"/>
          <w:szCs w:val="0"/>
          <w:u w:color="000000"/>
          <w:lang w:eastAsia="en-AU"/>
        </w:rPr>
        <w:t>238</w:t>
      </w:r>
      <w:r w:rsidR="00DC4556" w:rsidRPr="00DC4556">
        <w:rPr>
          <w:rFonts w:cs="TimesNewRomanPSMT"/>
          <w:szCs w:val="22"/>
          <w:lang w:eastAsia="en-AU"/>
        </w:rPr>
        <w:t xml:space="preserve">U </w:t>
      </w:r>
      <w:r w:rsidRPr="0088157A">
        <w:rPr>
          <w:szCs w:val="22"/>
          <w:lang w:eastAsia="en-AU"/>
        </w:rPr>
        <w:t>≡</w:t>
      </w:r>
      <w:r w:rsidR="00DC4556" w:rsidRPr="00DC4556">
        <w:rPr>
          <w:rFonts w:cs="TimesNewRomanPSMT"/>
          <w:szCs w:val="22"/>
          <w:lang w:eastAsia="en-AU"/>
        </w:rPr>
        <w:t xml:space="preserve"> 80.962 </w:t>
      </w:r>
      <w:r w:rsidR="00DC4556" w:rsidRPr="00DC4556">
        <w:rPr>
          <w:rFonts w:eastAsia="SymbolMT" w:cs="SymbolMT"/>
          <w:szCs w:val="22"/>
          <w:lang w:eastAsia="en-AU"/>
        </w:rPr>
        <w:t>µ</w:t>
      </w:r>
      <w:r w:rsidR="00DC4556" w:rsidRPr="00DC4556">
        <w:rPr>
          <w:rFonts w:cs="TimesNewRomanPSMT"/>
          <w:szCs w:val="22"/>
          <w:lang w:eastAsia="en-AU"/>
        </w:rPr>
        <w:t>g of natural uranium.</w:t>
      </w:r>
      <w:r>
        <w:rPr>
          <w:rFonts w:ascii="TimesNewRomanPSMT" w:hAnsi="TimesNewRomanPSMT" w:cs="TimesNewRomanPSMT"/>
          <w:szCs w:val="22"/>
          <w:lang w:eastAsia="en-AU"/>
        </w:rPr>
        <w:t xml:space="preserve"> </w:t>
      </w:r>
      <w:r>
        <w:t xml:space="preserve">Figure 13 shows generally a good agreement between ICPMS and alpha-spectrometry results over four orders of magnitude. A number of samples however showed </w:t>
      </w:r>
      <w:r w:rsidRPr="00C6477C">
        <w:rPr>
          <w:snapToGrid w:val="0"/>
          <w:color w:val="000000"/>
          <w:position w:val="5"/>
          <w:sz w:val="15"/>
          <w:szCs w:val="0"/>
          <w:u w:color="000000"/>
        </w:rPr>
        <w:t>238</w:t>
      </w:r>
      <w:r>
        <w:t xml:space="preserve">U activity concentrations different to those expected from U measurements via ICPMS, in particular for samples collected between 1999 and 2001. The bores affected were bores OB1A, OB19A, OB44 and OB29. The reason for the discrepancy in these samples is unknown, but could be due to sample storage times and acidification of the aliquots after sample collection. </w:t>
      </w:r>
    </w:p>
    <w:p w:rsidR="00F17389" w:rsidRDefault="00F17389" w:rsidP="00F17389">
      <w:pPr>
        <w:pStyle w:val="Heading4"/>
      </w:pPr>
      <w:bookmarkStart w:id="104" w:name="_Toc398721696"/>
      <w:bookmarkStart w:id="105" w:name="_Toc411850526"/>
      <w:r>
        <w:t xml:space="preserve">2.2.4 The use of the </w:t>
      </w:r>
      <w:r w:rsidRPr="002A3B61">
        <w:rPr>
          <w:snapToGrid w:val="0"/>
          <w:color w:val="000000"/>
          <w:position w:val="5"/>
          <w:sz w:val="15"/>
          <w:szCs w:val="0"/>
          <w:u w:color="000000"/>
        </w:rPr>
        <w:t>234</w:t>
      </w:r>
      <w:r>
        <w:t>U/</w:t>
      </w:r>
      <w:r w:rsidRPr="002A3B61">
        <w:rPr>
          <w:snapToGrid w:val="0"/>
          <w:color w:val="000000"/>
          <w:position w:val="5"/>
          <w:sz w:val="15"/>
          <w:szCs w:val="0"/>
          <w:u w:color="000000"/>
        </w:rPr>
        <w:t>238</w:t>
      </w:r>
      <w:r>
        <w:t>U activity ratio for source apportionment</w:t>
      </w:r>
      <w:bookmarkEnd w:id="104"/>
      <w:bookmarkEnd w:id="105"/>
    </w:p>
    <w:p w:rsidR="00F17389" w:rsidRDefault="00F17389" w:rsidP="00F17389">
      <w:r>
        <w:t xml:space="preserve">In a plot of the </w:t>
      </w:r>
      <w:r w:rsidRPr="002A3B61">
        <w:rPr>
          <w:snapToGrid w:val="0"/>
          <w:color w:val="000000"/>
          <w:position w:val="5"/>
          <w:sz w:val="15"/>
          <w:szCs w:val="0"/>
          <w:u w:color="000000"/>
        </w:rPr>
        <w:t>234</w:t>
      </w:r>
      <w:r>
        <w:t>U/</w:t>
      </w:r>
      <w:r w:rsidRPr="002A3B61">
        <w:rPr>
          <w:snapToGrid w:val="0"/>
          <w:color w:val="000000"/>
          <w:position w:val="5"/>
          <w:sz w:val="15"/>
          <w:szCs w:val="0"/>
          <w:u w:color="000000"/>
        </w:rPr>
        <w:t>238</w:t>
      </w:r>
      <w:r>
        <w:t xml:space="preserve">U activity ratios against the inverse of the </w:t>
      </w:r>
      <w:r w:rsidRPr="002A3B61">
        <w:rPr>
          <w:snapToGrid w:val="0"/>
          <w:color w:val="000000"/>
          <w:position w:val="5"/>
          <w:sz w:val="15"/>
          <w:szCs w:val="0"/>
          <w:u w:color="000000"/>
        </w:rPr>
        <w:t>238</w:t>
      </w:r>
      <w:r>
        <w:t xml:space="preserve">U activity concentration, the intercept of the regression line with the y-axis gives an indication of the </w:t>
      </w:r>
      <w:r w:rsidRPr="002A3B61">
        <w:rPr>
          <w:snapToGrid w:val="0"/>
          <w:color w:val="000000"/>
          <w:position w:val="5"/>
          <w:sz w:val="15"/>
          <w:szCs w:val="0"/>
          <w:u w:color="000000"/>
        </w:rPr>
        <w:t>234</w:t>
      </w:r>
      <w:r>
        <w:t>U/</w:t>
      </w:r>
      <w:r w:rsidRPr="002A3B61">
        <w:rPr>
          <w:snapToGrid w:val="0"/>
          <w:color w:val="000000"/>
          <w:position w:val="5"/>
          <w:sz w:val="15"/>
          <w:szCs w:val="0"/>
          <w:u w:color="000000"/>
        </w:rPr>
        <w:t>238</w:t>
      </w:r>
      <w:r>
        <w:t xml:space="preserve">U activity ratio of a single contaminating uranium source (the ‘contaminating end-member’) in a system that has a constant background </w:t>
      </w:r>
      <w:r w:rsidRPr="002A3B61">
        <w:rPr>
          <w:snapToGrid w:val="0"/>
          <w:color w:val="000000"/>
          <w:position w:val="5"/>
          <w:sz w:val="15"/>
          <w:szCs w:val="0"/>
          <w:u w:color="000000"/>
        </w:rPr>
        <w:t>238</w:t>
      </w:r>
      <w:r>
        <w:t xml:space="preserve">U activity concentration. </w:t>
      </w:r>
    </w:p>
    <w:p w:rsidR="00F17389" w:rsidRDefault="00F17389" w:rsidP="00F17389">
      <w:r>
        <w:t xml:space="preserve">Due to the recoil effect of </w:t>
      </w:r>
      <w:r w:rsidRPr="002A3B61">
        <w:rPr>
          <w:snapToGrid w:val="0"/>
          <w:color w:val="000000"/>
          <w:position w:val="5"/>
          <w:sz w:val="15"/>
          <w:szCs w:val="0"/>
          <w:u w:color="000000"/>
        </w:rPr>
        <w:t>234</w:t>
      </w:r>
      <w:r>
        <w:t xml:space="preserve">U and its preferential leaching over the </w:t>
      </w:r>
      <w:r w:rsidRPr="009B31F9">
        <w:rPr>
          <w:snapToGrid w:val="0"/>
          <w:color w:val="000000"/>
          <w:position w:val="5"/>
          <w:sz w:val="15"/>
          <w:szCs w:val="0"/>
          <w:u w:color="000000"/>
        </w:rPr>
        <w:t>23</w:t>
      </w:r>
      <w:r>
        <w:rPr>
          <w:snapToGrid w:val="0"/>
          <w:color w:val="000000"/>
          <w:position w:val="5"/>
          <w:sz w:val="15"/>
          <w:szCs w:val="0"/>
          <w:u w:color="000000"/>
        </w:rPr>
        <w:t>8</w:t>
      </w:r>
      <w:r>
        <w:t xml:space="preserve">U isotope in natural ground waters most natural ground waters have a </w:t>
      </w:r>
      <w:r w:rsidRPr="002A3B61">
        <w:rPr>
          <w:snapToGrid w:val="0"/>
          <w:color w:val="000000"/>
          <w:position w:val="5"/>
          <w:sz w:val="15"/>
          <w:szCs w:val="0"/>
          <w:u w:color="000000"/>
        </w:rPr>
        <w:t>234</w:t>
      </w:r>
      <w:r>
        <w:t>U/</w:t>
      </w:r>
      <w:r w:rsidRPr="002A3B61">
        <w:rPr>
          <w:snapToGrid w:val="0"/>
          <w:color w:val="000000"/>
          <w:position w:val="5"/>
          <w:sz w:val="15"/>
          <w:szCs w:val="0"/>
          <w:u w:color="000000"/>
        </w:rPr>
        <w:t>238</w:t>
      </w:r>
      <w:r>
        <w:t xml:space="preserve">U activity ratio greater than 1 (see Osmond &amp; Cowart 1982). In contrast, it is generally assumed that uranium in liquid waste generated by the processing of uranium ore (with </w:t>
      </w:r>
      <w:r w:rsidRPr="002A3B61">
        <w:rPr>
          <w:snapToGrid w:val="0"/>
          <w:color w:val="000000"/>
          <w:position w:val="5"/>
          <w:sz w:val="15"/>
          <w:szCs w:val="0"/>
          <w:u w:color="000000"/>
        </w:rPr>
        <w:t>234</w:t>
      </w:r>
      <w:r>
        <w:t xml:space="preserve">U in secular equilibrium with </w:t>
      </w:r>
      <w:r w:rsidRPr="002A3B61">
        <w:rPr>
          <w:snapToGrid w:val="0"/>
          <w:color w:val="000000"/>
          <w:position w:val="5"/>
          <w:sz w:val="15"/>
          <w:szCs w:val="0"/>
          <w:u w:color="000000"/>
        </w:rPr>
        <w:t>238</w:t>
      </w:r>
      <w:r>
        <w:t xml:space="preserve">U) shows </w:t>
      </w:r>
      <w:r w:rsidRPr="002A3B61">
        <w:rPr>
          <w:snapToGrid w:val="0"/>
          <w:color w:val="000000"/>
          <w:position w:val="5"/>
          <w:sz w:val="15"/>
          <w:szCs w:val="0"/>
          <w:u w:color="000000"/>
        </w:rPr>
        <w:t>234</w:t>
      </w:r>
      <w:r>
        <w:t>U/</w:t>
      </w:r>
      <w:r w:rsidRPr="002A3B61">
        <w:rPr>
          <w:snapToGrid w:val="0"/>
          <w:color w:val="000000"/>
          <w:position w:val="5"/>
          <w:sz w:val="15"/>
          <w:szCs w:val="0"/>
          <w:u w:color="000000"/>
        </w:rPr>
        <w:t>238</w:t>
      </w:r>
      <w:r>
        <w:t xml:space="preserve">U activity ratios of ~1, as the strong acid used in the processing of ores will effectively dissolve all of the uranium without preferentially leaching one of the isotopes (Zielinski et al 1997). </w:t>
      </w:r>
    </w:p>
    <w:p w:rsidR="00F17389" w:rsidRDefault="00F17389" w:rsidP="00F17389">
      <w:r>
        <w:t xml:space="preserve">Figure 14 is a conceptualisation of the inverse concentration approach. If natural groundwater with a </w:t>
      </w:r>
      <w:r w:rsidRPr="002A3B61">
        <w:rPr>
          <w:snapToGrid w:val="0"/>
          <w:color w:val="000000"/>
          <w:position w:val="5"/>
          <w:sz w:val="15"/>
          <w:szCs w:val="0"/>
          <w:u w:color="000000"/>
        </w:rPr>
        <w:t>234</w:t>
      </w:r>
      <w:r>
        <w:t>U/</w:t>
      </w:r>
      <w:r w:rsidRPr="002A3B61">
        <w:rPr>
          <w:snapToGrid w:val="0"/>
          <w:color w:val="000000"/>
          <w:position w:val="5"/>
          <w:sz w:val="15"/>
          <w:szCs w:val="0"/>
          <w:u w:color="000000"/>
        </w:rPr>
        <w:t>238</w:t>
      </w:r>
      <w:r>
        <w:t xml:space="preserve">U activity ratio greater than 1 and low </w:t>
      </w:r>
      <w:r w:rsidRPr="002A3B61">
        <w:rPr>
          <w:snapToGrid w:val="0"/>
          <w:color w:val="000000"/>
          <w:position w:val="5"/>
          <w:sz w:val="15"/>
          <w:szCs w:val="0"/>
          <w:u w:color="000000"/>
        </w:rPr>
        <w:t>238</w:t>
      </w:r>
      <w:r>
        <w:t xml:space="preserve">U activity concentrations mixes with low pH water from the TSF, high in U and with a </w:t>
      </w:r>
      <w:r w:rsidRPr="002A3B61">
        <w:rPr>
          <w:snapToGrid w:val="0"/>
          <w:color w:val="000000"/>
          <w:position w:val="5"/>
          <w:sz w:val="15"/>
          <w:szCs w:val="0"/>
          <w:u w:color="000000"/>
        </w:rPr>
        <w:t>234</w:t>
      </w:r>
      <w:r>
        <w:t>U/</w:t>
      </w:r>
      <w:r w:rsidRPr="002A3B61">
        <w:rPr>
          <w:snapToGrid w:val="0"/>
          <w:color w:val="000000"/>
          <w:position w:val="5"/>
          <w:sz w:val="15"/>
          <w:szCs w:val="0"/>
          <w:u w:color="000000"/>
        </w:rPr>
        <w:t>238</w:t>
      </w:r>
      <w:r>
        <w:t>U activity ratio that equals 1, then a mixing line similar to the line indicated by AB, with an intercept around 1 can be expected. If the source of uranium is leached from relatively uranium rich mine material by rainwater percolating though the material,</w:t>
      </w:r>
      <w:r w:rsidR="00A553BE">
        <w:t xml:space="preserve"> </w:t>
      </w:r>
      <w:r w:rsidRPr="002A3B61">
        <w:rPr>
          <w:snapToGrid w:val="0"/>
          <w:color w:val="000000"/>
          <w:position w:val="5"/>
          <w:sz w:val="15"/>
          <w:szCs w:val="0"/>
          <w:u w:color="000000"/>
        </w:rPr>
        <w:t>234</w:t>
      </w:r>
      <w:r>
        <w:t xml:space="preserve">U would preferentially leach over the </w:t>
      </w:r>
      <w:r w:rsidRPr="009B31F9">
        <w:rPr>
          <w:snapToGrid w:val="0"/>
          <w:color w:val="000000"/>
          <w:position w:val="5"/>
          <w:sz w:val="15"/>
          <w:szCs w:val="0"/>
          <w:u w:color="000000"/>
        </w:rPr>
        <w:t>23</w:t>
      </w:r>
      <w:r>
        <w:rPr>
          <w:snapToGrid w:val="0"/>
          <w:color w:val="000000"/>
          <w:position w:val="5"/>
          <w:sz w:val="15"/>
          <w:szCs w:val="0"/>
          <w:u w:color="000000"/>
        </w:rPr>
        <w:t>8</w:t>
      </w:r>
      <w:r>
        <w:t xml:space="preserve">U isotope, and a mixing line similar to the line indicated by CD, with an intercept greater than 1 can be expected. If the source of uranium does not change but changes in bore water chemistry affect the uranium concentration in the groundwater, the </w:t>
      </w:r>
      <w:r w:rsidRPr="002A3B61">
        <w:rPr>
          <w:snapToGrid w:val="0"/>
          <w:color w:val="000000"/>
          <w:position w:val="5"/>
          <w:sz w:val="15"/>
          <w:szCs w:val="0"/>
          <w:u w:color="000000"/>
        </w:rPr>
        <w:t>234</w:t>
      </w:r>
      <w:r>
        <w:t>U/</w:t>
      </w:r>
      <w:r w:rsidRPr="002A3B61">
        <w:rPr>
          <w:snapToGrid w:val="0"/>
          <w:color w:val="000000"/>
          <w:position w:val="5"/>
          <w:sz w:val="15"/>
          <w:szCs w:val="0"/>
          <w:u w:color="000000"/>
        </w:rPr>
        <w:t>238</w:t>
      </w:r>
      <w:r>
        <w:t>U activity ratio should remain constant, as indicated by EF. More than one contaminating end member will result in uncorrelated data.</w:t>
      </w:r>
    </w:p>
    <w:p w:rsidR="00F17389" w:rsidRDefault="00F17389" w:rsidP="00F17389"/>
    <w:p w:rsidR="00F17389" w:rsidRDefault="00F17389" w:rsidP="00F17389">
      <w:pPr>
        <w:jc w:val="center"/>
      </w:pPr>
      <w:r>
        <w:rPr>
          <w:noProof/>
          <w:lang w:eastAsia="en-AU"/>
        </w:rPr>
        <w:drawing>
          <wp:inline distT="0" distB="0" distL="0" distR="0">
            <wp:extent cx="3657600" cy="2202815"/>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email"/>
                    <a:srcRect/>
                    <a:stretch>
                      <a:fillRect/>
                    </a:stretch>
                  </pic:blipFill>
                  <pic:spPr bwMode="auto">
                    <a:xfrm>
                      <a:off x="0" y="0"/>
                      <a:ext cx="3657600" cy="2202815"/>
                    </a:xfrm>
                    <a:prstGeom prst="rect">
                      <a:avLst/>
                    </a:prstGeom>
                    <a:noFill/>
                    <a:ln w="9525">
                      <a:noFill/>
                      <a:miter lim="800000"/>
                      <a:headEnd/>
                      <a:tailEnd/>
                    </a:ln>
                  </pic:spPr>
                </pic:pic>
              </a:graphicData>
            </a:graphic>
          </wp:inline>
        </w:drawing>
      </w:r>
    </w:p>
    <w:p w:rsidR="00F17389" w:rsidRDefault="00F17389" w:rsidP="00F17389">
      <w:pPr>
        <w:pStyle w:val="figurecaption"/>
      </w:pPr>
      <w:bookmarkStart w:id="106" w:name="_Toc398721498"/>
      <w:r w:rsidRPr="000A3842">
        <w:rPr>
          <w:b/>
        </w:rPr>
        <w:t>Figure 14</w:t>
      </w:r>
      <w:r>
        <w:t xml:space="preserve"> Conceptualisation of the inverse activity concentration approach</w:t>
      </w:r>
      <w:bookmarkEnd w:id="106"/>
    </w:p>
    <w:p w:rsidR="00F17389" w:rsidRDefault="00F17389" w:rsidP="00F17389">
      <w:pPr>
        <w:pStyle w:val="Heading4"/>
      </w:pPr>
      <w:bookmarkStart w:id="107" w:name="_Toc411850527"/>
      <w:r>
        <w:t>2.2.4 Statistical multivariate analysis (PCA)</w:t>
      </w:r>
      <w:bookmarkEnd w:id="107"/>
    </w:p>
    <w:p w:rsidR="00F17389" w:rsidRDefault="00F17389" w:rsidP="00F17389">
      <w:r>
        <w:t xml:space="preserve">Groundwater quality data are summarised for the various catchments around the Ranger mine site using Principal Components Analysis (PCA). </w:t>
      </w:r>
    </w:p>
    <w:p w:rsidR="00F17389" w:rsidRDefault="00F17389" w:rsidP="00F17389">
      <w:r>
        <w:t>PCA</w:t>
      </w:r>
      <w:r w:rsidRPr="00690858">
        <w:t xml:space="preserve"> </w:t>
      </w:r>
      <w:r>
        <w:t>is</w:t>
      </w:r>
      <w:r w:rsidRPr="00DB6D9F">
        <w:t xml:space="preserve"> an eigenvector-based multivariate analysis </w:t>
      </w:r>
      <w:r w:rsidRPr="00690858">
        <w:t>for identifying a smaller number of uncorrelated variables, called principal components, from a large</w:t>
      </w:r>
      <w:r>
        <w:t>r</w:t>
      </w:r>
      <w:r w:rsidRPr="00690858">
        <w:t xml:space="preserve"> set of data. The</w:t>
      </w:r>
      <w:r>
        <w:t xml:space="preserve"> general</w:t>
      </w:r>
      <w:r w:rsidRPr="00690858">
        <w:t xml:space="preserve"> goal of principal components analysis is to</w:t>
      </w:r>
      <w:r>
        <w:t xml:space="preserve"> simplify a data set and</w:t>
      </w:r>
      <w:r w:rsidRPr="00690858">
        <w:t xml:space="preserve"> explain the maximum amount of variance with the fewest number of principal components</w:t>
      </w:r>
      <w:r>
        <w:t xml:space="preserve"> (Jolliffe 2002; Minitab 2015)</w:t>
      </w:r>
      <w:r w:rsidRPr="00690858">
        <w:t>.</w:t>
      </w:r>
      <w:r>
        <w:t xml:space="preserve"> In groundwaters, electrical conductivity (EC) or redox conditions often are the driving factors of variability in water quality (e.g. Chen et al 2007).</w:t>
      </w:r>
    </w:p>
    <w:p w:rsidR="00F17389" w:rsidRDefault="00F17389" w:rsidP="00F17389">
      <w:r>
        <w:t>Three plots are usually displayed to visualise the results of a PCA. These are the so</w:t>
      </w:r>
      <w:r w:rsidR="00D24DD5">
        <w:t>-</w:t>
      </w:r>
      <w:r>
        <w:t>called scree, loading and score plots. The scree plot displays the eigenvalues associated with each factor from the PCA and can be used to assess the importance of each factor in explaining the variability of the original data. The loading plot displays to what degree a factor determined from the PCA explains the variability of a certain</w:t>
      </w:r>
      <w:r w:rsidR="00A553BE">
        <w:t xml:space="preserve"> </w:t>
      </w:r>
      <w:r>
        <w:t>measured variable and whether</w:t>
      </w:r>
      <w:r w:rsidRPr="00DB6D9F">
        <w:t xml:space="preserve"> metal</w:t>
      </w:r>
      <w:r>
        <w:t xml:space="preserve"> concentrations</w:t>
      </w:r>
      <w:r w:rsidRPr="00DB6D9F">
        <w:t xml:space="preserve"> are positively </w:t>
      </w:r>
      <w:r>
        <w:t xml:space="preserve">or negatively </w:t>
      </w:r>
      <w:r w:rsidRPr="00DB6D9F">
        <w:t xml:space="preserve">correlated with </w:t>
      </w:r>
      <w:r>
        <w:t xml:space="preserve">the principal </w:t>
      </w:r>
      <w:r w:rsidRPr="00DB6D9F">
        <w:t>component</w:t>
      </w:r>
      <w:r>
        <w:t>s. PCA scores are calculated for each variable within a sample and are plotted to investigate similarities between samples or sampling sites.</w:t>
      </w:r>
    </w:p>
    <w:p w:rsidR="00F17389" w:rsidRDefault="00F17389" w:rsidP="00F17389">
      <w:r>
        <w:t xml:space="preserve">Minitab </w:t>
      </w:r>
      <w:r w:rsidR="00DC4556" w:rsidRPr="00DC4556">
        <w:t>16</w:t>
      </w:r>
      <w:r>
        <w:t xml:space="preserve"> is used for multivariate statistical analysis. Bores are grouped into various catchments and the correlation matrix was used. Each variable is normalised to unit variance and thus contributes equally to the PCA. </w:t>
      </w:r>
    </w:p>
    <w:p w:rsidR="00740D64" w:rsidRDefault="00740D64" w:rsidP="00E82A74">
      <w:pPr>
        <w:pStyle w:val="Heading2"/>
        <w:sectPr w:rsidR="00740D64" w:rsidSect="00F17389">
          <w:headerReference w:type="even" r:id="rId43"/>
          <w:footerReference w:type="even" r:id="rId44"/>
          <w:footerReference w:type="default" r:id="rId45"/>
          <w:headerReference w:type="first" r:id="rId46"/>
          <w:footerReference w:type="first" r:id="rId47"/>
          <w:pgSz w:w="11906" w:h="16838" w:code="9"/>
          <w:pgMar w:top="1276" w:right="1800" w:bottom="1276" w:left="1800" w:header="1080" w:footer="835" w:gutter="0"/>
          <w:cols w:space="360"/>
          <w:noEndnote/>
        </w:sectPr>
      </w:pPr>
    </w:p>
    <w:p w:rsidR="00E82A74" w:rsidRDefault="00C220C4" w:rsidP="00136483">
      <w:pPr>
        <w:pStyle w:val="Heading1"/>
      </w:pPr>
      <w:bookmarkStart w:id="108" w:name="_Toc413230059"/>
      <w:r>
        <w:t xml:space="preserve">3 </w:t>
      </w:r>
      <w:r w:rsidR="00136483">
        <w:t>Results</w:t>
      </w:r>
      <w:bookmarkEnd w:id="108"/>
    </w:p>
    <w:p w:rsidR="006D057D" w:rsidRDefault="006D057D" w:rsidP="00C220C4">
      <w:pPr>
        <w:pStyle w:val="Heading3"/>
      </w:pPr>
      <w:bookmarkStart w:id="109" w:name="_Toc398721698"/>
      <w:bookmarkStart w:id="110" w:name="_Toc411850528"/>
      <w:bookmarkStart w:id="111" w:name="_Toc413230060"/>
      <w:r>
        <w:t>3.1 Bores in the Coonjimba catchment and RP1</w:t>
      </w:r>
      <w:bookmarkEnd w:id="109"/>
      <w:bookmarkEnd w:id="110"/>
      <w:bookmarkEnd w:id="111"/>
    </w:p>
    <w:p w:rsidR="00C220C4" w:rsidRDefault="00C220C4" w:rsidP="00C220C4">
      <w:pPr>
        <w:pStyle w:val="Heading4"/>
      </w:pPr>
      <w:bookmarkStart w:id="112" w:name="_Toc398721699"/>
      <w:bookmarkStart w:id="113" w:name="_Toc411850529"/>
      <w:r>
        <w:t>3.1.1 Major constituents</w:t>
      </w:r>
      <w:bookmarkEnd w:id="112"/>
      <w:bookmarkEnd w:id="113"/>
    </w:p>
    <w:p w:rsidR="00C220C4" w:rsidRDefault="00C220C4" w:rsidP="00C220C4">
      <w:r>
        <w:t>Figure 15 shows the results of measurements of major constituents (cations Ca, Na, Mg, K; anions: SO</w:t>
      </w:r>
      <w:r w:rsidRPr="00ED53C1">
        <w:rPr>
          <w:snapToGrid w:val="0"/>
          <w:color w:val="000000"/>
          <w:position w:val="-5"/>
          <w:sz w:val="15"/>
          <w:szCs w:val="0"/>
          <w:u w:color="000000"/>
        </w:rPr>
        <w:t>4</w:t>
      </w:r>
      <w:r>
        <w:t>) in ground waters sampled from bores in the Coonjimba catchment and in the vicinity of RP1.</w:t>
      </w:r>
    </w:p>
    <w:p w:rsidR="00C220C4" w:rsidRPr="00D513A9" w:rsidRDefault="00C220C4" w:rsidP="00C220C4">
      <w:r>
        <w:rPr>
          <w:noProof/>
          <w:lang w:eastAsia="en-AU"/>
        </w:rPr>
        <w:drawing>
          <wp:inline distT="0" distB="0" distL="0" distR="0">
            <wp:extent cx="5271770" cy="5852160"/>
            <wp:effectExtent l="1905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email"/>
                    <a:srcRect/>
                    <a:stretch>
                      <a:fillRect/>
                    </a:stretch>
                  </pic:blipFill>
                  <pic:spPr bwMode="auto">
                    <a:xfrm>
                      <a:off x="0" y="0"/>
                      <a:ext cx="5271770" cy="585216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14" w:name="_Toc398721499"/>
      <w:r w:rsidRPr="000A3842">
        <w:rPr>
          <w:b/>
        </w:rPr>
        <w:t>Figure 15</w:t>
      </w:r>
      <w:r>
        <w:t xml:space="preserve"> Major constituent concentrations plotted against</w:t>
      </w:r>
      <w:r w:rsidRPr="006705CA">
        <w:t xml:space="preserve"> </w:t>
      </w:r>
      <w:r>
        <w:t>sampling date in bores 23931_deep, B11 and RN23551.</w:t>
      </w:r>
      <w:bookmarkEnd w:id="114"/>
      <w:r>
        <w:t xml:space="preserve"> </w:t>
      </w:r>
    </w:p>
    <w:p w:rsidR="00C220C4" w:rsidRDefault="00C220C4" w:rsidP="00C220C4">
      <w:r>
        <w:t xml:space="preserve">Figure 15 shows that shallow bore RN23551, located at the southern margin of RP1, </w:t>
      </w:r>
      <w:proofErr w:type="gramStart"/>
      <w:r>
        <w:t>is</w:t>
      </w:r>
      <w:proofErr w:type="gramEnd"/>
      <w:r>
        <w:t xml:space="preserve"> dominated by Mg with a maximum concentration of 180 mg L</w:t>
      </w:r>
      <w:r w:rsidRPr="001349FC">
        <w:rPr>
          <w:snapToGrid w:val="0"/>
          <w:color w:val="000000"/>
          <w:position w:val="5"/>
          <w:sz w:val="15"/>
          <w:szCs w:val="0"/>
          <w:u w:color="000000"/>
        </w:rPr>
        <w:t>-1</w:t>
      </w:r>
      <w:r>
        <w:t xml:space="preserve"> measured in September 2004. Na was highest in 2004 as well at 33 mg L</w:t>
      </w:r>
      <w:r w:rsidRPr="001349FC">
        <w:rPr>
          <w:snapToGrid w:val="0"/>
          <w:color w:val="000000"/>
          <w:position w:val="5"/>
          <w:sz w:val="15"/>
          <w:szCs w:val="0"/>
          <w:u w:color="000000"/>
        </w:rPr>
        <w:t>-</w:t>
      </w:r>
      <w:proofErr w:type="gramStart"/>
      <w:r w:rsidRPr="001349FC">
        <w:rPr>
          <w:snapToGrid w:val="0"/>
          <w:color w:val="000000"/>
          <w:position w:val="5"/>
          <w:sz w:val="15"/>
          <w:szCs w:val="0"/>
          <w:u w:color="000000"/>
        </w:rPr>
        <w:t>1</w:t>
      </w:r>
      <w:r>
        <w:t>,</w:t>
      </w:r>
      <w:proofErr w:type="gramEnd"/>
      <w:r>
        <w:t xml:space="preserve"> maximum Ca concentration was measured in September 2011 at about 8 mg L</w:t>
      </w:r>
      <w:r w:rsidRPr="001349FC">
        <w:rPr>
          <w:snapToGrid w:val="0"/>
          <w:color w:val="000000"/>
          <w:position w:val="5"/>
          <w:sz w:val="15"/>
          <w:szCs w:val="0"/>
          <w:u w:color="000000"/>
        </w:rPr>
        <w:t>-1</w:t>
      </w:r>
      <w:r>
        <w:t>. Generally, major cation concentrations in bore RN23551 show a very large variability, which is also reflected in the data for bore RN23551 measured by ERA (ERA 2012). Sulfate in bore RN23551 was more than 400 mg L</w:t>
      </w:r>
      <w:r w:rsidRPr="001349FC">
        <w:rPr>
          <w:snapToGrid w:val="0"/>
          <w:color w:val="000000"/>
          <w:position w:val="5"/>
          <w:sz w:val="15"/>
          <w:szCs w:val="0"/>
          <w:u w:color="000000"/>
        </w:rPr>
        <w:t>-1</w:t>
      </w:r>
      <w:r>
        <w:t xml:space="preserve"> in 2011. </w:t>
      </w:r>
    </w:p>
    <w:p w:rsidR="00C220C4" w:rsidRDefault="00C220C4" w:rsidP="00C220C4">
      <w:r>
        <w:t>Bore B11 is located between Coonjimba Billabong and the Jabiru East irrigation area. Major cation concentrations show little variability, with Ca concentrations of about 2.5 mg L</w:t>
      </w:r>
      <w:r w:rsidRPr="001349FC">
        <w:rPr>
          <w:snapToGrid w:val="0"/>
          <w:color w:val="000000"/>
          <w:position w:val="5"/>
          <w:sz w:val="15"/>
          <w:szCs w:val="0"/>
          <w:u w:color="000000"/>
        </w:rPr>
        <w:t>-1</w:t>
      </w:r>
      <w:r>
        <w:t>, Na about 10 mg L</w:t>
      </w:r>
      <w:r w:rsidRPr="001349FC">
        <w:rPr>
          <w:snapToGrid w:val="0"/>
          <w:color w:val="000000"/>
          <w:position w:val="5"/>
          <w:sz w:val="15"/>
          <w:szCs w:val="0"/>
          <w:u w:color="000000"/>
        </w:rPr>
        <w:t>-1</w:t>
      </w:r>
      <w:r>
        <w:t>, Mg about 4</w:t>
      </w:r>
      <w:r w:rsidRPr="00F7043D">
        <w:t xml:space="preserve"> </w:t>
      </w:r>
      <w:r>
        <w:t>mg L</w:t>
      </w:r>
      <w:r w:rsidRPr="001349FC">
        <w:rPr>
          <w:snapToGrid w:val="0"/>
          <w:color w:val="000000"/>
          <w:position w:val="5"/>
          <w:sz w:val="15"/>
          <w:szCs w:val="0"/>
          <w:u w:color="000000"/>
        </w:rPr>
        <w:t>-1</w:t>
      </w:r>
      <w:r>
        <w:t xml:space="preserve"> and K about 1.7 mg L</w:t>
      </w:r>
      <w:r w:rsidRPr="001349FC">
        <w:rPr>
          <w:snapToGrid w:val="0"/>
          <w:color w:val="000000"/>
          <w:position w:val="5"/>
          <w:sz w:val="15"/>
          <w:szCs w:val="0"/>
          <w:u w:color="000000"/>
        </w:rPr>
        <w:t>-1</w:t>
      </w:r>
      <w:r>
        <w:t>.</w:t>
      </w:r>
    </w:p>
    <w:p w:rsidR="00C220C4" w:rsidRPr="00DC33E2" w:rsidRDefault="00C220C4" w:rsidP="00C220C4">
      <w:r>
        <w:t xml:space="preserve">The deep groundwater monitoring bore 23931_deep, located further </w:t>
      </w:r>
      <w:r w:rsidR="00606E71">
        <w:t>downgradient</w:t>
      </w:r>
      <w:r>
        <w:t xml:space="preserve"> of Coonjimba Billabong, is a statutory monitoring bore of ERA. A comparison with data from ERA shows that Ca concentrations (8-10 mg L</w:t>
      </w:r>
      <w:r w:rsidRPr="001349FC">
        <w:rPr>
          <w:snapToGrid w:val="0"/>
          <w:color w:val="000000"/>
          <w:position w:val="5"/>
          <w:sz w:val="15"/>
          <w:szCs w:val="0"/>
          <w:u w:color="000000"/>
        </w:rPr>
        <w:t>-1</w:t>
      </w:r>
      <w:r>
        <w:t>) are similar to end of the dry season measurements made by ERA, with wet season concentrations being lower at about 5 mg L</w:t>
      </w:r>
      <w:r w:rsidRPr="001349FC">
        <w:rPr>
          <w:snapToGrid w:val="0"/>
          <w:color w:val="000000"/>
          <w:position w:val="5"/>
          <w:sz w:val="15"/>
          <w:szCs w:val="0"/>
          <w:u w:color="000000"/>
        </w:rPr>
        <w:t>-1</w:t>
      </w:r>
      <w:r>
        <w:t xml:space="preserve"> (ERA 2012). Bore 23931_deep is dominated by Ca and Na, typical for bores located in the f</w:t>
      </w:r>
      <w:r w:rsidRPr="00130B38">
        <w:t>ractured Nanambu complex</w:t>
      </w:r>
      <w:r>
        <w:t xml:space="preserve"> (Klessa 2001).</w:t>
      </w:r>
    </w:p>
    <w:p w:rsidR="00C220C4" w:rsidRDefault="00C220C4" w:rsidP="00C220C4">
      <w:pPr>
        <w:pStyle w:val="Heading4"/>
      </w:pPr>
      <w:bookmarkStart w:id="115" w:name="_Toc398721700"/>
      <w:bookmarkStart w:id="116" w:name="_Toc411850530"/>
      <w:r>
        <w:t>3.1.2 Metals</w:t>
      </w:r>
      <w:bookmarkEnd w:id="115"/>
      <w:bookmarkEnd w:id="116"/>
    </w:p>
    <w:p w:rsidR="00C220C4" w:rsidRDefault="00C220C4" w:rsidP="00C220C4">
      <w:r>
        <w:t xml:space="preserve">Figure 16 shows the available results of bore water metal (Fe, Mn, Ba, Sr, U) concentrations </w:t>
      </w:r>
      <w:r w:rsidRPr="003F52BC">
        <w:t>in bores RN23551, B11 and 23931_deep</w:t>
      </w:r>
      <w:r>
        <w:t>. Bores were sampled at the end of the dry season</w:t>
      </w:r>
      <w:r w:rsidR="00D24DD5">
        <w:t xml:space="preserve"> and</w:t>
      </w:r>
      <w:r>
        <w:t xml:space="preserve"> results are available from 2004 onwards. Metal concentrations were generally well above detection limits.</w:t>
      </w:r>
    </w:p>
    <w:p w:rsidR="00C220C4" w:rsidRDefault="00C220C4" w:rsidP="00C220C4">
      <w:r>
        <w:rPr>
          <w:noProof/>
          <w:lang w:eastAsia="en-AU"/>
        </w:rPr>
        <w:drawing>
          <wp:inline distT="0" distB="0" distL="0" distR="0">
            <wp:extent cx="4730750" cy="516826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email"/>
                    <a:srcRect t="1648"/>
                    <a:stretch>
                      <a:fillRect/>
                    </a:stretch>
                  </pic:blipFill>
                  <pic:spPr bwMode="auto">
                    <a:xfrm>
                      <a:off x="0" y="0"/>
                      <a:ext cx="4730750" cy="516826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17" w:name="_Toc398721500"/>
      <w:r w:rsidRPr="000A3842">
        <w:rPr>
          <w:b/>
        </w:rPr>
        <w:t>Figure 16</w:t>
      </w:r>
      <w:r>
        <w:t xml:space="preserve"> Metal concentrations plotted against</w:t>
      </w:r>
      <w:r w:rsidRPr="006705CA">
        <w:t xml:space="preserve"> </w:t>
      </w:r>
      <w:r>
        <w:t>sampling date in bores</w:t>
      </w:r>
      <w:r w:rsidRPr="00084D61">
        <w:t xml:space="preserve"> </w:t>
      </w:r>
      <w:r>
        <w:t>RN23551, B11 and</w:t>
      </w:r>
      <w:r w:rsidRPr="00084D61">
        <w:t xml:space="preserve"> </w:t>
      </w:r>
      <w:r>
        <w:t>23931_deep. The blue dotted lines indicate the Australian drinking water quality guidelines (NHMRC 2011).</w:t>
      </w:r>
      <w:bookmarkEnd w:id="117"/>
    </w:p>
    <w:p w:rsidR="00C220C4" w:rsidRDefault="00C220C4" w:rsidP="00C220C4">
      <w:r>
        <w:t>Bore RN23551 shows quite variable concentrations of Fe, Mn, Ba and Sr. Concentration minima coincide with minima in major cations measured in this bore. Concentrations of Fe vary by more than 2 orders of magnitude from 0.1 mg L</w:t>
      </w:r>
      <w:r w:rsidRPr="001349FC">
        <w:rPr>
          <w:snapToGrid w:val="0"/>
          <w:color w:val="000000"/>
          <w:position w:val="5"/>
          <w:sz w:val="15"/>
          <w:szCs w:val="0"/>
          <w:u w:color="000000"/>
        </w:rPr>
        <w:t>-1</w:t>
      </w:r>
      <w:r>
        <w:t xml:space="preserve"> to 35 mg L</w:t>
      </w:r>
      <w:r w:rsidRPr="001349FC">
        <w:rPr>
          <w:snapToGrid w:val="0"/>
          <w:color w:val="000000"/>
          <w:position w:val="5"/>
          <w:sz w:val="15"/>
          <w:szCs w:val="0"/>
          <w:u w:color="000000"/>
        </w:rPr>
        <w:t>-1</w:t>
      </w:r>
      <w:r>
        <w:t>. Concentrations of Ba and Sr in RN23551 vary by one order of magnitude from 40 to 350 and from 2.7 to 29 µg L</w:t>
      </w:r>
      <w:r w:rsidRPr="001349FC">
        <w:rPr>
          <w:snapToGrid w:val="0"/>
          <w:color w:val="000000"/>
          <w:position w:val="5"/>
          <w:sz w:val="15"/>
          <w:szCs w:val="0"/>
          <w:u w:color="000000"/>
        </w:rPr>
        <w:t>-1</w:t>
      </w:r>
      <w:r>
        <w:t>, respectively. The variability of U is much smaller, with uranium concentration between 0.2 and 0.7 µg L</w:t>
      </w:r>
      <w:r w:rsidRPr="001349FC">
        <w:rPr>
          <w:snapToGrid w:val="0"/>
          <w:color w:val="000000"/>
          <w:position w:val="5"/>
          <w:sz w:val="15"/>
          <w:szCs w:val="0"/>
          <w:u w:color="000000"/>
        </w:rPr>
        <w:t>-1</w:t>
      </w:r>
      <w:r>
        <w:t>, similar to concentrations for this bore reported by ERA (2012).</w:t>
      </w:r>
    </w:p>
    <w:p w:rsidR="00C220C4" w:rsidRDefault="00C220C4" w:rsidP="00C220C4">
      <w:r>
        <w:t xml:space="preserve">Bore B11 shows similar Fe but slightly higher Mn concentrations compared to RN23551. Ba concentrations are much lower, whereas U is similar again to RN23551. There is some variability in Fe and Mn that cannot be seen in major cation concentrations measured in this bore. However, Mn and Fe </w:t>
      </w:r>
      <w:proofErr w:type="gramStart"/>
      <w:r>
        <w:t>appears</w:t>
      </w:r>
      <w:proofErr w:type="gramEnd"/>
      <w:r>
        <w:t xml:space="preserve"> to be negatively correlated to U. </w:t>
      </w:r>
    </w:p>
    <w:p w:rsidR="00C220C4" w:rsidRPr="002C4F21" w:rsidRDefault="00C220C4" w:rsidP="00C220C4">
      <w:r>
        <w:t xml:space="preserve">Bore 23931_deep has generally low Fe, Mn, Ba and Sr concentrations. </w:t>
      </w:r>
      <w:proofErr w:type="gramStart"/>
      <w:r>
        <w:t>Concentrations of U are also low, but higher than concentrations measured in bores</w:t>
      </w:r>
      <w:proofErr w:type="gramEnd"/>
      <w:r>
        <w:t xml:space="preserve"> </w:t>
      </w:r>
      <w:r w:rsidRPr="006315BC">
        <w:t>B11 and RN23551</w:t>
      </w:r>
      <w:r>
        <w:t>.</w:t>
      </w:r>
    </w:p>
    <w:p w:rsidR="00C220C4" w:rsidRDefault="00C220C4" w:rsidP="00C220C4">
      <w:pPr>
        <w:pStyle w:val="Heading4"/>
      </w:pPr>
      <w:bookmarkStart w:id="118" w:name="_Toc398721701"/>
      <w:bookmarkStart w:id="119" w:name="_Toc411850531"/>
      <w:r>
        <w:t>3.1.3 Radionuclides</w:t>
      </w:r>
      <w:bookmarkEnd w:id="118"/>
      <w:bookmarkEnd w:id="119"/>
    </w:p>
    <w:p w:rsidR="00C220C4" w:rsidRDefault="00C220C4" w:rsidP="00C220C4">
      <w:r>
        <w:t xml:space="preserve">Figure 17 shows the results of radionuclide activity concentration measurements, and the </w:t>
      </w:r>
      <w:r w:rsidRPr="00AD00BB">
        <w:rPr>
          <w:snapToGrid w:val="0"/>
          <w:color w:val="000000"/>
          <w:position w:val="5"/>
          <w:sz w:val="15"/>
          <w:szCs w:val="0"/>
          <w:u w:color="000000"/>
        </w:rPr>
        <w:t>234</w:t>
      </w:r>
      <w:r>
        <w:t>U/</w:t>
      </w:r>
      <w:r w:rsidRPr="00AD00BB">
        <w:rPr>
          <w:snapToGrid w:val="0"/>
          <w:color w:val="000000"/>
          <w:position w:val="5"/>
          <w:sz w:val="15"/>
          <w:szCs w:val="0"/>
          <w:u w:color="000000"/>
        </w:rPr>
        <w:t>238</w:t>
      </w:r>
      <w:r>
        <w:t>U activity ratios measured in bores 23931_deep, B11, RN23551, RP1N1 and RP1N2.</w:t>
      </w:r>
    </w:p>
    <w:p w:rsidR="00C220C4" w:rsidRDefault="00C220C4" w:rsidP="00C220C4">
      <w:r>
        <w:rPr>
          <w:noProof/>
          <w:lang w:eastAsia="en-AU"/>
        </w:rPr>
        <w:drawing>
          <wp:inline distT="0" distB="0" distL="0" distR="0">
            <wp:extent cx="5271770" cy="3951605"/>
            <wp:effectExtent l="1905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email"/>
                    <a:srcRect/>
                    <a:stretch>
                      <a:fillRect/>
                    </a:stretch>
                  </pic:blipFill>
                  <pic:spPr bwMode="auto">
                    <a:xfrm>
                      <a:off x="0" y="0"/>
                      <a:ext cx="5271770" cy="395160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20" w:name="_Toc398721501"/>
      <w:r w:rsidRPr="000A3842">
        <w:rPr>
          <w:b/>
        </w:rPr>
        <w:t>Figure 17</w:t>
      </w:r>
      <w:r>
        <w:t xml:space="preserve"> </w:t>
      </w:r>
      <w:r w:rsidRPr="006705CA">
        <w:rPr>
          <w:snapToGrid w:val="0"/>
          <w:color w:val="000000"/>
          <w:position w:val="5"/>
          <w:sz w:val="15"/>
          <w:szCs w:val="0"/>
          <w:u w:color="000000"/>
        </w:rPr>
        <w:t>238</w:t>
      </w:r>
      <w:r>
        <w:t xml:space="preserve">U and </w:t>
      </w:r>
      <w:r w:rsidRPr="006705CA">
        <w:rPr>
          <w:snapToGrid w:val="0"/>
          <w:color w:val="000000"/>
          <w:position w:val="5"/>
          <w:sz w:val="15"/>
          <w:szCs w:val="0"/>
          <w:u w:color="000000"/>
        </w:rPr>
        <w:t>226</w:t>
      </w:r>
      <w:r>
        <w:t>Ra activity concentrations plotted against</w:t>
      </w:r>
      <w:r w:rsidRPr="006705CA">
        <w:t xml:space="preserve"> </w:t>
      </w:r>
      <w:r>
        <w:t xml:space="preserve">sampling date, and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 xml:space="preserve">U activity ratio plotted against sampling date and inverse </w:t>
      </w:r>
      <w:r w:rsidRPr="006705CA">
        <w:rPr>
          <w:snapToGrid w:val="0"/>
          <w:color w:val="000000"/>
          <w:position w:val="5"/>
          <w:sz w:val="15"/>
          <w:szCs w:val="0"/>
          <w:u w:color="000000"/>
        </w:rPr>
        <w:t>238</w:t>
      </w:r>
      <w:r>
        <w:t xml:space="preserve">U activity concentration, respectively. Data for bores RN23551, B11, 23931_deep, RP1N1 and RP1N2 are shown. Linear fits to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U activity ratio (bores RN23551 and B11) in the inverse concentration plots and associated 95% confidence intervals are shown as well.</w:t>
      </w:r>
      <w:bookmarkEnd w:id="120"/>
    </w:p>
    <w:p w:rsidR="00C220C4" w:rsidRDefault="00C220C4" w:rsidP="00C220C4">
      <w:r>
        <w:t xml:space="preserve">Activity concentrations of </w:t>
      </w:r>
      <w:r w:rsidRPr="0043502E">
        <w:rPr>
          <w:snapToGrid w:val="0"/>
          <w:color w:val="000000"/>
          <w:position w:val="5"/>
          <w:sz w:val="15"/>
          <w:szCs w:val="0"/>
          <w:u w:color="000000"/>
        </w:rPr>
        <w:t>238</w:t>
      </w:r>
      <w:r>
        <w:t>U are highest in bores RP1N1 (487 mBq∙L</w:t>
      </w:r>
      <w:r w:rsidRPr="00752671">
        <w:rPr>
          <w:snapToGrid w:val="0"/>
          <w:color w:val="000000"/>
          <w:position w:val="5"/>
          <w:sz w:val="15"/>
          <w:szCs w:val="0"/>
          <w:u w:color="000000"/>
        </w:rPr>
        <w:t>-1</w:t>
      </w:r>
      <w:r>
        <w:t>) and RP1N2 (40 mBq∙L</w:t>
      </w:r>
      <w:r w:rsidRPr="00752671">
        <w:rPr>
          <w:snapToGrid w:val="0"/>
          <w:color w:val="000000"/>
          <w:position w:val="5"/>
          <w:sz w:val="15"/>
          <w:szCs w:val="0"/>
          <w:u w:color="000000"/>
        </w:rPr>
        <w:t>-1</w:t>
      </w:r>
      <w:r>
        <w:t xml:space="preserve">), located in the headwaters of RP1. Samples are available from one collection only and these bores were sampled at the end of the wet season 2004/05 (21 May 2005). According to ERA (2012), bores RP1N1 and RP1N2 do not exhibit major variability with time of year. </w:t>
      </w:r>
    </w:p>
    <w:p w:rsidR="00C220C4" w:rsidRDefault="00C220C4" w:rsidP="00C220C4">
      <w:r>
        <w:t xml:space="preserve">Activity concentrations of </w:t>
      </w:r>
      <w:r w:rsidRPr="0043502E">
        <w:rPr>
          <w:snapToGrid w:val="0"/>
          <w:color w:val="000000"/>
          <w:position w:val="5"/>
          <w:sz w:val="15"/>
          <w:szCs w:val="0"/>
          <w:u w:color="000000"/>
        </w:rPr>
        <w:t>238</w:t>
      </w:r>
      <w:r>
        <w:t xml:space="preserve">U in bore RN23551 are low and in agreement with U concentrations measured via ICPMS. There appears to be an increase of </w:t>
      </w:r>
      <w:r w:rsidRPr="00A83C28">
        <w:rPr>
          <w:snapToGrid w:val="0"/>
          <w:color w:val="000000"/>
          <w:position w:val="5"/>
          <w:sz w:val="15"/>
          <w:szCs w:val="0"/>
          <w:u w:color="000000"/>
        </w:rPr>
        <w:t>238</w:t>
      </w:r>
      <w:r>
        <w:t xml:space="preserve">U between 2005 and 2011, associated with a decrease in </w:t>
      </w:r>
      <w:r w:rsidRPr="0043502E">
        <w:rPr>
          <w:snapToGrid w:val="0"/>
          <w:color w:val="000000"/>
          <w:position w:val="5"/>
          <w:sz w:val="15"/>
          <w:szCs w:val="0"/>
          <w:u w:color="000000"/>
        </w:rPr>
        <w:t>234</w:t>
      </w:r>
      <w:r>
        <w:t>U/</w:t>
      </w:r>
      <w:r w:rsidRPr="0043502E">
        <w:rPr>
          <w:snapToGrid w:val="0"/>
          <w:color w:val="000000"/>
          <w:position w:val="5"/>
          <w:sz w:val="15"/>
          <w:szCs w:val="0"/>
          <w:u w:color="000000"/>
        </w:rPr>
        <w:t>238</w:t>
      </w:r>
      <w:r>
        <w:t xml:space="preserve">U activity ratios. The range of </w:t>
      </w:r>
      <w:r w:rsidRPr="0043502E">
        <w:rPr>
          <w:snapToGrid w:val="0"/>
          <w:color w:val="000000"/>
          <w:position w:val="5"/>
          <w:sz w:val="15"/>
          <w:szCs w:val="0"/>
          <w:u w:color="000000"/>
        </w:rPr>
        <w:t>238</w:t>
      </w:r>
      <w:r>
        <w:t>U activity concentration in this bore however is small and thus the intercept determined from an inverse concentration plot (</w:t>
      </w:r>
      <w:r w:rsidRPr="0043502E">
        <w:rPr>
          <w:snapToGrid w:val="0"/>
          <w:color w:val="000000"/>
          <w:position w:val="5"/>
          <w:sz w:val="15"/>
          <w:szCs w:val="0"/>
          <w:u w:color="000000"/>
        </w:rPr>
        <w:t>234</w:t>
      </w:r>
      <w:r>
        <w:t>U/</w:t>
      </w:r>
      <w:r w:rsidRPr="0043502E">
        <w:rPr>
          <w:snapToGrid w:val="0"/>
          <w:color w:val="000000"/>
          <w:position w:val="5"/>
          <w:sz w:val="15"/>
          <w:szCs w:val="0"/>
          <w:u w:color="000000"/>
        </w:rPr>
        <w:t>238</w:t>
      </w:r>
      <w:r>
        <w:t xml:space="preserve">U activity plotted versus the inverse </w:t>
      </w:r>
      <w:r w:rsidRPr="00174937">
        <w:rPr>
          <w:snapToGrid w:val="0"/>
          <w:color w:val="000000"/>
          <w:position w:val="5"/>
          <w:sz w:val="15"/>
          <w:szCs w:val="0"/>
          <w:u w:color="000000"/>
        </w:rPr>
        <w:t>238</w:t>
      </w:r>
      <w:r>
        <w:t xml:space="preserve">U activity concentration) is associated with a very large error (0.65±1.11). The p-value for the slope is 0.07, whereas the intercept has a p-value of 0.13. </w:t>
      </w:r>
    </w:p>
    <w:p w:rsidR="00C220C4" w:rsidRDefault="00C220C4" w:rsidP="00C220C4">
      <w:r>
        <w:t xml:space="preserve">Activity concentrations of </w:t>
      </w:r>
      <w:r w:rsidRPr="0043502E">
        <w:rPr>
          <w:snapToGrid w:val="0"/>
          <w:color w:val="000000"/>
          <w:position w:val="5"/>
          <w:sz w:val="15"/>
          <w:szCs w:val="0"/>
          <w:u w:color="000000"/>
        </w:rPr>
        <w:t>238</w:t>
      </w:r>
      <w:r>
        <w:t xml:space="preserve">U in shallow bore B11 are also low and in agreement with U concentrations measured via ICPMS. They are slightly higher than concentrations measured by ERA during and at the end of the wet season (ERA 2012). Similar to RN23551, the intercept determined from an inverse concentration plot is associated with a large error (1.39±0.68) and the correlation between the </w:t>
      </w:r>
      <w:r w:rsidRPr="0043502E">
        <w:rPr>
          <w:snapToGrid w:val="0"/>
          <w:color w:val="000000"/>
          <w:position w:val="5"/>
          <w:sz w:val="15"/>
          <w:szCs w:val="0"/>
          <w:u w:color="000000"/>
        </w:rPr>
        <w:t>234</w:t>
      </w:r>
      <w:r>
        <w:t>U/</w:t>
      </w:r>
      <w:r w:rsidRPr="0043502E">
        <w:rPr>
          <w:snapToGrid w:val="0"/>
          <w:color w:val="000000"/>
          <w:position w:val="5"/>
          <w:sz w:val="15"/>
          <w:szCs w:val="0"/>
          <w:u w:color="000000"/>
        </w:rPr>
        <w:t>238</w:t>
      </w:r>
      <w:r>
        <w:t>U activity ratios and inverse of the uranium concentration is not statistically significant (p = 0.45).</w:t>
      </w:r>
    </w:p>
    <w:p w:rsidR="00C220C4" w:rsidRDefault="00C220C4" w:rsidP="00C220C4">
      <w:r>
        <w:t xml:space="preserve">The variability of </w:t>
      </w:r>
      <w:r w:rsidRPr="00E60FF9">
        <w:rPr>
          <w:snapToGrid w:val="0"/>
          <w:color w:val="000000"/>
          <w:position w:val="5"/>
          <w:sz w:val="15"/>
          <w:szCs w:val="0"/>
          <w:u w:color="000000"/>
        </w:rPr>
        <w:t>226</w:t>
      </w:r>
      <w:r>
        <w:t xml:space="preserve">Ra activity concentration in bore RN23551 is larger than in bore B11, and similar to the variability observed in Mg, Fe, Ba, Sr and major cations. High Mn and Fe coincide with lower </w:t>
      </w:r>
      <w:r w:rsidRPr="00A83C28">
        <w:rPr>
          <w:snapToGrid w:val="0"/>
          <w:color w:val="000000"/>
          <w:position w:val="5"/>
          <w:sz w:val="15"/>
          <w:szCs w:val="0"/>
          <w:u w:color="000000"/>
        </w:rPr>
        <w:t>238</w:t>
      </w:r>
      <w:r>
        <w:t>U in bore B11.</w:t>
      </w:r>
    </w:p>
    <w:p w:rsidR="00C220C4" w:rsidRDefault="00C220C4" w:rsidP="00C220C4"/>
    <w:p w:rsidR="00C220C4" w:rsidRDefault="00C220C4" w:rsidP="00C220C4">
      <w:pPr>
        <w:pStyle w:val="Heading3"/>
      </w:pPr>
      <w:bookmarkStart w:id="121" w:name="_Toc398721702"/>
      <w:bookmarkStart w:id="122" w:name="_Toc411850532"/>
      <w:bookmarkStart w:id="123" w:name="_Toc413230061"/>
      <w:r>
        <w:t xml:space="preserve">3.2 </w:t>
      </w:r>
      <w:r w:rsidRPr="00E60FF9">
        <w:t>Bores in the TSF north area</w:t>
      </w:r>
      <w:bookmarkEnd w:id="121"/>
      <w:bookmarkEnd w:id="122"/>
      <w:bookmarkEnd w:id="123"/>
    </w:p>
    <w:p w:rsidR="00C220C4" w:rsidRDefault="00C220C4" w:rsidP="00C220C4">
      <w:pPr>
        <w:pStyle w:val="Heading4"/>
      </w:pPr>
      <w:bookmarkStart w:id="124" w:name="_Toc398721703"/>
      <w:bookmarkStart w:id="125" w:name="_Toc411850533"/>
      <w:r>
        <w:t>3.2.1 Major constituents</w:t>
      </w:r>
      <w:bookmarkEnd w:id="124"/>
      <w:bookmarkEnd w:id="125"/>
    </w:p>
    <w:p w:rsidR="00C220C4" w:rsidRDefault="00C220C4" w:rsidP="00C220C4">
      <w:r>
        <w:t>Figure 18 shows the results of measurements of major constituents (cations Ca, Na, Mg and K; anions: SO</w:t>
      </w:r>
      <w:r w:rsidRPr="000E31E9">
        <w:rPr>
          <w:snapToGrid w:val="0"/>
          <w:color w:val="000000"/>
          <w:position w:val="-5"/>
          <w:sz w:val="15"/>
          <w:szCs w:val="0"/>
          <w:u w:color="000000"/>
        </w:rPr>
        <w:t>4</w:t>
      </w:r>
      <w:r>
        <w:t xml:space="preserve">) in ground waters collected from bores north of the TSF. </w:t>
      </w:r>
    </w:p>
    <w:p w:rsidR="00C220C4" w:rsidRDefault="00C220C4" w:rsidP="00C220C4">
      <w:r>
        <w:t xml:space="preserve">Many of the bores that were investigated in this area </w:t>
      </w:r>
      <w:r w:rsidR="00D24DD5">
        <w:t>were</w:t>
      </w:r>
      <w:r>
        <w:t xml:space="preserve"> decommissioned in the early 2000s. Bores OB17A, OB12A, OB16, OB13A, OB11A and OB15 are buried either under the TSF lift or the construction of RP6. OB10A is buried under the ore stockpile, the status of OB9A is unknown, but it is likely that this bore is buried as well. Bore OB44 was drilled in July 1988 as a substitute for OB26, but sampling of bore OB44 ceased in 2002. OB23 and OB24 are the only observation bores still active in this area.</w:t>
      </w:r>
    </w:p>
    <w:p w:rsidR="00C220C4" w:rsidRDefault="00C220C4" w:rsidP="00C220C4">
      <w:r>
        <w:t>Deep bores OB10A, OB44, OB15 and OB16 were dominated by Mg with concentrations ranging from 120 to 580 mg L</w:t>
      </w:r>
      <w:r w:rsidRPr="00B266F8">
        <w:rPr>
          <w:snapToGrid w:val="0"/>
          <w:color w:val="000000"/>
          <w:position w:val="5"/>
          <w:sz w:val="15"/>
          <w:szCs w:val="0"/>
          <w:u w:color="000000"/>
        </w:rPr>
        <w:t>-1</w:t>
      </w:r>
      <w:r>
        <w:t xml:space="preserve">. Bores OB44, OB15 and OB16 were located within the old Conjimba Creek line. </w:t>
      </w:r>
      <w:r w:rsidR="00D24DD5">
        <w:t>SulfateSulfate</w:t>
      </w:r>
      <w:r>
        <w:t xml:space="preserve"> concentrations measured in these bores were high, in agreement with Martin &amp; Akber (1999) who have shown that </w:t>
      </w:r>
      <w:r w:rsidR="00D24DD5">
        <w:t>sulfate</w:t>
      </w:r>
      <w:r>
        <w:t xml:space="preserve"> concentration in OB44 has been increasing from January 1989, and OB9A and OB10A have shown increases in </w:t>
      </w:r>
      <w:r w:rsidR="00D24DD5">
        <w:t>sulfate</w:t>
      </w:r>
      <w:r>
        <w:t xml:space="preserve"> concentrations since 1986. It is thus likely that these bores were affected by seepage from the TSF before they were buried under new mine infrastructure, as these bores are located along a major fault line north of the TSF wall.</w:t>
      </w:r>
    </w:p>
    <w:p w:rsidR="00C220C4" w:rsidRDefault="00C220C4" w:rsidP="00C220C4">
      <w:r>
        <w:t>Observation bore OB23 is the only bore for which time series extends to 2012. OB23 is a deep bore approximately 400 m north of the TSF wall, dominated by Ca and Na, typical for bores in the f</w:t>
      </w:r>
      <w:r w:rsidRPr="00F602E0">
        <w:t>ractured Nanambu complex</w:t>
      </w:r>
      <w:r>
        <w:t xml:space="preserve"> (Klessa 2001). </w:t>
      </w:r>
    </w:p>
    <w:p w:rsidR="00C220C4" w:rsidRPr="006410BD" w:rsidRDefault="00C220C4" w:rsidP="00C220C4">
      <w:r>
        <w:t xml:space="preserve">The variability of major cation and </w:t>
      </w:r>
      <w:r w:rsidR="00D24DD5">
        <w:t>sulfate</w:t>
      </w:r>
      <w:r>
        <w:t xml:space="preserve"> concentration in bore waters from OB23 is relatively small and there is no evidence of an increase in the major constituents in this bore over time, apart from an increase in Ca between 1999 and 2004. </w:t>
      </w:r>
    </w:p>
    <w:p w:rsidR="00C220C4" w:rsidRDefault="00C220C4" w:rsidP="00C220C4"/>
    <w:p w:rsidR="00C220C4" w:rsidRDefault="00C220C4" w:rsidP="00C220C4">
      <w:r>
        <w:rPr>
          <w:noProof/>
          <w:lang w:eastAsia="en-AU"/>
        </w:rPr>
        <w:drawing>
          <wp:inline distT="0" distB="0" distL="0" distR="0">
            <wp:extent cx="5271770" cy="5812155"/>
            <wp:effectExtent l="1905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email"/>
                    <a:srcRect/>
                    <a:stretch>
                      <a:fillRect/>
                    </a:stretch>
                  </pic:blipFill>
                  <pic:spPr bwMode="auto">
                    <a:xfrm>
                      <a:off x="0" y="0"/>
                      <a:ext cx="5271770" cy="581215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26" w:name="_Toc398721502"/>
      <w:r w:rsidRPr="000A3842">
        <w:rPr>
          <w:b/>
        </w:rPr>
        <w:t>Figure 18</w:t>
      </w:r>
      <w:r>
        <w:t xml:space="preserve"> Major constituent concentrations plotted against</w:t>
      </w:r>
      <w:r w:rsidRPr="006705CA">
        <w:t xml:space="preserve"> </w:t>
      </w:r>
      <w:r>
        <w:t>sampling date in bores OB23, OB24, OB44, OB17A, OB16, OB13A, OB10A and OB15.</w:t>
      </w:r>
      <w:bookmarkEnd w:id="126"/>
    </w:p>
    <w:p w:rsidR="00C220C4" w:rsidRDefault="00C220C4" w:rsidP="00C220C4">
      <w:pPr>
        <w:pStyle w:val="Heading4"/>
      </w:pPr>
    </w:p>
    <w:p w:rsidR="00C220C4" w:rsidRDefault="00C220C4" w:rsidP="00C220C4">
      <w:pPr>
        <w:pStyle w:val="Heading4"/>
      </w:pPr>
      <w:bookmarkStart w:id="127" w:name="_Toc398721704"/>
      <w:bookmarkStart w:id="128" w:name="_Toc411850534"/>
      <w:r>
        <w:t>3.2.2 Metals</w:t>
      </w:r>
      <w:bookmarkEnd w:id="127"/>
      <w:bookmarkEnd w:id="128"/>
    </w:p>
    <w:p w:rsidR="00C220C4" w:rsidRDefault="00C220C4" w:rsidP="00C220C4">
      <w:r>
        <w:t xml:space="preserve">Figure 19 shows the results of metal (Fe, Mn, Ba, Sr, U) concentration measurements via ICPMS from 1999 onwards. </w:t>
      </w:r>
    </w:p>
    <w:p w:rsidR="00C220C4" w:rsidRDefault="00C220C4" w:rsidP="00C220C4">
      <w:r>
        <w:t xml:space="preserve">Observation bores OB24, OB44, OB17A and OB10A were analysed between 1999 and 2002, when they were buried under a TSF lift or various stockpiles. Concentrations of Fe were highest in OB10A, Sr and U </w:t>
      </w:r>
      <w:proofErr w:type="gramStart"/>
      <w:r>
        <w:t>were</w:t>
      </w:r>
      <w:proofErr w:type="gramEnd"/>
      <w:r>
        <w:t xml:space="preserve"> highest in OB44. </w:t>
      </w:r>
    </w:p>
    <w:p w:rsidR="00C220C4" w:rsidRDefault="00C220C4" w:rsidP="00C220C4">
      <w:r>
        <w:t>Bore OB24 showed an increase in Fe, Ba and Mn between 1999 and 2001. Manganese concentrations measured in this bore in 2010 (ERA, 2012) are similar to concentrations measured in 2001</w:t>
      </w:r>
      <w:r w:rsidRPr="004A770A">
        <w:t>. The reason for the increase in Fe and Mn between 1999 and 2001 is unknown and does not coincide with a similar increase in U.</w:t>
      </w:r>
    </w:p>
    <w:p w:rsidR="00C220C4" w:rsidRPr="0031661D" w:rsidRDefault="00C220C4" w:rsidP="00C220C4">
      <w:r>
        <w:t>Metal concentrations in OB23 show some variability, in particular for Mn and Fe, with minima for those two metals observed in September 2000 and September 2001, respectively. Concentrations of Ba and Sr are relatively constant. Uranium concentration is low, with maxima around 3.5 µg L</w:t>
      </w:r>
      <w:r w:rsidRPr="0012717C">
        <w:rPr>
          <w:snapToGrid w:val="0"/>
          <w:color w:val="000000"/>
          <w:position w:val="5"/>
          <w:sz w:val="15"/>
          <w:szCs w:val="0"/>
          <w:u w:color="000000"/>
        </w:rPr>
        <w:t>-1</w:t>
      </w:r>
      <w:r>
        <w:t xml:space="preserve"> measured in 2001 (and 2011). There is a good agreement between uranium concentrations measured via ICPMS and </w:t>
      </w:r>
      <w:r w:rsidRPr="00A13CAF">
        <w:rPr>
          <w:snapToGrid w:val="0"/>
          <w:color w:val="000000"/>
          <w:position w:val="5"/>
          <w:sz w:val="15"/>
          <w:szCs w:val="0"/>
          <w:u w:color="000000"/>
        </w:rPr>
        <w:t>238</w:t>
      </w:r>
      <w:r>
        <w:t>U activity concentrations measured using alpha spectrometry.</w:t>
      </w:r>
    </w:p>
    <w:p w:rsidR="00C220C4" w:rsidRDefault="00C220C4" w:rsidP="00C220C4">
      <w:r>
        <w:rPr>
          <w:noProof/>
          <w:lang w:eastAsia="en-AU"/>
        </w:rPr>
        <w:drawing>
          <wp:inline distT="0" distB="0" distL="0" distR="0">
            <wp:extent cx="5271770" cy="5939790"/>
            <wp:effectExtent l="1905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email"/>
                    <a:srcRect/>
                    <a:stretch>
                      <a:fillRect/>
                    </a:stretch>
                  </pic:blipFill>
                  <pic:spPr bwMode="auto">
                    <a:xfrm>
                      <a:off x="0" y="0"/>
                      <a:ext cx="5271770" cy="593979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29" w:name="_Toc398721503"/>
      <w:r w:rsidRPr="000A3842">
        <w:rPr>
          <w:b/>
        </w:rPr>
        <w:t>Figure 19</w:t>
      </w:r>
      <w:r>
        <w:t xml:space="preserve"> Metal concentrations plotted against</w:t>
      </w:r>
      <w:r w:rsidRPr="006705CA">
        <w:t xml:space="preserve"> </w:t>
      </w:r>
      <w:r>
        <w:t>sampling date in bores OB23, OB24, OB44, OB17A and OB10A. The blue dotted lines indicate the Australian drinking water quality guidelines (NHMRC 2011).</w:t>
      </w:r>
      <w:bookmarkEnd w:id="129"/>
    </w:p>
    <w:p w:rsidR="00C220C4" w:rsidRPr="00F32AC9" w:rsidRDefault="00C220C4" w:rsidP="00C220C4"/>
    <w:p w:rsidR="00C220C4" w:rsidRDefault="00C220C4" w:rsidP="00C220C4">
      <w:pPr>
        <w:pStyle w:val="Heading4"/>
      </w:pPr>
      <w:bookmarkStart w:id="130" w:name="_Toc398721705"/>
      <w:bookmarkStart w:id="131" w:name="_Toc411850535"/>
      <w:r>
        <w:t>3.2.3 Radionuclides</w:t>
      </w:r>
      <w:bookmarkEnd w:id="130"/>
      <w:bookmarkEnd w:id="131"/>
    </w:p>
    <w:p w:rsidR="00C220C4" w:rsidRDefault="00C220C4" w:rsidP="00C220C4">
      <w:r>
        <w:t xml:space="preserve">Figure 20 shows the results of radionuclide activity concentration measurements, and the </w:t>
      </w:r>
      <w:r w:rsidRPr="005D279A">
        <w:rPr>
          <w:snapToGrid w:val="0"/>
          <w:color w:val="000000"/>
          <w:position w:val="5"/>
          <w:sz w:val="15"/>
          <w:szCs w:val="0"/>
          <w:u w:color="000000"/>
        </w:rPr>
        <w:t>234</w:t>
      </w:r>
      <w:r>
        <w:t>U/</w:t>
      </w:r>
      <w:r w:rsidRPr="005D279A">
        <w:rPr>
          <w:snapToGrid w:val="0"/>
          <w:color w:val="000000"/>
          <w:position w:val="5"/>
          <w:sz w:val="15"/>
          <w:szCs w:val="0"/>
          <w:u w:color="000000"/>
        </w:rPr>
        <w:t>238</w:t>
      </w:r>
      <w:r>
        <w:t>U activity ratios measured in bores OB23, OB24, OB44, OB17A, OB12A, OB16, OB13A, OB11A, OB9A, OB10A, OB15 and OB26, from the start of sampling in 1988 onwards.</w:t>
      </w:r>
    </w:p>
    <w:p w:rsidR="00C220C4" w:rsidRDefault="00C220C4" w:rsidP="00C220C4">
      <w:r>
        <w:rPr>
          <w:noProof/>
          <w:lang w:eastAsia="en-AU"/>
        </w:rPr>
        <w:drawing>
          <wp:inline distT="0" distB="0" distL="0" distR="0">
            <wp:extent cx="5271770" cy="3999230"/>
            <wp:effectExtent l="1905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email"/>
                    <a:srcRect/>
                    <a:stretch>
                      <a:fillRect/>
                    </a:stretch>
                  </pic:blipFill>
                  <pic:spPr bwMode="auto">
                    <a:xfrm>
                      <a:off x="0" y="0"/>
                      <a:ext cx="5271770" cy="399923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32" w:name="_Toc398721504"/>
      <w:r w:rsidRPr="000A3842">
        <w:rPr>
          <w:b/>
        </w:rPr>
        <w:t>Figure 20</w:t>
      </w:r>
      <w:r>
        <w:t xml:space="preserve"> </w:t>
      </w:r>
      <w:r w:rsidRPr="006705CA">
        <w:rPr>
          <w:snapToGrid w:val="0"/>
          <w:color w:val="000000"/>
          <w:position w:val="5"/>
          <w:sz w:val="15"/>
          <w:szCs w:val="0"/>
          <w:u w:color="000000"/>
        </w:rPr>
        <w:t>238</w:t>
      </w:r>
      <w:r>
        <w:t xml:space="preserve">U and </w:t>
      </w:r>
      <w:r w:rsidRPr="006705CA">
        <w:rPr>
          <w:snapToGrid w:val="0"/>
          <w:color w:val="000000"/>
          <w:position w:val="5"/>
          <w:sz w:val="15"/>
          <w:szCs w:val="0"/>
          <w:u w:color="000000"/>
        </w:rPr>
        <w:t>226</w:t>
      </w:r>
      <w:r>
        <w:t>Ra activity concentrations plotted against</w:t>
      </w:r>
      <w:r w:rsidRPr="006705CA">
        <w:t xml:space="preserve"> </w:t>
      </w:r>
      <w:r>
        <w:t xml:space="preserve">sampling date, and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 xml:space="preserve">U activity ratio plotted against sampling date and inverse </w:t>
      </w:r>
      <w:r w:rsidRPr="006705CA">
        <w:rPr>
          <w:snapToGrid w:val="0"/>
          <w:color w:val="000000"/>
          <w:position w:val="5"/>
          <w:sz w:val="15"/>
          <w:szCs w:val="0"/>
          <w:u w:color="000000"/>
        </w:rPr>
        <w:t>238</w:t>
      </w:r>
      <w:r>
        <w:t>U activity concentration, respectively, in bores OB23, OB24, OB44, OB17A, OB12A, OB16, OB13A, OB11A, OB9A, OB10A, OB15 and OB26. Linear fits to the inverse concentration data are shown in Figure 20a and 20b.</w:t>
      </w:r>
      <w:bookmarkEnd w:id="132"/>
    </w:p>
    <w:p w:rsidR="00C220C4" w:rsidRDefault="00C220C4" w:rsidP="00C220C4">
      <w:r>
        <w:t xml:space="preserve">Activity concentrations of </w:t>
      </w:r>
      <w:r w:rsidRPr="00C4681F">
        <w:rPr>
          <w:snapToGrid w:val="0"/>
          <w:color w:val="000000"/>
          <w:position w:val="5"/>
          <w:sz w:val="15"/>
          <w:szCs w:val="0"/>
          <w:u w:color="000000"/>
        </w:rPr>
        <w:t>238</w:t>
      </w:r>
      <w:r>
        <w:t>U in the 1990s were highest in bores OB9A, OB10A and OB13A. B</w:t>
      </w:r>
      <w:r w:rsidRPr="005A683B">
        <w:t>ores</w:t>
      </w:r>
      <w:r>
        <w:t xml:space="preserve"> OB9A and OB10A</w:t>
      </w:r>
      <w:r w:rsidRPr="005A683B">
        <w:t xml:space="preserve"> </w:t>
      </w:r>
      <w:r>
        <w:t>were located</w:t>
      </w:r>
      <w:r w:rsidRPr="005A683B">
        <w:t xml:space="preserve"> between the </w:t>
      </w:r>
      <w:r>
        <w:t>TSF</w:t>
      </w:r>
      <w:r w:rsidRPr="005A683B">
        <w:t xml:space="preserve"> and </w:t>
      </w:r>
      <w:r>
        <w:t>pit 1. Martin &amp; Akber (1999) hypothesised that c</w:t>
      </w:r>
      <w:r w:rsidRPr="005A683B">
        <w:t xml:space="preserve">hanges in </w:t>
      </w:r>
      <w:r>
        <w:t xml:space="preserve">the </w:t>
      </w:r>
      <w:r w:rsidRPr="005A683B">
        <w:t>hydrological conditions</w:t>
      </w:r>
      <w:r>
        <w:t>,</w:t>
      </w:r>
      <w:r w:rsidRPr="005A683B">
        <w:t xml:space="preserve"> as the </w:t>
      </w:r>
      <w:r>
        <w:t>TSF was</w:t>
      </w:r>
      <w:r w:rsidRPr="005A683B">
        <w:t xml:space="preserve"> raised and </w:t>
      </w:r>
      <w:r>
        <w:t>pit 1</w:t>
      </w:r>
      <w:r w:rsidRPr="005A683B">
        <w:t xml:space="preserve"> deepened</w:t>
      </w:r>
      <w:r>
        <w:t>,</w:t>
      </w:r>
      <w:r w:rsidRPr="005A683B">
        <w:t xml:space="preserve"> influence</w:t>
      </w:r>
      <w:r>
        <w:t>d</w:t>
      </w:r>
      <w:r w:rsidRPr="005A683B">
        <w:t xml:space="preserve"> </w:t>
      </w:r>
      <w:r>
        <w:t xml:space="preserve">the </w:t>
      </w:r>
      <w:r w:rsidR="00D24DD5">
        <w:t>sulfate</w:t>
      </w:r>
      <w:r>
        <w:t xml:space="preserve"> concentrations in these two bores, and that the two bores were affected by uranium seeping from the TSF</w:t>
      </w:r>
      <w:r w:rsidRPr="005A683B">
        <w:t>.</w:t>
      </w:r>
      <w:r>
        <w:t xml:space="preserve"> The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 in bore OB10A is low at 1.12, but is somewhat higher in OB9A (up to 1.53). Figure 20a however shows that there is no correlation between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ratios and the inverse uranium concentration in these two bores (OB9A: p = 0.54; OB10A: p = 0.32). Consequently, more than 1 contaminating end-member may have been responsible for elevated uranium concentrations measured in these two bores but seepage from the TSF, in particular in bore OB9A, cannot be excluded. Investigations showed that both, OB9A and OB10A, were influenced by earthworks between 1997 and 1999, leading to high </w:t>
      </w:r>
      <w:r w:rsidRPr="002D18C9">
        <w:rPr>
          <w:snapToGrid w:val="0"/>
          <w:color w:val="000000"/>
          <w:position w:val="5"/>
          <w:sz w:val="15"/>
          <w:szCs w:val="0"/>
          <w:u w:color="000000"/>
        </w:rPr>
        <w:t>238</w:t>
      </w:r>
      <w:r>
        <w:t xml:space="preserve">U activity concentrations measured in 1998 (Iles et al 2002). Monitoring was </w:t>
      </w:r>
      <w:proofErr w:type="gramStart"/>
      <w:r>
        <w:t>discontinued,</w:t>
      </w:r>
      <w:proofErr w:type="gramEnd"/>
      <w:r>
        <w:t xml:space="preserve"> bores OB9A and OB10A are now buried under the stockpile. </w:t>
      </w:r>
    </w:p>
    <w:p w:rsidR="00C220C4" w:rsidRDefault="00C220C4" w:rsidP="00C220C4">
      <w:r>
        <w:t xml:space="preserve">Activity concentration of </w:t>
      </w:r>
      <w:r w:rsidRPr="00C4681F">
        <w:rPr>
          <w:snapToGrid w:val="0"/>
          <w:color w:val="000000"/>
          <w:position w:val="5"/>
          <w:sz w:val="15"/>
          <w:szCs w:val="0"/>
          <w:u w:color="000000"/>
        </w:rPr>
        <w:t>238</w:t>
      </w:r>
      <w:r>
        <w:t xml:space="preserve">U in bore OB13A has increased substantially between the late 1980s and late 1990s, in agreement with ERA monitoring data. Iles et al (2002) report an increase of </w:t>
      </w:r>
      <w:r w:rsidRPr="00432B57">
        <w:rPr>
          <w:snapToGrid w:val="0"/>
          <w:color w:val="000000"/>
          <w:position w:val="5"/>
          <w:sz w:val="15"/>
          <w:szCs w:val="0"/>
          <w:u w:color="000000"/>
        </w:rPr>
        <w:t>238</w:t>
      </w:r>
      <w:r>
        <w:t>U activity concentrations of 3 orders of magnitude between the early 1980s and late 1990s. This bore was likely</w:t>
      </w:r>
      <w:r w:rsidR="00A553BE">
        <w:t xml:space="preserve"> </w:t>
      </w:r>
      <w:r>
        <w:t xml:space="preserve">influenced by </w:t>
      </w:r>
      <w:r>
        <w:rPr>
          <w:spacing w:val="-2"/>
        </w:rPr>
        <w:t>uranium seeping from the TSF</w:t>
      </w:r>
      <w:r>
        <w:t xml:space="preserve"> or leaching of uranium from construction materials used in the raising of the </w:t>
      </w:r>
      <w:r>
        <w:rPr>
          <w:spacing w:val="-2"/>
        </w:rPr>
        <w:t xml:space="preserve">TSF wall (Martin &amp; Akber 1996). The high </w:t>
      </w:r>
      <w:r w:rsidR="00D24DD5">
        <w:rPr>
          <w:spacing w:val="-2"/>
        </w:rPr>
        <w:t>sulfate</w:t>
      </w:r>
      <w:r>
        <w:rPr>
          <w:spacing w:val="-2"/>
        </w:rPr>
        <w:t xml:space="preserve"> concentrations measured in 1992 are indicative of seepage. </w:t>
      </w:r>
      <w:r>
        <w:t>Figure 21a (</w:t>
      </w:r>
      <w:r w:rsidRPr="00696B6D">
        <w:t>and Figure A-18 in the Appendix</w:t>
      </w:r>
      <w:r>
        <w:t xml:space="preserve">) shows that a significant correlation exists between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ratios and the inverse uranium concentration in this bore (p &lt;&lt; 0.005), with a contaminating end-member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 of (1.08 ± 0.02). </w:t>
      </w:r>
    </w:p>
    <w:p w:rsidR="00C220C4" w:rsidRDefault="00C220C4" w:rsidP="00C220C4">
      <w:r>
        <w:rPr>
          <w:noProof/>
          <w:lang w:eastAsia="en-AU"/>
        </w:rPr>
        <w:drawing>
          <wp:inline distT="0" distB="0" distL="0" distR="0">
            <wp:extent cx="5367020" cy="2273935"/>
            <wp:effectExtent l="1905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email"/>
                    <a:srcRect l="9325"/>
                    <a:stretch>
                      <a:fillRect/>
                    </a:stretch>
                  </pic:blipFill>
                  <pic:spPr bwMode="auto">
                    <a:xfrm>
                      <a:off x="0" y="0"/>
                      <a:ext cx="5367020" cy="227393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33" w:name="_Toc398721505"/>
      <w:r w:rsidRPr="000A3842">
        <w:rPr>
          <w:b/>
        </w:rPr>
        <w:t>Figure 21 a,b</w:t>
      </w:r>
      <w:r>
        <w:t xml:space="preserve"> </w:t>
      </w:r>
      <w:r w:rsidRPr="00010765">
        <w:t>Inverse concentration plots for bores OB44, OB17A, OB16, OB13A, OB11A, OB9A, OB10A, OB15</w:t>
      </w:r>
      <w:r>
        <w:t>,</w:t>
      </w:r>
      <w:r w:rsidRPr="00010765">
        <w:t xml:space="preserve"> OB26</w:t>
      </w:r>
      <w:r>
        <w:t>, OB23 and OB24</w:t>
      </w:r>
      <w:r w:rsidRPr="00010765">
        <w:t>.</w:t>
      </w:r>
      <w:r>
        <w:t xml:space="preserve"> Linear fits to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U activity ratio in the inverse concentration plots and associated 95% confidence intervals are shown as well.</w:t>
      </w:r>
      <w:bookmarkEnd w:id="133"/>
    </w:p>
    <w:p w:rsidR="00C220C4" w:rsidRDefault="00C220C4" w:rsidP="00C220C4"/>
    <w:p w:rsidR="00C220C4" w:rsidRDefault="00C220C4" w:rsidP="00C220C4">
      <w:r>
        <w:t xml:space="preserve">Samples from bores OB24, OB44 and OB17A have been analysed for radionuclides up until 2002. OB24 and OB44 are approximately 500 m north of the TSF and separated by less than 400 m. Uranium-238 activity concentration has increased by a factor of two in OB44 between 1989 and 2002. During the same time period the U concentration has decreased in OB24. The inverse concentration plots show that neither OB24 (p = 0.23) nor OB44 (p = 0.32) exhibit a significant correlation between the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ratios and the inverse uranium concentration, indicating that there are multiple sources of uranium responsible for the variability observed in these two bores. Activity ratios of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measured in OB24 and OB44 are generally &gt;1.3 (see Figure 21a) which makes seepage from the TSF as a source of uranium measured in these bores unlikely. In contrast OB17A shows a significant correlation between the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ratios and the inverse uranium concentration (p = 0.01) and the contaminating end member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 is (1.14±0.19). </w:t>
      </w:r>
    </w:p>
    <w:p w:rsidR="00C220C4" w:rsidRDefault="00C220C4" w:rsidP="00C220C4">
      <w:r>
        <w:t xml:space="preserve">The only still active bore in this area investigated by </w:t>
      </w:r>
      <w:r w:rsidRPr="008B6579">
        <w:rPr>
          <w:b/>
          <w:i/>
          <w:sz w:val="28"/>
          <w:szCs w:val="28"/>
        </w:rPr>
        <w:t>eriss</w:t>
      </w:r>
      <w:r>
        <w:t xml:space="preserve"> with existing time series up until September 2012 is deep bore OB23. Analysis of samples from this bore via alpha spectrometry has started in 1989. The bore shows variable </w:t>
      </w:r>
      <w:r w:rsidRPr="00DC3725">
        <w:rPr>
          <w:snapToGrid w:val="0"/>
          <w:color w:val="000000"/>
          <w:position w:val="5"/>
          <w:sz w:val="15"/>
          <w:szCs w:val="0"/>
          <w:u w:color="000000"/>
        </w:rPr>
        <w:t>238</w:t>
      </w:r>
      <w:r>
        <w:t xml:space="preserve">U activity concentrations between 1989 and 2012, with generally low activity concentrations between 2002 and 2010, an increase in 2011 followed by a decrease in 2012 (see Figures 19 and 20). The variability in uranium concentration is accompanied by a variability of the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 The inverse U concentration plot shows a statistically significant decrease of the </w:t>
      </w:r>
      <w:r w:rsidRPr="00CE5BF0">
        <w:rPr>
          <w:snapToGrid w:val="0"/>
          <w:color w:val="000000"/>
          <w:position w:val="5"/>
          <w:sz w:val="15"/>
          <w:szCs w:val="0"/>
          <w:u w:color="000000"/>
        </w:rPr>
        <w:t>234</w:t>
      </w:r>
      <w:r>
        <w:t>U/</w:t>
      </w:r>
      <w:r w:rsidRPr="00CE5BF0">
        <w:rPr>
          <w:snapToGrid w:val="0"/>
          <w:color w:val="000000"/>
          <w:position w:val="5"/>
          <w:sz w:val="15"/>
          <w:szCs w:val="0"/>
          <w:u w:color="000000"/>
        </w:rPr>
        <w:t>238</w:t>
      </w:r>
      <w:r>
        <w:t xml:space="preserve">U activity ratio (p&lt;&lt;0.05) with an end member ratio of (1.08±0.10) (see Figure 21b). </w:t>
      </w:r>
    </w:p>
    <w:p w:rsidR="00C220C4" w:rsidRDefault="00C220C4" w:rsidP="00C220C4">
      <w:r>
        <w:t xml:space="preserve">Radium-226 activity concentrations were highest in OB26 in the late 1980s and the early 1990s. </w:t>
      </w:r>
      <w:proofErr w:type="gramStart"/>
      <w:r>
        <w:t xml:space="preserve">Activity concentration of </w:t>
      </w:r>
      <w:r w:rsidRPr="007A6B0B">
        <w:rPr>
          <w:snapToGrid w:val="0"/>
          <w:color w:val="000000"/>
          <w:position w:val="5"/>
          <w:sz w:val="15"/>
          <w:szCs w:val="0"/>
          <w:u w:color="000000"/>
        </w:rPr>
        <w:t>226</w:t>
      </w:r>
      <w:r>
        <w:t xml:space="preserve">Ra in OB11A increased by a factor of approximately 3 between 1988 and 1993, associated with a large increase in </w:t>
      </w:r>
      <w:r w:rsidR="00D24DD5">
        <w:t>sulfate</w:t>
      </w:r>
      <w:r>
        <w:t xml:space="preserve"> concentrations.</w:t>
      </w:r>
      <w:proofErr w:type="gramEnd"/>
      <w:r>
        <w:t xml:space="preserve"> This increase has previously been associated with influence of seepage from the TSF leading to desorption reactions in the aquifer and an increase in </w:t>
      </w:r>
      <w:r w:rsidRPr="007A6B0B">
        <w:rPr>
          <w:snapToGrid w:val="0"/>
          <w:color w:val="000000"/>
          <w:position w:val="5"/>
          <w:sz w:val="15"/>
          <w:szCs w:val="0"/>
          <w:u w:color="000000"/>
        </w:rPr>
        <w:t>226</w:t>
      </w:r>
      <w:r>
        <w:t xml:space="preserve">Ra (Martin &amp; Akber 1996, 1999). </w:t>
      </w:r>
    </w:p>
    <w:p w:rsidR="00C220C4" w:rsidRDefault="00C220C4" w:rsidP="00C220C4">
      <w:r>
        <w:t xml:space="preserve">Although bore OB44 was drilled in July 1988 as a substitute for OB26 (Martin &amp; Akber 1996), </w:t>
      </w:r>
      <w:r w:rsidRPr="007A6B0B">
        <w:rPr>
          <w:snapToGrid w:val="0"/>
          <w:color w:val="000000"/>
          <w:position w:val="5"/>
          <w:sz w:val="15"/>
          <w:szCs w:val="0"/>
          <w:u w:color="000000"/>
        </w:rPr>
        <w:t>226</w:t>
      </w:r>
      <w:r>
        <w:t xml:space="preserve">Ra (and </w:t>
      </w:r>
      <w:r w:rsidRPr="007A6B0B">
        <w:rPr>
          <w:snapToGrid w:val="0"/>
          <w:color w:val="000000"/>
          <w:position w:val="5"/>
          <w:sz w:val="15"/>
          <w:szCs w:val="0"/>
          <w:u w:color="000000"/>
        </w:rPr>
        <w:t>238</w:t>
      </w:r>
      <w:r>
        <w:t xml:space="preserve">U) activity concentrations in OB44 were significantly lower than in OB26. However, the </w:t>
      </w:r>
      <w:r w:rsidRPr="007A6B0B">
        <w:rPr>
          <w:snapToGrid w:val="0"/>
          <w:color w:val="000000"/>
          <w:position w:val="5"/>
          <w:sz w:val="15"/>
          <w:szCs w:val="0"/>
          <w:u w:color="000000"/>
        </w:rPr>
        <w:t>226</w:t>
      </w:r>
      <w:r>
        <w:t>Ra activity concentration in OB44 has increased by 2002 and was above 100 mBq L</w:t>
      </w:r>
      <w:r w:rsidRPr="0043199D">
        <w:rPr>
          <w:snapToGrid w:val="0"/>
          <w:color w:val="000000"/>
          <w:position w:val="5"/>
          <w:sz w:val="15"/>
          <w:szCs w:val="0"/>
          <w:u w:color="000000"/>
        </w:rPr>
        <w:t>-1</w:t>
      </w:r>
      <w:r>
        <w:t xml:space="preserve">. Sulfate and Mg concentrations are high in OB44, indicating that </w:t>
      </w:r>
      <w:r w:rsidRPr="007A6B0B">
        <w:rPr>
          <w:snapToGrid w:val="0"/>
          <w:color w:val="000000"/>
          <w:position w:val="5"/>
          <w:sz w:val="15"/>
          <w:szCs w:val="0"/>
          <w:u w:color="000000"/>
        </w:rPr>
        <w:t>226</w:t>
      </w:r>
      <w:r>
        <w:t xml:space="preserve">Ra may have been mobilised by secondary processes and consequently this bore may also be affected by seepage from the TSF. The activity concentration of </w:t>
      </w:r>
      <w:r w:rsidRPr="00A77799">
        <w:rPr>
          <w:snapToGrid w:val="0"/>
          <w:color w:val="000000"/>
          <w:position w:val="5"/>
          <w:sz w:val="15"/>
          <w:szCs w:val="0"/>
          <w:u w:color="000000"/>
        </w:rPr>
        <w:t>226</w:t>
      </w:r>
      <w:r>
        <w:t>Ra is lower</w:t>
      </w:r>
      <w:r w:rsidRPr="007D5D07">
        <w:t xml:space="preserve"> </w:t>
      </w:r>
      <w:r>
        <w:t>in OB24 than in OB26, but has also increased between 1990 and 2002.</w:t>
      </w:r>
      <w:r w:rsidR="00A553BE">
        <w:t xml:space="preserve"> </w:t>
      </w:r>
      <w:r>
        <w:t xml:space="preserve">During the same time period </w:t>
      </w:r>
      <w:r w:rsidRPr="00A77799">
        <w:rPr>
          <w:snapToGrid w:val="0"/>
          <w:color w:val="000000"/>
          <w:position w:val="5"/>
          <w:sz w:val="15"/>
          <w:szCs w:val="0"/>
          <w:u w:color="000000"/>
        </w:rPr>
        <w:t>226</w:t>
      </w:r>
      <w:r>
        <w:t xml:space="preserve">Ra activity concentration has decreased in OB17A. </w:t>
      </w:r>
    </w:p>
    <w:p w:rsidR="00C220C4" w:rsidRDefault="00C220C4" w:rsidP="00C220C4">
      <w:r>
        <w:t xml:space="preserve">Bore OB23 shows </w:t>
      </w:r>
      <w:r w:rsidRPr="005E1ABA">
        <w:rPr>
          <w:snapToGrid w:val="0"/>
          <w:color w:val="000000"/>
          <w:position w:val="5"/>
          <w:sz w:val="15"/>
          <w:szCs w:val="0"/>
          <w:u w:color="000000"/>
        </w:rPr>
        <w:t>226</w:t>
      </w:r>
      <w:r>
        <w:t>Ra activity concentrations between 58 and 285 mBq L</w:t>
      </w:r>
      <w:r w:rsidRPr="0043199D">
        <w:rPr>
          <w:snapToGrid w:val="0"/>
          <w:color w:val="000000"/>
          <w:position w:val="5"/>
          <w:sz w:val="15"/>
          <w:szCs w:val="0"/>
          <w:u w:color="000000"/>
        </w:rPr>
        <w:t>-1</w:t>
      </w:r>
      <w:r>
        <w:t xml:space="preserve">. The variability of </w:t>
      </w:r>
      <w:r w:rsidRPr="005E1ABA">
        <w:rPr>
          <w:snapToGrid w:val="0"/>
          <w:color w:val="000000"/>
          <w:position w:val="5"/>
          <w:sz w:val="15"/>
          <w:szCs w:val="0"/>
          <w:u w:color="000000"/>
        </w:rPr>
        <w:t>226</w:t>
      </w:r>
      <w:r>
        <w:t xml:space="preserve">Ra activity concentration is similar to the variability in Mn and Fe, whereas U concentration behaves in the opposite way. It is possible that reduction and dissolution processes for Mn and Fe influence the </w:t>
      </w:r>
      <w:r w:rsidRPr="005E1ABA">
        <w:rPr>
          <w:snapToGrid w:val="0"/>
          <w:color w:val="000000"/>
          <w:position w:val="5"/>
          <w:sz w:val="15"/>
          <w:szCs w:val="0"/>
          <w:u w:color="000000"/>
        </w:rPr>
        <w:t>226</w:t>
      </w:r>
      <w:r>
        <w:t xml:space="preserve">Ra activity concentration measured in the bore, due to the high affinity of </w:t>
      </w:r>
      <w:r w:rsidRPr="005E1ABA">
        <w:rPr>
          <w:snapToGrid w:val="0"/>
          <w:color w:val="000000"/>
          <w:position w:val="5"/>
          <w:sz w:val="15"/>
          <w:szCs w:val="0"/>
          <w:u w:color="000000"/>
        </w:rPr>
        <w:t>226</w:t>
      </w:r>
      <w:r>
        <w:t>Ra with oxides of those two elements.</w:t>
      </w:r>
    </w:p>
    <w:p w:rsidR="00C220C4" w:rsidRDefault="00C220C4" w:rsidP="00C220C4"/>
    <w:p w:rsidR="00C220C4" w:rsidRDefault="00C220C4" w:rsidP="00C220C4">
      <w:pPr>
        <w:pStyle w:val="Heading3"/>
      </w:pPr>
      <w:bookmarkStart w:id="134" w:name="_Toc398721706"/>
      <w:bookmarkStart w:id="135" w:name="_Toc411850536"/>
      <w:bookmarkStart w:id="136" w:name="_Toc413230062"/>
      <w:r>
        <w:t>3.3 Bores to the north</w:t>
      </w:r>
      <w:r w:rsidR="00A720D3">
        <w:t>-</w:t>
      </w:r>
      <w:r>
        <w:t>west of the TSF and in the Gulungul catchment</w:t>
      </w:r>
      <w:bookmarkEnd w:id="134"/>
      <w:bookmarkEnd w:id="135"/>
      <w:bookmarkEnd w:id="136"/>
    </w:p>
    <w:p w:rsidR="00C220C4" w:rsidRDefault="00C220C4" w:rsidP="00C220C4">
      <w:pPr>
        <w:pStyle w:val="Heading4"/>
      </w:pPr>
      <w:bookmarkStart w:id="137" w:name="_Toc398721707"/>
      <w:bookmarkStart w:id="138" w:name="_Toc411850537"/>
      <w:r>
        <w:t>3.3.1 Major constituents</w:t>
      </w:r>
      <w:bookmarkEnd w:id="137"/>
      <w:bookmarkEnd w:id="138"/>
    </w:p>
    <w:p w:rsidR="00C220C4" w:rsidRDefault="00C220C4" w:rsidP="00C220C4">
      <w:r>
        <w:t>Figure 22 shows the results of measurements of major constituents (cations Ca, Na, Mg and K; anion: SO</w:t>
      </w:r>
      <w:r w:rsidRPr="00212D3C">
        <w:rPr>
          <w:snapToGrid w:val="0"/>
          <w:color w:val="000000"/>
          <w:position w:val="-5"/>
          <w:sz w:val="15"/>
          <w:szCs w:val="0"/>
          <w:u w:color="000000"/>
        </w:rPr>
        <w:t>4</w:t>
      </w:r>
      <w:r>
        <w:t>) in bore waters collected north</w:t>
      </w:r>
      <w:r w:rsidR="00A720D3">
        <w:t>-</w:t>
      </w:r>
      <w:r>
        <w:t>west and west of the TSF and in the Gulungul catchment.</w:t>
      </w:r>
    </w:p>
    <w:p w:rsidR="00C220C4" w:rsidRDefault="00C220C4" w:rsidP="00C220C4">
      <w:r>
        <w:t>Major cation concentrations for deep bores OB1A, OB2A, RN9329 and OB116 are less than 5 mg L</w:t>
      </w:r>
      <w:r w:rsidRPr="00212D3C">
        <w:rPr>
          <w:snapToGrid w:val="0"/>
          <w:color w:val="000000"/>
          <w:position w:val="5"/>
          <w:sz w:val="15"/>
          <w:szCs w:val="0"/>
          <w:u w:color="000000"/>
        </w:rPr>
        <w:t>-1</w:t>
      </w:r>
      <w:r>
        <w:t xml:space="preserve"> for K, less than 10 mg L</w:t>
      </w:r>
      <w:r w:rsidRPr="00212D3C">
        <w:rPr>
          <w:snapToGrid w:val="0"/>
          <w:color w:val="000000"/>
          <w:position w:val="5"/>
          <w:sz w:val="15"/>
          <w:szCs w:val="0"/>
          <w:u w:color="000000"/>
        </w:rPr>
        <w:t>-1</w:t>
      </w:r>
      <w:r>
        <w:t xml:space="preserve"> for Ca and 10 to 20 mg L</w:t>
      </w:r>
      <w:r w:rsidRPr="00212D3C">
        <w:rPr>
          <w:snapToGrid w:val="0"/>
          <w:color w:val="000000"/>
          <w:position w:val="5"/>
          <w:sz w:val="15"/>
          <w:szCs w:val="0"/>
          <w:u w:color="000000"/>
        </w:rPr>
        <w:t>-1</w:t>
      </w:r>
      <w:r>
        <w:t xml:space="preserve"> for Na and Mg. Bore RN23566 shows higher Mg concentrations up to 100 mg L</w:t>
      </w:r>
      <w:r w:rsidRPr="00212D3C">
        <w:rPr>
          <w:snapToGrid w:val="0"/>
          <w:color w:val="000000"/>
          <w:position w:val="5"/>
          <w:sz w:val="15"/>
          <w:szCs w:val="0"/>
          <w:u w:color="000000"/>
        </w:rPr>
        <w:t>-1</w:t>
      </w:r>
      <w:r>
        <w:t xml:space="preserve">. Major cation concentrations are much lower in the shallow bores OB112 and OB116 compared to their deep counterparts and other bores in the area. </w:t>
      </w:r>
    </w:p>
    <w:p w:rsidR="00C220C4" w:rsidRDefault="00C220C4" w:rsidP="00C220C4">
      <w:r>
        <w:t>Sulfate concentrations are highest in bore RN23566, up to 470 mg L</w:t>
      </w:r>
      <w:r w:rsidRPr="00212D3C">
        <w:rPr>
          <w:snapToGrid w:val="0"/>
          <w:color w:val="000000"/>
          <w:position w:val="5"/>
          <w:sz w:val="15"/>
          <w:szCs w:val="0"/>
          <w:u w:color="000000"/>
        </w:rPr>
        <w:t>-1</w:t>
      </w:r>
      <w:r>
        <w:t xml:space="preserve">. This bore is close to bore RN9329, but the screen depth of this bore is only 4 to 5.5 m. The sulfate concentrations measured in bore RN23566 are similar to those measured in surface water in the Gulungul catchment in 2004-05 (Mellor, 2005). At those shallow depths it is possible that groundwater quality is affected by the high sulfate concentrations in acid </w:t>
      </w:r>
      <w:r w:rsidR="00D24DD5">
        <w:t>sulfate</w:t>
      </w:r>
      <w:r>
        <w:t xml:space="preserve"> soils commonly observed in the area (Klessa 2002).</w:t>
      </w:r>
    </w:p>
    <w:p w:rsidR="00C220C4" w:rsidRDefault="00C220C4" w:rsidP="00C220C4">
      <w:pPr>
        <w:pStyle w:val="Heading4"/>
      </w:pPr>
      <w:bookmarkStart w:id="139" w:name="_Toc398721708"/>
      <w:bookmarkStart w:id="140" w:name="_Toc411850538"/>
      <w:r>
        <w:t>3.3.2 Metals</w:t>
      </w:r>
      <w:bookmarkEnd w:id="139"/>
      <w:bookmarkEnd w:id="140"/>
    </w:p>
    <w:p w:rsidR="00C220C4" w:rsidRDefault="00C220C4" w:rsidP="00C220C4">
      <w:r w:rsidRPr="001E5E93">
        <w:t xml:space="preserve">Figure </w:t>
      </w:r>
      <w:r>
        <w:t>23</w:t>
      </w:r>
      <w:r w:rsidRPr="001E5E93">
        <w:t xml:space="preserve"> shows the result of met</w:t>
      </w:r>
      <w:r>
        <w:t>a</w:t>
      </w:r>
      <w:r w:rsidRPr="001E5E93">
        <w:t xml:space="preserve">l measurements via ICPMS in </w:t>
      </w:r>
      <w:r>
        <w:t>bore waters collected in the Gulungul catchment, north</w:t>
      </w:r>
      <w:r w:rsidR="00A720D3">
        <w:t>-</w:t>
      </w:r>
      <w:r>
        <w:t>west and west of the TSF</w:t>
      </w:r>
      <w:r w:rsidRPr="001E5E93">
        <w:t>.</w:t>
      </w:r>
    </w:p>
    <w:p w:rsidR="00C220C4" w:rsidRDefault="00C220C4" w:rsidP="00C220C4">
      <w:r>
        <w:t>Metal concentrations for bore OB1A at the north</w:t>
      </w:r>
      <w:r w:rsidR="00A720D3">
        <w:t>-</w:t>
      </w:r>
      <w:r>
        <w:t>west corner of the TSF are highest with concentrations of Fe of about 10 to 20 mg L</w:t>
      </w:r>
      <w:r w:rsidRPr="004F2495">
        <w:rPr>
          <w:snapToGrid w:val="0"/>
          <w:color w:val="000000"/>
          <w:position w:val="5"/>
          <w:sz w:val="15"/>
          <w:szCs w:val="0"/>
          <w:u w:color="000000"/>
        </w:rPr>
        <w:t>-1</w:t>
      </w:r>
      <w:r>
        <w:t>, Mn about 1 mg L</w:t>
      </w:r>
      <w:r w:rsidRPr="004F2495">
        <w:rPr>
          <w:snapToGrid w:val="0"/>
          <w:color w:val="000000"/>
          <w:position w:val="5"/>
          <w:sz w:val="15"/>
          <w:szCs w:val="0"/>
          <w:u w:color="000000"/>
        </w:rPr>
        <w:t>-1</w:t>
      </w:r>
      <w:r>
        <w:t xml:space="preserve"> and Ba between 0.1 and 0.2 mg L</w:t>
      </w:r>
      <w:r w:rsidRPr="004F2495">
        <w:rPr>
          <w:snapToGrid w:val="0"/>
          <w:color w:val="000000"/>
          <w:position w:val="5"/>
          <w:sz w:val="15"/>
          <w:szCs w:val="0"/>
          <w:u w:color="000000"/>
        </w:rPr>
        <w:t>-1</w:t>
      </w:r>
      <w:r>
        <w:t>. The variability of U concentrations in this bore is large, with concentrations between 0.03 and 1.08 μg L</w:t>
      </w:r>
      <w:r w:rsidRPr="004F2495">
        <w:rPr>
          <w:snapToGrid w:val="0"/>
          <w:color w:val="000000"/>
          <w:position w:val="5"/>
          <w:sz w:val="15"/>
          <w:szCs w:val="0"/>
          <w:u w:color="000000"/>
        </w:rPr>
        <w:t>-1</w:t>
      </w:r>
      <w:r>
        <w:t xml:space="preserve">, but concentrations are generally low from 2003 onwards. </w:t>
      </w:r>
    </w:p>
    <w:p w:rsidR="00C220C4" w:rsidRDefault="00C220C4" w:rsidP="00C220C4">
      <w:r>
        <w:t>Fe and Mn concentrations in OB2A are significantly lower but the U concentration is similar to the concentration measured in bore water from OB1A. RN9329 to the west of the TSF shows Fe and Mn concentrations about half the concentrations measured in OB1A, and U concentrations are similar to those measured in OB1A.</w:t>
      </w:r>
    </w:p>
    <w:p w:rsidR="00C220C4" w:rsidRDefault="00C220C4" w:rsidP="00C220C4">
      <w:r>
        <w:t xml:space="preserve">The high Fe and Mn results for bore OB1A has been highlighted before by Martin &amp; Akber (1996). They </w:t>
      </w:r>
      <w:r w:rsidR="00A553BE">
        <w:t>emphasised</w:t>
      </w:r>
      <w:r>
        <w:t xml:space="preserve"> the possibility that iron and/or manganese oxide colloids are present in the waters from OB1A that may influence trace metal and radionuclide concentrations. The large variability of Ba and </w:t>
      </w:r>
      <w:proofErr w:type="gramStart"/>
      <w:r>
        <w:t>Sr,</w:t>
      </w:r>
      <w:proofErr w:type="gramEnd"/>
      <w:r>
        <w:t xml:space="preserve"> and in particular U in this bore may be a result of these iron and/or manganese oxide colloids.</w:t>
      </w:r>
    </w:p>
    <w:p w:rsidR="00C220C4" w:rsidRDefault="00C220C4" w:rsidP="00C220C4">
      <w:r>
        <w:t>The highest U concentrations are measured in bore OB116 deep. This bore is located to the south</w:t>
      </w:r>
      <w:r w:rsidR="00A720D3">
        <w:t>-</w:t>
      </w:r>
      <w:r>
        <w:t>west of the TSF, and samples groundwater from a depth of 14 m to 20 m. Concentrations of uranium and major cations in deep bore OB112 are quite similar to concentrations measured in OB116 deep.</w:t>
      </w:r>
    </w:p>
    <w:p w:rsidR="00C220C4" w:rsidRDefault="00C220C4" w:rsidP="00C220C4"/>
    <w:p w:rsidR="00C220C4" w:rsidRDefault="00C220C4" w:rsidP="00C220C4">
      <w:r>
        <w:rPr>
          <w:noProof/>
          <w:lang w:eastAsia="en-AU"/>
        </w:rPr>
        <w:drawing>
          <wp:inline distT="0" distB="0" distL="0" distR="0">
            <wp:extent cx="5271770" cy="5852160"/>
            <wp:effectExtent l="1905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email"/>
                    <a:srcRect/>
                    <a:stretch>
                      <a:fillRect/>
                    </a:stretch>
                  </pic:blipFill>
                  <pic:spPr bwMode="auto">
                    <a:xfrm>
                      <a:off x="0" y="0"/>
                      <a:ext cx="5271770" cy="585216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41" w:name="_Toc398721506"/>
      <w:r w:rsidRPr="000A3842">
        <w:rPr>
          <w:b/>
        </w:rPr>
        <w:t>Figure 22</w:t>
      </w:r>
      <w:r>
        <w:t xml:space="preserve"> Major constituent concentrations plotted against</w:t>
      </w:r>
      <w:r w:rsidRPr="006705CA">
        <w:t xml:space="preserve"> </w:t>
      </w:r>
      <w:r>
        <w:t>sampling date in bores RN23556, OB1A, OB2A, RN23566, RN9329, OB112 deep and shallow, and OB116 deep and shallow.</w:t>
      </w:r>
      <w:bookmarkEnd w:id="141"/>
    </w:p>
    <w:p w:rsidR="00C220C4" w:rsidRDefault="00C220C4" w:rsidP="00C220C4">
      <w:r>
        <w:rPr>
          <w:noProof/>
          <w:lang w:eastAsia="en-AU"/>
        </w:rPr>
        <w:drawing>
          <wp:inline distT="0" distB="0" distL="0" distR="0">
            <wp:extent cx="5271770" cy="5908040"/>
            <wp:effectExtent l="1905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email"/>
                    <a:srcRect/>
                    <a:stretch>
                      <a:fillRect/>
                    </a:stretch>
                  </pic:blipFill>
                  <pic:spPr bwMode="auto">
                    <a:xfrm>
                      <a:off x="0" y="0"/>
                      <a:ext cx="5271770" cy="590804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42" w:name="_Toc398721507"/>
      <w:r w:rsidRPr="000A3842">
        <w:rPr>
          <w:b/>
        </w:rPr>
        <w:t>Figure 23</w:t>
      </w:r>
      <w:r>
        <w:t xml:space="preserve"> Metal concentrations plotted against</w:t>
      </w:r>
      <w:r w:rsidRPr="006705CA">
        <w:t xml:space="preserve"> </w:t>
      </w:r>
      <w:r>
        <w:t>sampling date in bores OB1A, OB2A, RN9329, RN23556, RN23566, and OB112 and OB116, deep and shallow. The blue dotted lines indicate the Australian drinking water quality guidelines (NHMRC 2011).</w:t>
      </w:r>
      <w:bookmarkEnd w:id="142"/>
    </w:p>
    <w:p w:rsidR="00C220C4" w:rsidRPr="00F657FF" w:rsidRDefault="00C220C4" w:rsidP="00C220C4"/>
    <w:p w:rsidR="00C220C4" w:rsidRDefault="00C220C4" w:rsidP="00C220C4">
      <w:pPr>
        <w:pStyle w:val="Heading4"/>
      </w:pPr>
      <w:bookmarkStart w:id="143" w:name="_Toc398721709"/>
      <w:bookmarkStart w:id="144" w:name="_Toc411850539"/>
      <w:r>
        <w:t>3.2.3 Radionuclides</w:t>
      </w:r>
      <w:bookmarkEnd w:id="143"/>
      <w:bookmarkEnd w:id="144"/>
    </w:p>
    <w:p w:rsidR="00C220C4" w:rsidRDefault="00C220C4" w:rsidP="00C220C4">
      <w:r>
        <w:t xml:space="preserve">Figure 24 shows the results of radionuclide activity concentration measurements, and the </w:t>
      </w:r>
      <w:r w:rsidRPr="005D279A">
        <w:rPr>
          <w:snapToGrid w:val="0"/>
          <w:color w:val="000000"/>
          <w:position w:val="5"/>
          <w:sz w:val="15"/>
          <w:szCs w:val="0"/>
          <w:u w:color="000000"/>
        </w:rPr>
        <w:t>234</w:t>
      </w:r>
      <w:r>
        <w:t>U/</w:t>
      </w:r>
      <w:r w:rsidRPr="005D279A">
        <w:rPr>
          <w:snapToGrid w:val="0"/>
          <w:color w:val="000000"/>
          <w:position w:val="5"/>
          <w:sz w:val="15"/>
          <w:szCs w:val="0"/>
          <w:u w:color="000000"/>
        </w:rPr>
        <w:t>238</w:t>
      </w:r>
      <w:r>
        <w:t>U activity ratios measured in bores OB1A, OB2A, RN9329, RN23566, OB116, from 1989 onwards. Uranium activity concentrations are generally in agreement with U concentrations measured via ICPMS.</w:t>
      </w:r>
    </w:p>
    <w:p w:rsidR="00C220C4" w:rsidRDefault="00C220C4" w:rsidP="00C220C4">
      <w:r>
        <w:t xml:space="preserve">There is no statistically significant trend of the </w:t>
      </w:r>
      <w:r w:rsidRPr="00A75A91">
        <w:rPr>
          <w:snapToGrid w:val="0"/>
          <w:color w:val="000000"/>
          <w:position w:val="5"/>
          <w:sz w:val="15"/>
          <w:szCs w:val="0"/>
          <w:u w:color="000000"/>
        </w:rPr>
        <w:t>234</w:t>
      </w:r>
      <w:r>
        <w:t>U/</w:t>
      </w:r>
      <w:r w:rsidRPr="00A75A91">
        <w:rPr>
          <w:snapToGrid w:val="0"/>
          <w:color w:val="000000"/>
          <w:position w:val="5"/>
          <w:sz w:val="15"/>
          <w:szCs w:val="0"/>
          <w:u w:color="000000"/>
        </w:rPr>
        <w:t>238</w:t>
      </w:r>
      <w:r>
        <w:t xml:space="preserve">U activity ratio with time. There is also no statistically significant trend of the </w:t>
      </w:r>
      <w:r w:rsidRPr="00A75A91">
        <w:rPr>
          <w:snapToGrid w:val="0"/>
          <w:color w:val="000000"/>
          <w:position w:val="5"/>
          <w:sz w:val="15"/>
          <w:szCs w:val="0"/>
          <w:u w:color="000000"/>
        </w:rPr>
        <w:t>234</w:t>
      </w:r>
      <w:r>
        <w:t>U/</w:t>
      </w:r>
      <w:r w:rsidRPr="00A75A91">
        <w:rPr>
          <w:snapToGrid w:val="0"/>
          <w:color w:val="000000"/>
          <w:position w:val="5"/>
          <w:sz w:val="15"/>
          <w:szCs w:val="0"/>
          <w:u w:color="000000"/>
        </w:rPr>
        <w:t>238</w:t>
      </w:r>
      <w:r>
        <w:t xml:space="preserve">U activity ratio with the inverse of the U concentrations in bores OB1A (p = 0.15), OB2A (p = 0.85) or RN9329 (p = 0.37), although both, </w:t>
      </w:r>
      <w:r w:rsidRPr="00A75A91">
        <w:rPr>
          <w:snapToGrid w:val="0"/>
          <w:color w:val="000000"/>
          <w:position w:val="5"/>
          <w:sz w:val="15"/>
          <w:szCs w:val="0"/>
          <w:u w:color="000000"/>
        </w:rPr>
        <w:t>238</w:t>
      </w:r>
      <w:r>
        <w:t xml:space="preserve">U activity concentration and </w:t>
      </w:r>
      <w:r w:rsidRPr="00A75A91">
        <w:rPr>
          <w:snapToGrid w:val="0"/>
          <w:color w:val="000000"/>
          <w:position w:val="5"/>
          <w:sz w:val="15"/>
          <w:szCs w:val="0"/>
          <w:u w:color="000000"/>
        </w:rPr>
        <w:t>234</w:t>
      </w:r>
      <w:r>
        <w:t>U/</w:t>
      </w:r>
      <w:r w:rsidRPr="00A75A91">
        <w:rPr>
          <w:snapToGrid w:val="0"/>
          <w:color w:val="000000"/>
          <w:position w:val="5"/>
          <w:sz w:val="15"/>
          <w:szCs w:val="0"/>
          <w:u w:color="000000"/>
        </w:rPr>
        <w:t>238</w:t>
      </w:r>
      <w:r>
        <w:t xml:space="preserve">U activity ratio are very variable in OB1A. RN9329 exhibits generally higher </w:t>
      </w:r>
      <w:r w:rsidRPr="00A75A91">
        <w:rPr>
          <w:snapToGrid w:val="0"/>
          <w:color w:val="000000"/>
          <w:position w:val="5"/>
          <w:sz w:val="15"/>
          <w:szCs w:val="0"/>
          <w:u w:color="000000"/>
        </w:rPr>
        <w:t>234</w:t>
      </w:r>
      <w:r>
        <w:t>U/</w:t>
      </w:r>
      <w:r w:rsidRPr="00A75A91">
        <w:rPr>
          <w:snapToGrid w:val="0"/>
          <w:color w:val="000000"/>
          <w:position w:val="5"/>
          <w:sz w:val="15"/>
          <w:szCs w:val="0"/>
          <w:u w:color="000000"/>
        </w:rPr>
        <w:t>238</w:t>
      </w:r>
      <w:r>
        <w:t>U activity ratios than bores OB1A and OB2A.</w:t>
      </w:r>
    </w:p>
    <w:p w:rsidR="00C220C4" w:rsidRDefault="00C220C4" w:rsidP="00C220C4">
      <w:r>
        <w:t xml:space="preserve">Activity concentrations of </w:t>
      </w:r>
      <w:r w:rsidRPr="00972C8D">
        <w:rPr>
          <w:snapToGrid w:val="0"/>
          <w:color w:val="000000"/>
          <w:position w:val="5"/>
          <w:sz w:val="15"/>
          <w:szCs w:val="0"/>
          <w:u w:color="000000"/>
        </w:rPr>
        <w:t>226</w:t>
      </w:r>
      <w:r>
        <w:t>Ra are highest and most variable in bore OB1A. This bore is closest to the TSF wall, and shows a maximum of 179 mBq L</w:t>
      </w:r>
      <w:r w:rsidRPr="0043521A">
        <w:rPr>
          <w:snapToGrid w:val="0"/>
          <w:color w:val="000000"/>
          <w:position w:val="5"/>
          <w:sz w:val="15"/>
          <w:szCs w:val="0"/>
          <w:u w:color="000000"/>
        </w:rPr>
        <w:t>-1</w:t>
      </w:r>
      <w:r>
        <w:t xml:space="preserve"> </w:t>
      </w:r>
      <w:r w:rsidRPr="00972C8D">
        <w:rPr>
          <w:snapToGrid w:val="0"/>
          <w:color w:val="000000"/>
          <w:position w:val="5"/>
          <w:sz w:val="15"/>
          <w:szCs w:val="0"/>
          <w:u w:color="000000"/>
        </w:rPr>
        <w:t>226</w:t>
      </w:r>
      <w:r>
        <w:t xml:space="preserve">Ra measured in 2001. Bore RN9329 had a maximum </w:t>
      </w:r>
      <w:r w:rsidRPr="0043521A">
        <w:rPr>
          <w:snapToGrid w:val="0"/>
          <w:color w:val="000000"/>
          <w:position w:val="5"/>
          <w:sz w:val="15"/>
          <w:szCs w:val="0"/>
          <w:u w:color="000000"/>
        </w:rPr>
        <w:t>226</w:t>
      </w:r>
      <w:r>
        <w:t>Ra activity concentration of about 30 mBq L</w:t>
      </w:r>
      <w:r w:rsidRPr="0043521A">
        <w:rPr>
          <w:snapToGrid w:val="0"/>
          <w:color w:val="000000"/>
          <w:position w:val="5"/>
          <w:sz w:val="15"/>
          <w:szCs w:val="0"/>
          <w:u w:color="000000"/>
        </w:rPr>
        <w:t>-1</w:t>
      </w:r>
      <w:r>
        <w:t xml:space="preserve"> measured in 2011. None of the bores investigated shows an increase of the </w:t>
      </w:r>
      <w:r w:rsidRPr="0043521A">
        <w:rPr>
          <w:snapToGrid w:val="0"/>
          <w:color w:val="000000"/>
          <w:position w:val="5"/>
          <w:sz w:val="15"/>
          <w:szCs w:val="0"/>
          <w:u w:color="000000"/>
        </w:rPr>
        <w:t>226</w:t>
      </w:r>
      <w:r>
        <w:t xml:space="preserve">Ra activity concentration over time. </w:t>
      </w:r>
    </w:p>
    <w:p w:rsidR="00C220C4" w:rsidRDefault="00C220C4" w:rsidP="00C220C4">
      <w:r>
        <w:rPr>
          <w:noProof/>
          <w:lang w:eastAsia="en-AU"/>
        </w:rPr>
        <w:drawing>
          <wp:inline distT="0" distB="0" distL="0" distR="0">
            <wp:extent cx="5271770" cy="3999230"/>
            <wp:effectExtent l="1905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email"/>
                    <a:srcRect/>
                    <a:stretch>
                      <a:fillRect/>
                    </a:stretch>
                  </pic:blipFill>
                  <pic:spPr bwMode="auto">
                    <a:xfrm>
                      <a:off x="0" y="0"/>
                      <a:ext cx="5271770" cy="399923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45" w:name="_Toc398721508"/>
      <w:r w:rsidRPr="000A3842">
        <w:rPr>
          <w:b/>
        </w:rPr>
        <w:t>Figure 24</w:t>
      </w:r>
      <w:r>
        <w:t xml:space="preserve"> </w:t>
      </w:r>
      <w:r w:rsidRPr="006705CA">
        <w:rPr>
          <w:snapToGrid w:val="0"/>
          <w:color w:val="000000"/>
          <w:position w:val="5"/>
          <w:sz w:val="15"/>
          <w:szCs w:val="0"/>
          <w:u w:color="000000"/>
        </w:rPr>
        <w:t>238</w:t>
      </w:r>
      <w:r>
        <w:t xml:space="preserve">U and </w:t>
      </w:r>
      <w:r w:rsidRPr="006705CA">
        <w:rPr>
          <w:snapToGrid w:val="0"/>
          <w:color w:val="000000"/>
          <w:position w:val="5"/>
          <w:sz w:val="15"/>
          <w:szCs w:val="0"/>
          <w:u w:color="000000"/>
        </w:rPr>
        <w:t>226</w:t>
      </w:r>
      <w:r>
        <w:t>Ra activity concentrations plotted against</w:t>
      </w:r>
      <w:r w:rsidRPr="006705CA">
        <w:t xml:space="preserve"> </w:t>
      </w:r>
      <w:r>
        <w:t xml:space="preserve">sampling date, and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 xml:space="preserve">U activity ratio plotted against sampling date and inverse </w:t>
      </w:r>
      <w:r w:rsidRPr="006705CA">
        <w:rPr>
          <w:snapToGrid w:val="0"/>
          <w:color w:val="000000"/>
          <w:position w:val="5"/>
          <w:sz w:val="15"/>
          <w:szCs w:val="0"/>
          <w:u w:color="000000"/>
        </w:rPr>
        <w:t>238</w:t>
      </w:r>
      <w:r>
        <w:t xml:space="preserve">U activity concentration in bores OB1A, OB2A, RN9329, RN23566, and OB116 deep. Linear fits to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U activity ratio in the inverse concentration plots and associated 95% confidence intervals are shown as well.</w:t>
      </w:r>
      <w:bookmarkEnd w:id="145"/>
    </w:p>
    <w:p w:rsidR="00C220C4" w:rsidRPr="00E132E8" w:rsidRDefault="00C220C4" w:rsidP="00C220C4"/>
    <w:p w:rsidR="00C220C4" w:rsidRDefault="00C220C4" w:rsidP="00C220C4">
      <w:pPr>
        <w:pStyle w:val="Heading3"/>
      </w:pPr>
      <w:bookmarkStart w:id="146" w:name="_Toc398721710"/>
      <w:bookmarkStart w:id="147" w:name="_Toc411850540"/>
      <w:bookmarkStart w:id="148" w:name="_Toc413230063"/>
      <w:r>
        <w:t>3.4 Bores close to the south and south</w:t>
      </w:r>
      <w:r w:rsidR="00A720D3">
        <w:t>-</w:t>
      </w:r>
      <w:r>
        <w:t>west wall of the TSF</w:t>
      </w:r>
      <w:bookmarkEnd w:id="146"/>
      <w:bookmarkEnd w:id="147"/>
      <w:bookmarkEnd w:id="148"/>
    </w:p>
    <w:p w:rsidR="00C220C4" w:rsidRPr="009A5695" w:rsidRDefault="00C220C4" w:rsidP="00C220C4">
      <w:r>
        <w:t>The five deep monitoring bores that are part of this group have been buried under the TSF wall lift, and monitoring data are only available up to 2002.</w:t>
      </w:r>
    </w:p>
    <w:p w:rsidR="00C220C4" w:rsidRDefault="00C220C4" w:rsidP="00C220C4">
      <w:pPr>
        <w:pStyle w:val="Heading4"/>
      </w:pPr>
      <w:bookmarkStart w:id="149" w:name="_Toc398721711"/>
      <w:bookmarkStart w:id="150" w:name="_Toc411850541"/>
      <w:r>
        <w:t>3.4.1 Major constituents</w:t>
      </w:r>
      <w:bookmarkEnd w:id="149"/>
      <w:bookmarkEnd w:id="150"/>
    </w:p>
    <w:p w:rsidR="00C220C4" w:rsidRDefault="00C220C4" w:rsidP="00C220C4">
      <w:r>
        <w:t>Figure 25 shows the results of measurements of major constituents (cations Ca, Na, Mg and K; anion: SO</w:t>
      </w:r>
      <w:r w:rsidRPr="00212D3C">
        <w:rPr>
          <w:snapToGrid w:val="0"/>
          <w:color w:val="000000"/>
          <w:position w:val="-5"/>
          <w:sz w:val="15"/>
          <w:szCs w:val="0"/>
          <w:u w:color="000000"/>
        </w:rPr>
        <w:t>4</w:t>
      </w:r>
      <w:r>
        <w:t>) in bores close to the south and south</w:t>
      </w:r>
      <w:r w:rsidR="00A720D3">
        <w:t>-</w:t>
      </w:r>
      <w:r>
        <w:t xml:space="preserve">west wall of the TSF. </w:t>
      </w:r>
    </w:p>
    <w:p w:rsidR="00C220C4" w:rsidRDefault="00C220C4" w:rsidP="00C220C4">
      <w:r>
        <w:t>Bore OB4A was dominated by Ca and Mg, with concentrations of about 200 mg L</w:t>
      </w:r>
      <w:r w:rsidRPr="005647D5">
        <w:rPr>
          <w:snapToGrid w:val="0"/>
          <w:color w:val="000000"/>
          <w:position w:val="5"/>
          <w:sz w:val="15"/>
          <w:szCs w:val="0"/>
          <w:u w:color="000000"/>
        </w:rPr>
        <w:t>-1</w:t>
      </w:r>
      <w:r>
        <w:t xml:space="preserve"> (Ca) and 250-400 mg L</w:t>
      </w:r>
      <w:r w:rsidRPr="005647D5">
        <w:rPr>
          <w:snapToGrid w:val="0"/>
          <w:color w:val="000000"/>
          <w:position w:val="5"/>
          <w:sz w:val="15"/>
          <w:szCs w:val="0"/>
          <w:u w:color="000000"/>
        </w:rPr>
        <w:t>-1</w:t>
      </w:r>
      <w:r>
        <w:t xml:space="preserve"> (Mg), respectively. This area along the TSF wall where OB4A was located has previously been identified as an area exhibiting high </w:t>
      </w:r>
      <w:r w:rsidR="00D24DD5">
        <w:t>sulfate</w:t>
      </w:r>
      <w:r>
        <w:t xml:space="preserve"> concentrations of up to 37 g L</w:t>
      </w:r>
      <w:r w:rsidRPr="003A5B3B">
        <w:rPr>
          <w:snapToGrid w:val="0"/>
          <w:color w:val="000000"/>
          <w:position w:val="5"/>
          <w:sz w:val="15"/>
          <w:szCs w:val="0"/>
          <w:u w:color="000000"/>
        </w:rPr>
        <w:t>-1</w:t>
      </w:r>
      <w:r>
        <w:t xml:space="preserve"> (ERA 2012). It appears that bore OB4A on the south-western wall of the TSF was clearly affected by seepage from the TSF. </w:t>
      </w:r>
    </w:p>
    <w:p w:rsidR="00C220C4" w:rsidRDefault="00C220C4" w:rsidP="00C220C4">
      <w:r>
        <w:t>Major cation concentrations in bore OB6A of</w:t>
      </w:r>
      <w:r w:rsidR="00A553BE">
        <w:t xml:space="preserve"> </w:t>
      </w:r>
      <w:r>
        <w:t>about 100 mg L</w:t>
      </w:r>
      <w:r w:rsidRPr="003A5B3B">
        <w:rPr>
          <w:snapToGrid w:val="0"/>
          <w:color w:val="000000"/>
          <w:position w:val="5"/>
          <w:sz w:val="15"/>
          <w:szCs w:val="0"/>
          <w:u w:color="000000"/>
        </w:rPr>
        <w:t>-1</w:t>
      </w:r>
      <w:r>
        <w:t xml:space="preserve"> (Ca) and</w:t>
      </w:r>
      <w:r w:rsidR="00A553BE">
        <w:t xml:space="preserve"> </w:t>
      </w:r>
      <w:r>
        <w:t>about 150 mg L</w:t>
      </w:r>
      <w:r w:rsidRPr="003A5B3B">
        <w:rPr>
          <w:snapToGrid w:val="0"/>
          <w:color w:val="000000"/>
          <w:position w:val="5"/>
          <w:sz w:val="15"/>
          <w:szCs w:val="0"/>
          <w:u w:color="000000"/>
        </w:rPr>
        <w:t>-1</w:t>
      </w:r>
      <w:r>
        <w:t xml:space="preserve"> (Mg) are high as well and Na concentration is higher than in OB4A. Klessa (2001) has shown that both, OB4A and OB6A have shown increasing Mn, Mg and SO</w:t>
      </w:r>
      <w:r w:rsidRPr="00225519">
        <w:rPr>
          <w:snapToGrid w:val="0"/>
          <w:color w:val="000000"/>
          <w:position w:val="-5"/>
          <w:sz w:val="15"/>
          <w:szCs w:val="0"/>
          <w:u w:color="000000"/>
        </w:rPr>
        <w:t>4</w:t>
      </w:r>
      <w:r>
        <w:t xml:space="preserve"> concentrations between 1980 and 2000. This increase, and the high concentrations measured in OB4A and OB6A are indicative of a breakthrough of MgSO</w:t>
      </w:r>
      <w:r w:rsidRPr="00700F07">
        <w:rPr>
          <w:snapToGrid w:val="0"/>
          <w:color w:val="000000"/>
          <w:position w:val="-5"/>
          <w:sz w:val="15"/>
          <w:szCs w:val="0"/>
          <w:u w:color="000000"/>
        </w:rPr>
        <w:t>4</w:t>
      </w:r>
      <w:r>
        <w:t xml:space="preserve"> and other conservative elements from the TSF. </w:t>
      </w:r>
    </w:p>
    <w:p w:rsidR="00C220C4" w:rsidRDefault="00C220C4" w:rsidP="00C220C4">
      <w:r>
        <w:t xml:space="preserve">In contrast, bores OB19A and OB7A show much lower Ca and Mg concentrations and appear less affected by seepage, in agreement with bore water </w:t>
      </w:r>
      <w:r w:rsidR="00D24DD5">
        <w:t>sulfate</w:t>
      </w:r>
      <w:r>
        <w:t xml:space="preserve"> concentration results shown in ERA (2012). However, Klessa (2001) suggested that there is evidence to suggest that some </w:t>
      </w:r>
      <w:r w:rsidR="00D24DD5">
        <w:t>sulfate</w:t>
      </w:r>
      <w:r>
        <w:t xml:space="preserve"> enrichment of groundwater at bores OB7A and OB19A was starting to take place from 2000 onwards.</w:t>
      </w:r>
    </w:p>
    <w:p w:rsidR="00C220C4" w:rsidRDefault="00C220C4" w:rsidP="00C220C4">
      <w:r>
        <w:rPr>
          <w:noProof/>
          <w:lang w:eastAsia="en-AU"/>
        </w:rPr>
        <w:drawing>
          <wp:inline distT="0" distB="0" distL="0" distR="0">
            <wp:extent cx="5271770" cy="5852160"/>
            <wp:effectExtent l="1905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email"/>
                    <a:srcRect/>
                    <a:stretch>
                      <a:fillRect/>
                    </a:stretch>
                  </pic:blipFill>
                  <pic:spPr bwMode="auto">
                    <a:xfrm>
                      <a:off x="0" y="0"/>
                      <a:ext cx="5271770" cy="585216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51" w:name="_Toc398721509"/>
      <w:r w:rsidRPr="000A3842">
        <w:rPr>
          <w:b/>
        </w:rPr>
        <w:t>Figure 25</w:t>
      </w:r>
      <w:r>
        <w:t xml:space="preserve"> Major constituent concentrations plotted against</w:t>
      </w:r>
      <w:r w:rsidRPr="006705CA">
        <w:t xml:space="preserve"> </w:t>
      </w:r>
      <w:r>
        <w:t>sampling date in bores OB4A, OB19A, OB6, OB6A and OB7A.</w:t>
      </w:r>
      <w:bookmarkEnd w:id="151"/>
    </w:p>
    <w:p w:rsidR="00C220C4" w:rsidRPr="00E132E8" w:rsidRDefault="00C220C4" w:rsidP="00C220C4"/>
    <w:p w:rsidR="00C220C4" w:rsidRDefault="00C220C4" w:rsidP="00C220C4">
      <w:pPr>
        <w:pStyle w:val="Heading4"/>
      </w:pPr>
      <w:bookmarkStart w:id="152" w:name="_Toc398721712"/>
      <w:bookmarkStart w:id="153" w:name="_Toc411850542"/>
      <w:r>
        <w:t>3.4.2 Metals</w:t>
      </w:r>
      <w:bookmarkEnd w:id="152"/>
      <w:bookmarkEnd w:id="153"/>
    </w:p>
    <w:p w:rsidR="00C220C4" w:rsidRDefault="00C220C4" w:rsidP="00C220C4">
      <w:r>
        <w:t xml:space="preserve">Metal concentrations are shown in Figure 26. Iron and Mn are highest in OB4A, whereas U concentrations are highest in bore OB6A on the TSF south wall. While OB6A is affected by seepage from the TSF (Klessa 2001), OB7A exhibits much smaller Mg and </w:t>
      </w:r>
      <w:r w:rsidR="00D24DD5">
        <w:t>sulfate</w:t>
      </w:r>
      <w:r>
        <w:t xml:space="preserve"> concentrations, and generally lower U concentrations (with the exception of the U concentration measured in 2000). This is indicative of lesser influence of seepage from the TSF in bore OB7A.</w:t>
      </w:r>
    </w:p>
    <w:p w:rsidR="00C220C4" w:rsidRDefault="00C220C4" w:rsidP="00C220C4">
      <w:r>
        <w:rPr>
          <w:noProof/>
          <w:lang w:eastAsia="en-AU"/>
        </w:rPr>
        <w:drawing>
          <wp:inline distT="0" distB="0" distL="0" distR="0">
            <wp:extent cx="5263515" cy="587629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email"/>
                    <a:srcRect/>
                    <a:stretch>
                      <a:fillRect/>
                    </a:stretch>
                  </pic:blipFill>
                  <pic:spPr bwMode="auto">
                    <a:xfrm>
                      <a:off x="0" y="0"/>
                      <a:ext cx="5263515" cy="587629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54" w:name="_Toc398721510"/>
      <w:r w:rsidRPr="000A3842">
        <w:rPr>
          <w:b/>
        </w:rPr>
        <w:t>Figure 26</w:t>
      </w:r>
      <w:r>
        <w:t xml:space="preserve"> Metal concentrations plotted against</w:t>
      </w:r>
      <w:r w:rsidRPr="006705CA">
        <w:t xml:space="preserve"> </w:t>
      </w:r>
      <w:r>
        <w:t>sampling date in bores OB4A, OB19, OB6, OB6A and OB7A. The blue dotted lines indicate the Australian drinking water quality guidelines (NHMRC 2011).</w:t>
      </w:r>
      <w:bookmarkEnd w:id="154"/>
    </w:p>
    <w:p w:rsidR="00C220C4" w:rsidRDefault="00C220C4" w:rsidP="00C220C4">
      <w:pPr>
        <w:rPr>
          <w:szCs w:val="36"/>
        </w:rPr>
      </w:pPr>
    </w:p>
    <w:p w:rsidR="00C220C4" w:rsidRDefault="00C220C4" w:rsidP="00C220C4">
      <w:pPr>
        <w:pStyle w:val="Heading4"/>
      </w:pPr>
      <w:bookmarkStart w:id="155" w:name="_Toc398721713"/>
      <w:bookmarkStart w:id="156" w:name="_Toc411850543"/>
      <w:r>
        <w:t>3.4.3 Radionuclides</w:t>
      </w:r>
      <w:bookmarkEnd w:id="155"/>
      <w:bookmarkEnd w:id="156"/>
    </w:p>
    <w:p w:rsidR="00C220C4" w:rsidRDefault="00C220C4" w:rsidP="00C220C4">
      <w:r>
        <w:t xml:space="preserve">Radionuclide activity concentrations and </w:t>
      </w:r>
      <w:r w:rsidRPr="00887361">
        <w:rPr>
          <w:snapToGrid w:val="0"/>
          <w:color w:val="000000"/>
          <w:position w:val="5"/>
          <w:sz w:val="15"/>
          <w:szCs w:val="0"/>
          <w:u w:color="000000"/>
        </w:rPr>
        <w:t>234</w:t>
      </w:r>
      <w:r>
        <w:t>U/</w:t>
      </w:r>
      <w:r w:rsidRPr="00887361">
        <w:rPr>
          <w:snapToGrid w:val="0"/>
          <w:color w:val="000000"/>
          <w:position w:val="5"/>
          <w:sz w:val="15"/>
          <w:szCs w:val="0"/>
          <w:u w:color="000000"/>
        </w:rPr>
        <w:t>238</w:t>
      </w:r>
      <w:r>
        <w:t xml:space="preserve">U activity ratios are available from 1988, when investigations of bore water from bores OB4A and OB6A began (Figure 27). </w:t>
      </w:r>
    </w:p>
    <w:p w:rsidR="00C220C4" w:rsidRDefault="00C220C4" w:rsidP="00C220C4">
      <w:pPr>
        <w:rPr>
          <w:szCs w:val="36"/>
        </w:rPr>
      </w:pPr>
      <w:r>
        <w:t xml:space="preserve">Bores OB4A, OB6A and OB7A showed maximum U activity concentrations in 1998 followed by a sharp drop in U activity concentrations in 1999. The increase in the U activity concentrations are associated with a decline in the </w:t>
      </w:r>
      <w:r w:rsidRPr="00887361">
        <w:rPr>
          <w:snapToGrid w:val="0"/>
          <w:color w:val="000000"/>
          <w:position w:val="5"/>
          <w:sz w:val="15"/>
          <w:szCs w:val="0"/>
          <w:u w:color="000000"/>
        </w:rPr>
        <w:t>23</w:t>
      </w:r>
      <w:r>
        <w:rPr>
          <w:snapToGrid w:val="0"/>
          <w:color w:val="000000"/>
          <w:position w:val="5"/>
          <w:sz w:val="15"/>
          <w:szCs w:val="0"/>
          <w:u w:color="000000"/>
        </w:rPr>
        <w:t>4</w:t>
      </w:r>
      <w:r>
        <w:t>U/</w:t>
      </w:r>
      <w:r w:rsidRPr="00887361">
        <w:rPr>
          <w:snapToGrid w:val="0"/>
          <w:color w:val="000000"/>
          <w:position w:val="5"/>
          <w:sz w:val="15"/>
          <w:szCs w:val="0"/>
          <w:u w:color="000000"/>
        </w:rPr>
        <w:t>238</w:t>
      </w:r>
      <w:r>
        <w:t xml:space="preserve">U activity ratios in those bores, with ratios of about 1.07 to 1.26. The reason for the increase in U activity concentration during that time is unknown, </w:t>
      </w:r>
      <w:r>
        <w:rPr>
          <w:szCs w:val="36"/>
        </w:rPr>
        <w:t>but may be due to major works conducted at the TSF, when tailings were transferred from the TSF to pit 1 in 1997</w:t>
      </w:r>
      <w:r w:rsidR="00D1106C" w:rsidRPr="00D1106C">
        <w:t xml:space="preserve"> </w:t>
      </w:r>
      <w:r w:rsidR="00D1106C" w:rsidRPr="00D1106C">
        <w:rPr>
          <w:szCs w:val="36"/>
        </w:rPr>
        <w:t>–</w:t>
      </w:r>
      <w:r w:rsidR="00D1106C" w:rsidRPr="00D1106C" w:rsidDel="00D1106C">
        <w:rPr>
          <w:szCs w:val="36"/>
        </w:rPr>
        <w:t xml:space="preserve"> </w:t>
      </w:r>
      <w:r>
        <w:rPr>
          <w:szCs w:val="36"/>
        </w:rPr>
        <w:t>98.</w:t>
      </w:r>
    </w:p>
    <w:p w:rsidR="00C220C4" w:rsidRDefault="00C220C4" w:rsidP="00C220C4">
      <w:pPr>
        <w:rPr>
          <w:szCs w:val="36"/>
        </w:rPr>
      </w:pPr>
      <w:r>
        <w:rPr>
          <w:szCs w:val="36"/>
        </w:rPr>
        <w:t xml:space="preserve">The </w:t>
      </w:r>
      <w:r w:rsidRPr="00887361">
        <w:rPr>
          <w:snapToGrid w:val="0"/>
          <w:color w:val="000000"/>
          <w:position w:val="5"/>
          <w:sz w:val="15"/>
          <w:szCs w:val="0"/>
          <w:u w:color="000000"/>
        </w:rPr>
        <w:t>23</w:t>
      </w:r>
      <w:r>
        <w:rPr>
          <w:snapToGrid w:val="0"/>
          <w:color w:val="000000"/>
          <w:position w:val="5"/>
          <w:sz w:val="15"/>
          <w:szCs w:val="0"/>
          <w:u w:color="000000"/>
        </w:rPr>
        <w:t>4</w:t>
      </w:r>
      <w:r>
        <w:t>U/</w:t>
      </w:r>
      <w:r w:rsidRPr="00887361">
        <w:rPr>
          <w:snapToGrid w:val="0"/>
          <w:color w:val="000000"/>
          <w:position w:val="5"/>
          <w:sz w:val="15"/>
          <w:szCs w:val="0"/>
          <w:u w:color="000000"/>
        </w:rPr>
        <w:t>238</w:t>
      </w:r>
      <w:r>
        <w:t xml:space="preserve">U activity ratios in OB4A were generally around 1, with the exception of activity ratios measured in 1988 and 1997 (~1.5). </w:t>
      </w:r>
      <w:r>
        <w:rPr>
          <w:szCs w:val="36"/>
        </w:rPr>
        <w:t xml:space="preserve">There is no discernible trend in </w:t>
      </w:r>
      <w:r w:rsidRPr="00887361">
        <w:rPr>
          <w:snapToGrid w:val="0"/>
          <w:color w:val="000000"/>
          <w:position w:val="5"/>
          <w:sz w:val="15"/>
          <w:szCs w:val="0"/>
          <w:u w:color="000000"/>
        </w:rPr>
        <w:t>23</w:t>
      </w:r>
      <w:r>
        <w:rPr>
          <w:snapToGrid w:val="0"/>
          <w:color w:val="000000"/>
          <w:position w:val="5"/>
          <w:sz w:val="15"/>
          <w:szCs w:val="0"/>
          <w:u w:color="000000"/>
        </w:rPr>
        <w:t>4</w:t>
      </w:r>
      <w:r>
        <w:t>U/</w:t>
      </w:r>
      <w:r w:rsidRPr="00887361">
        <w:rPr>
          <w:snapToGrid w:val="0"/>
          <w:color w:val="000000"/>
          <w:position w:val="5"/>
          <w:sz w:val="15"/>
          <w:szCs w:val="0"/>
          <w:u w:color="000000"/>
        </w:rPr>
        <w:t>238</w:t>
      </w:r>
      <w:r>
        <w:t xml:space="preserve">U activity ratios plotted against time of sampling or inverse U concentration in these bores, except for bore OB7A. This bore exhibits a statistically significant decrease of the </w:t>
      </w:r>
      <w:r w:rsidRPr="00887361">
        <w:rPr>
          <w:snapToGrid w:val="0"/>
          <w:color w:val="000000"/>
          <w:position w:val="5"/>
          <w:sz w:val="15"/>
          <w:szCs w:val="0"/>
          <w:u w:color="000000"/>
        </w:rPr>
        <w:t>23</w:t>
      </w:r>
      <w:r>
        <w:rPr>
          <w:snapToGrid w:val="0"/>
          <w:color w:val="000000"/>
          <w:position w:val="5"/>
          <w:sz w:val="15"/>
          <w:szCs w:val="0"/>
          <w:u w:color="000000"/>
        </w:rPr>
        <w:t>4</w:t>
      </w:r>
      <w:r>
        <w:t>U/</w:t>
      </w:r>
      <w:r w:rsidRPr="00887361">
        <w:rPr>
          <w:snapToGrid w:val="0"/>
          <w:color w:val="000000"/>
          <w:position w:val="5"/>
          <w:sz w:val="15"/>
          <w:szCs w:val="0"/>
          <w:u w:color="000000"/>
        </w:rPr>
        <w:t>238</w:t>
      </w:r>
      <w:r>
        <w:t xml:space="preserve">U activity ratio when plotted against the inverse U activity concentration (p = 0.01), with a y-intercept for the </w:t>
      </w:r>
      <w:r w:rsidRPr="00887361">
        <w:rPr>
          <w:snapToGrid w:val="0"/>
          <w:color w:val="000000"/>
          <w:position w:val="5"/>
          <w:sz w:val="15"/>
          <w:szCs w:val="0"/>
          <w:u w:color="000000"/>
        </w:rPr>
        <w:t>23</w:t>
      </w:r>
      <w:r>
        <w:rPr>
          <w:snapToGrid w:val="0"/>
          <w:color w:val="000000"/>
          <w:position w:val="5"/>
          <w:sz w:val="15"/>
          <w:szCs w:val="0"/>
          <w:u w:color="000000"/>
        </w:rPr>
        <w:t>4</w:t>
      </w:r>
      <w:r>
        <w:t>U/</w:t>
      </w:r>
      <w:r w:rsidRPr="00887361">
        <w:rPr>
          <w:snapToGrid w:val="0"/>
          <w:color w:val="000000"/>
          <w:position w:val="5"/>
          <w:sz w:val="15"/>
          <w:szCs w:val="0"/>
          <w:u w:color="000000"/>
        </w:rPr>
        <w:t>238</w:t>
      </w:r>
      <w:r>
        <w:t xml:space="preserve">U activity ratio of 1.13±0.12. </w:t>
      </w:r>
    </w:p>
    <w:p w:rsidR="00C220C4" w:rsidRDefault="00C220C4" w:rsidP="00C220C4">
      <w:pPr>
        <w:rPr>
          <w:szCs w:val="36"/>
        </w:rPr>
      </w:pPr>
      <w:r>
        <w:rPr>
          <w:szCs w:val="36"/>
        </w:rPr>
        <w:t xml:space="preserve">The activity concentration of </w:t>
      </w:r>
      <w:r w:rsidRPr="00CB31BD">
        <w:rPr>
          <w:snapToGrid w:val="0"/>
          <w:color w:val="000000"/>
          <w:position w:val="5"/>
          <w:sz w:val="15"/>
          <w:szCs w:val="0"/>
          <w:u w:color="000000"/>
        </w:rPr>
        <w:t>226</w:t>
      </w:r>
      <w:r>
        <w:rPr>
          <w:szCs w:val="36"/>
        </w:rPr>
        <w:t>Ra was highest in bore OB6A with a value of above 1 Bq L</w:t>
      </w:r>
      <w:r w:rsidRPr="00CB31BD">
        <w:rPr>
          <w:snapToGrid w:val="0"/>
          <w:color w:val="000000"/>
          <w:position w:val="5"/>
          <w:sz w:val="15"/>
          <w:szCs w:val="0"/>
          <w:u w:color="000000"/>
        </w:rPr>
        <w:t>-1</w:t>
      </w:r>
      <w:r>
        <w:rPr>
          <w:szCs w:val="36"/>
        </w:rPr>
        <w:t xml:space="preserve"> measured in May 2001. A </w:t>
      </w:r>
      <w:r w:rsidRPr="00CB31BD">
        <w:rPr>
          <w:snapToGrid w:val="0"/>
          <w:color w:val="000000"/>
          <w:position w:val="5"/>
          <w:sz w:val="15"/>
          <w:szCs w:val="0"/>
          <w:u w:color="000000"/>
        </w:rPr>
        <w:t>226</w:t>
      </w:r>
      <w:r>
        <w:rPr>
          <w:szCs w:val="36"/>
        </w:rPr>
        <w:t>Ra maximum was also observed in OB4A during that time (0.2 Bq L</w:t>
      </w:r>
      <w:r w:rsidRPr="00CB31BD">
        <w:rPr>
          <w:snapToGrid w:val="0"/>
          <w:color w:val="000000"/>
          <w:position w:val="5"/>
          <w:sz w:val="15"/>
          <w:szCs w:val="0"/>
          <w:u w:color="000000"/>
        </w:rPr>
        <w:t>-1</w:t>
      </w:r>
      <w:r>
        <w:rPr>
          <w:szCs w:val="36"/>
        </w:rPr>
        <w:t xml:space="preserve">) but none of the other analytes showed a maximum. </w:t>
      </w:r>
    </w:p>
    <w:p w:rsidR="00C220C4" w:rsidRDefault="00C220C4" w:rsidP="00C220C4">
      <w:r>
        <w:rPr>
          <w:noProof/>
          <w:lang w:eastAsia="en-AU"/>
        </w:rPr>
        <w:drawing>
          <wp:inline distT="0" distB="0" distL="0" distR="0">
            <wp:extent cx="5271770" cy="3951605"/>
            <wp:effectExtent l="1905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email"/>
                    <a:srcRect/>
                    <a:stretch>
                      <a:fillRect/>
                    </a:stretch>
                  </pic:blipFill>
                  <pic:spPr bwMode="auto">
                    <a:xfrm>
                      <a:off x="0" y="0"/>
                      <a:ext cx="5271770" cy="395160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57" w:name="_Toc398721511"/>
      <w:r w:rsidRPr="000A3842">
        <w:rPr>
          <w:b/>
        </w:rPr>
        <w:t>Figure 27</w:t>
      </w:r>
      <w:r>
        <w:t xml:space="preserve"> </w:t>
      </w:r>
      <w:r w:rsidRPr="006705CA">
        <w:rPr>
          <w:snapToGrid w:val="0"/>
          <w:color w:val="000000"/>
          <w:position w:val="5"/>
          <w:sz w:val="15"/>
          <w:szCs w:val="0"/>
          <w:u w:color="000000"/>
        </w:rPr>
        <w:t>238</w:t>
      </w:r>
      <w:r>
        <w:t xml:space="preserve">U and </w:t>
      </w:r>
      <w:r w:rsidRPr="006705CA">
        <w:rPr>
          <w:snapToGrid w:val="0"/>
          <w:color w:val="000000"/>
          <w:position w:val="5"/>
          <w:sz w:val="15"/>
          <w:szCs w:val="0"/>
          <w:u w:color="000000"/>
        </w:rPr>
        <w:t>226</w:t>
      </w:r>
      <w:r>
        <w:t>Ra activity concentrations plotted against</w:t>
      </w:r>
      <w:r w:rsidRPr="006705CA">
        <w:t xml:space="preserve"> </w:t>
      </w:r>
      <w:r>
        <w:t xml:space="preserve">sampling date, and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 xml:space="preserve">U activity ratio plotted against sampling date and inverse </w:t>
      </w:r>
      <w:r w:rsidRPr="006705CA">
        <w:rPr>
          <w:snapToGrid w:val="0"/>
          <w:color w:val="000000"/>
          <w:position w:val="5"/>
          <w:sz w:val="15"/>
          <w:szCs w:val="0"/>
          <w:u w:color="000000"/>
        </w:rPr>
        <w:t>238</w:t>
      </w:r>
      <w:r>
        <w:t xml:space="preserve">U activity concentration in bores OB4A, OB19, OB6, OB6A and OB7A. Linear fits to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U activity ratio in the inverse concentration plots and associated 95% confidence intervals are shown as well.</w:t>
      </w:r>
      <w:bookmarkEnd w:id="157"/>
    </w:p>
    <w:p w:rsidR="00C220C4" w:rsidRPr="00285D97" w:rsidRDefault="00C220C4" w:rsidP="00C220C4"/>
    <w:p w:rsidR="00C220C4" w:rsidRDefault="00C220C4" w:rsidP="00C220C4">
      <w:pPr>
        <w:pStyle w:val="Heading3"/>
      </w:pPr>
      <w:bookmarkStart w:id="158" w:name="_Toc398721714"/>
      <w:bookmarkStart w:id="159" w:name="_Toc411850544"/>
      <w:bookmarkStart w:id="160" w:name="_Toc413230064"/>
      <w:r>
        <w:t>3.5 Bores south of the TSF</w:t>
      </w:r>
      <w:bookmarkEnd w:id="158"/>
      <w:bookmarkEnd w:id="159"/>
      <w:bookmarkEnd w:id="160"/>
    </w:p>
    <w:p w:rsidR="00C220C4" w:rsidRPr="00BF3648" w:rsidRDefault="00C220C4" w:rsidP="00C220C4">
      <w:r>
        <w:t xml:space="preserve">Bores OB20, OB21A, RN23568 and C1_shallow are located approximately 400 m to the south of the TSF wall. </w:t>
      </w:r>
    </w:p>
    <w:p w:rsidR="00C220C4" w:rsidRDefault="00C220C4" w:rsidP="00C220C4">
      <w:pPr>
        <w:pStyle w:val="Heading4"/>
      </w:pPr>
      <w:bookmarkStart w:id="161" w:name="_Toc398721715"/>
      <w:bookmarkStart w:id="162" w:name="_Toc411850545"/>
      <w:r>
        <w:t>3.5.1 Major constituents</w:t>
      </w:r>
      <w:bookmarkEnd w:id="161"/>
      <w:bookmarkEnd w:id="162"/>
    </w:p>
    <w:p w:rsidR="00C220C4" w:rsidRDefault="00C220C4" w:rsidP="00C220C4">
      <w:r>
        <w:t>Figure 28 shows the results of measurements of major constituents (cations Ca, Na, Mg and K; anion: SO</w:t>
      </w:r>
      <w:r w:rsidRPr="00212D3C">
        <w:rPr>
          <w:snapToGrid w:val="0"/>
          <w:color w:val="000000"/>
          <w:position w:val="-5"/>
          <w:sz w:val="15"/>
          <w:szCs w:val="0"/>
          <w:u w:color="000000"/>
        </w:rPr>
        <w:t>4</w:t>
      </w:r>
      <w:r>
        <w:t xml:space="preserve">) in bore waters sampled from bores located south of the TSF. </w:t>
      </w:r>
    </w:p>
    <w:p w:rsidR="00C220C4" w:rsidRDefault="00C220C4" w:rsidP="00C220C4">
      <w:r>
        <w:t>Concentrations of Ca are typically about 10</w:t>
      </w:r>
      <w:r w:rsidRPr="001257D9">
        <w:t xml:space="preserve"> </w:t>
      </w:r>
      <w:r>
        <w:t>mg L</w:t>
      </w:r>
      <w:r w:rsidRPr="00E90F75">
        <w:rPr>
          <w:snapToGrid w:val="0"/>
          <w:color w:val="000000"/>
          <w:position w:val="5"/>
          <w:sz w:val="15"/>
          <w:szCs w:val="0"/>
          <w:u w:color="000000"/>
        </w:rPr>
        <w:t>-1</w:t>
      </w:r>
      <w:r>
        <w:t xml:space="preserve"> in OB20 and 20</w:t>
      </w:r>
      <w:r w:rsidRPr="001257D9">
        <w:t xml:space="preserve"> </w:t>
      </w:r>
      <w:r>
        <w:t>mg L</w:t>
      </w:r>
      <w:r w:rsidRPr="00E90F75">
        <w:rPr>
          <w:snapToGrid w:val="0"/>
          <w:color w:val="000000"/>
          <w:position w:val="5"/>
          <w:sz w:val="15"/>
          <w:szCs w:val="0"/>
          <w:u w:color="000000"/>
        </w:rPr>
        <w:t>-1</w:t>
      </w:r>
      <w:r>
        <w:t xml:space="preserve"> in OB21A. Sodium and Mg concentrations are between 10-20 mg L</w:t>
      </w:r>
      <w:r w:rsidRPr="00E90F75">
        <w:rPr>
          <w:snapToGrid w:val="0"/>
          <w:color w:val="000000"/>
          <w:position w:val="5"/>
          <w:sz w:val="15"/>
          <w:szCs w:val="0"/>
          <w:u w:color="000000"/>
        </w:rPr>
        <w:t>-1</w:t>
      </w:r>
      <w:r>
        <w:t xml:space="preserve"> in these two bores. The concentrations of K are about 1 mg L</w:t>
      </w:r>
      <w:r w:rsidRPr="00E90F75">
        <w:rPr>
          <w:snapToGrid w:val="0"/>
          <w:color w:val="000000"/>
          <w:position w:val="5"/>
          <w:sz w:val="15"/>
          <w:szCs w:val="0"/>
          <w:u w:color="000000"/>
        </w:rPr>
        <w:t>-1</w:t>
      </w:r>
      <w:r>
        <w:t xml:space="preserve"> (OB20) and 2 mg L</w:t>
      </w:r>
      <w:r w:rsidRPr="00E90F75">
        <w:rPr>
          <w:snapToGrid w:val="0"/>
          <w:color w:val="000000"/>
          <w:position w:val="5"/>
          <w:sz w:val="15"/>
          <w:szCs w:val="0"/>
          <w:u w:color="000000"/>
        </w:rPr>
        <w:t>-1</w:t>
      </w:r>
      <w:r>
        <w:t xml:space="preserve"> (OB21A). The two bores exhibit similar trends with time, with maxima measured in 2004, followed by a decline in concentrations and a minimum measured in 2007-2008. </w:t>
      </w:r>
      <w:r w:rsidR="00D24DD5">
        <w:t>Sulfate</w:t>
      </w:r>
      <w:r>
        <w:t xml:space="preserve"> concentrations are generally low in OB20 and OB21A with concentrations measured below 3 mg L</w:t>
      </w:r>
      <w:r w:rsidRPr="006369D7">
        <w:rPr>
          <w:snapToGrid w:val="0"/>
          <w:color w:val="000000"/>
          <w:position w:val="5"/>
          <w:sz w:val="15"/>
          <w:szCs w:val="0"/>
          <w:u w:color="000000"/>
        </w:rPr>
        <w:t>-1</w:t>
      </w:r>
      <w:r>
        <w:t xml:space="preserve">. </w:t>
      </w:r>
    </w:p>
    <w:p w:rsidR="00C220C4" w:rsidRDefault="00C220C4" w:rsidP="00C220C4">
      <w:r>
        <w:rPr>
          <w:noProof/>
          <w:lang w:eastAsia="en-AU"/>
        </w:rPr>
        <w:drawing>
          <wp:inline distT="0" distB="0" distL="0" distR="0">
            <wp:extent cx="5271770" cy="5852160"/>
            <wp:effectExtent l="1905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email"/>
                    <a:srcRect/>
                    <a:stretch>
                      <a:fillRect/>
                    </a:stretch>
                  </pic:blipFill>
                  <pic:spPr bwMode="auto">
                    <a:xfrm>
                      <a:off x="0" y="0"/>
                      <a:ext cx="5271770" cy="585216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63" w:name="_Toc398721512"/>
      <w:r w:rsidRPr="000A3842">
        <w:rPr>
          <w:b/>
        </w:rPr>
        <w:t>Figure 28</w:t>
      </w:r>
      <w:r>
        <w:t xml:space="preserve"> Major constituent concentrations plotted against</w:t>
      </w:r>
      <w:r w:rsidRPr="006705CA">
        <w:t xml:space="preserve"> </w:t>
      </w:r>
      <w:r>
        <w:t>sampling date in bores OB20, OB21A, RN23568 and C1_shallow.</w:t>
      </w:r>
      <w:bookmarkEnd w:id="163"/>
    </w:p>
    <w:p w:rsidR="00C220C4" w:rsidRDefault="00C220C4" w:rsidP="00C220C4">
      <w:pPr>
        <w:pStyle w:val="Heading4"/>
      </w:pPr>
    </w:p>
    <w:p w:rsidR="00C220C4" w:rsidRDefault="00C220C4" w:rsidP="00C220C4">
      <w:pPr>
        <w:pStyle w:val="Heading4"/>
      </w:pPr>
      <w:bookmarkStart w:id="164" w:name="_Toc398721716"/>
      <w:bookmarkStart w:id="165" w:name="_Toc411850546"/>
      <w:r>
        <w:t>3.5.2 Metals</w:t>
      </w:r>
      <w:bookmarkEnd w:id="164"/>
      <w:bookmarkEnd w:id="165"/>
    </w:p>
    <w:p w:rsidR="00C220C4" w:rsidRDefault="00C220C4" w:rsidP="00C220C4">
      <w:r>
        <w:t>Metal concentrations for bores OB20, OB21A, RN23568 and C1_shallow are shown in Figure 29. Concentrations of Fe in bores OB20 and OB21A exhibit similar trends, with OB21A following the trend observed in OB20. Klessa (2001) has reported an increasing Mn concentration in OB21A between 1983 and 2000, when the concentration increased from less than 150 μg L</w:t>
      </w:r>
      <w:r w:rsidRPr="000D5934">
        <w:rPr>
          <w:snapToGrid w:val="0"/>
          <w:color w:val="000000"/>
          <w:position w:val="5"/>
          <w:sz w:val="15"/>
          <w:szCs w:val="0"/>
          <w:u w:color="000000"/>
        </w:rPr>
        <w:t>-1</w:t>
      </w:r>
      <w:r>
        <w:t xml:space="preserve"> to more than 400 μg L</w:t>
      </w:r>
      <w:r w:rsidRPr="000D5934">
        <w:rPr>
          <w:snapToGrid w:val="0"/>
          <w:color w:val="000000"/>
          <w:position w:val="5"/>
          <w:sz w:val="15"/>
          <w:szCs w:val="0"/>
          <w:u w:color="000000"/>
        </w:rPr>
        <w:t>-1</w:t>
      </w:r>
      <w:r>
        <w:t>. Our data show that Mn concentrations in OB21A have declined again since 2003 to levels around 300 μg L</w:t>
      </w:r>
      <w:r w:rsidRPr="000D5934">
        <w:rPr>
          <w:snapToGrid w:val="0"/>
          <w:color w:val="000000"/>
          <w:position w:val="5"/>
          <w:sz w:val="15"/>
          <w:szCs w:val="0"/>
          <w:u w:color="000000"/>
        </w:rPr>
        <w:t>-1</w:t>
      </w:r>
      <w:r>
        <w:t xml:space="preserve">. The concentrations of Mn are generally lower in OB20 but appear to be slightly increasing since 2008 when Fe concentration was lowest. </w:t>
      </w:r>
    </w:p>
    <w:p w:rsidR="00C220C4" w:rsidRDefault="00C220C4" w:rsidP="00C220C4">
      <w:r>
        <w:t>U concentrations are low and show the same trend in the two bores, with OB21A following the trend observed in OB20. Maximum U concentrations of 0.6 μg L</w:t>
      </w:r>
      <w:r w:rsidRPr="000D5934">
        <w:rPr>
          <w:snapToGrid w:val="0"/>
          <w:color w:val="000000"/>
          <w:position w:val="5"/>
          <w:sz w:val="15"/>
          <w:szCs w:val="0"/>
          <w:u w:color="000000"/>
        </w:rPr>
        <w:t>-1</w:t>
      </w:r>
      <w:r>
        <w:t xml:space="preserve"> (OB20) and 1.3 μg L</w:t>
      </w:r>
      <w:r w:rsidRPr="000D5934">
        <w:rPr>
          <w:snapToGrid w:val="0"/>
          <w:color w:val="000000"/>
          <w:position w:val="5"/>
          <w:sz w:val="15"/>
          <w:szCs w:val="0"/>
          <w:u w:color="000000"/>
        </w:rPr>
        <w:t>-1</w:t>
      </w:r>
      <w:r>
        <w:t xml:space="preserve"> (OB21A) were measured in samples collected in September 2012.</w:t>
      </w:r>
    </w:p>
    <w:p w:rsidR="00C220C4" w:rsidRDefault="00C220C4" w:rsidP="00C220C4">
      <w:r>
        <w:rPr>
          <w:noProof/>
          <w:lang w:eastAsia="en-AU"/>
        </w:rPr>
        <w:drawing>
          <wp:inline distT="0" distB="0" distL="0" distR="0">
            <wp:extent cx="5271770" cy="5892165"/>
            <wp:effectExtent l="1905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email"/>
                    <a:srcRect/>
                    <a:stretch>
                      <a:fillRect/>
                    </a:stretch>
                  </pic:blipFill>
                  <pic:spPr bwMode="auto">
                    <a:xfrm>
                      <a:off x="0" y="0"/>
                      <a:ext cx="5271770" cy="589216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66" w:name="_Toc398721513"/>
      <w:r w:rsidRPr="000A3842">
        <w:rPr>
          <w:b/>
        </w:rPr>
        <w:t>Figure 29</w:t>
      </w:r>
      <w:r>
        <w:t xml:space="preserve"> Metal concentrations plotted against</w:t>
      </w:r>
      <w:r w:rsidRPr="006705CA">
        <w:t xml:space="preserve"> </w:t>
      </w:r>
      <w:r>
        <w:t>sampling date in bores OB20, OB21A, RN23568 and C1_shallow.</w:t>
      </w:r>
      <w:r w:rsidRPr="009B51E9">
        <w:t xml:space="preserve"> </w:t>
      </w:r>
      <w:r>
        <w:t>The blue dotted lines indicate the Australian drinking water quality guidelines (NHMRC 2011).</w:t>
      </w:r>
      <w:bookmarkEnd w:id="166"/>
    </w:p>
    <w:p w:rsidR="00C220C4" w:rsidRPr="00E132E8" w:rsidRDefault="00C220C4" w:rsidP="00C220C4"/>
    <w:p w:rsidR="00C220C4" w:rsidRDefault="00C220C4" w:rsidP="00C220C4">
      <w:pPr>
        <w:pStyle w:val="Heading4"/>
      </w:pPr>
      <w:bookmarkStart w:id="167" w:name="_Toc398721717"/>
      <w:bookmarkStart w:id="168" w:name="_Toc411850547"/>
      <w:r>
        <w:t>3.5.3 Radionuclides</w:t>
      </w:r>
      <w:bookmarkEnd w:id="167"/>
      <w:bookmarkEnd w:id="168"/>
    </w:p>
    <w:p w:rsidR="00C220C4" w:rsidRDefault="00C220C4" w:rsidP="00C220C4">
      <w:r>
        <w:t xml:space="preserve">Figure 30 shows the results of the </w:t>
      </w:r>
      <w:r w:rsidRPr="003F2FFC">
        <w:rPr>
          <w:snapToGrid w:val="0"/>
          <w:color w:val="000000"/>
          <w:position w:val="5"/>
          <w:sz w:val="15"/>
          <w:szCs w:val="0"/>
          <w:u w:color="000000"/>
        </w:rPr>
        <w:t>238</w:t>
      </w:r>
      <w:r>
        <w:t xml:space="preserve">U activity </w:t>
      </w:r>
      <w:r w:rsidRPr="003F2FFC">
        <w:rPr>
          <w:snapToGrid w:val="0"/>
          <w:color w:val="000000"/>
          <w:position w:val="5"/>
          <w:sz w:val="15"/>
          <w:szCs w:val="0"/>
          <w:u w:color="000000"/>
        </w:rPr>
        <w:t>226</w:t>
      </w:r>
      <w:r>
        <w:t xml:space="preserve">Ra concentrations measured in bores OB20, OB21A and C1_shallow, and the </w:t>
      </w:r>
      <w:r w:rsidRPr="003F2FFC">
        <w:rPr>
          <w:snapToGrid w:val="0"/>
          <w:color w:val="000000"/>
          <w:position w:val="5"/>
          <w:sz w:val="15"/>
          <w:szCs w:val="0"/>
          <w:u w:color="000000"/>
        </w:rPr>
        <w:t>234</w:t>
      </w:r>
      <w:r>
        <w:t>U/</w:t>
      </w:r>
      <w:r w:rsidRPr="003F2FFC">
        <w:rPr>
          <w:snapToGrid w:val="0"/>
          <w:color w:val="000000"/>
          <w:position w:val="5"/>
          <w:sz w:val="15"/>
          <w:szCs w:val="0"/>
          <w:u w:color="000000"/>
        </w:rPr>
        <w:t>238</w:t>
      </w:r>
      <w:r>
        <w:t xml:space="preserve">U activity ratio plotted against date of sampling and the inverse </w:t>
      </w:r>
      <w:r w:rsidRPr="007C790D">
        <w:rPr>
          <w:snapToGrid w:val="0"/>
          <w:color w:val="000000"/>
          <w:position w:val="5"/>
          <w:sz w:val="15"/>
          <w:szCs w:val="0"/>
          <w:u w:color="000000"/>
        </w:rPr>
        <w:t>238</w:t>
      </w:r>
      <w:r>
        <w:t xml:space="preserve">U activity concentration, respectively. </w:t>
      </w:r>
    </w:p>
    <w:p w:rsidR="00C220C4" w:rsidRPr="00BF3648" w:rsidRDefault="00C220C4" w:rsidP="00C220C4">
      <w:proofErr w:type="gramStart"/>
      <w:r>
        <w:t xml:space="preserve">U activity concentrations in OB20 and OB21A are similar, and activity ratios generally </w:t>
      </w:r>
      <w:r w:rsidR="00D1106C">
        <w:t xml:space="preserve">  </w:t>
      </w:r>
      <w:r>
        <w:t>&gt;1 in the two bores.</w:t>
      </w:r>
      <w:proofErr w:type="gramEnd"/>
      <w:r>
        <w:t xml:space="preserve"> The inverse concentration plots do not show a significant correlation between the measured </w:t>
      </w:r>
      <w:r w:rsidRPr="003F2FFC">
        <w:rPr>
          <w:snapToGrid w:val="0"/>
          <w:color w:val="000000"/>
          <w:position w:val="5"/>
          <w:sz w:val="15"/>
          <w:szCs w:val="0"/>
          <w:u w:color="000000"/>
        </w:rPr>
        <w:t>234</w:t>
      </w:r>
      <w:r>
        <w:t>U/</w:t>
      </w:r>
      <w:r w:rsidRPr="003F2FFC">
        <w:rPr>
          <w:snapToGrid w:val="0"/>
          <w:color w:val="000000"/>
          <w:position w:val="5"/>
          <w:sz w:val="15"/>
          <w:szCs w:val="0"/>
          <w:u w:color="000000"/>
        </w:rPr>
        <w:t>238</w:t>
      </w:r>
      <w:r>
        <w:t xml:space="preserve">U activity ratios and the inverse of the </w:t>
      </w:r>
      <w:r w:rsidRPr="003F2FFC">
        <w:rPr>
          <w:snapToGrid w:val="0"/>
          <w:color w:val="000000"/>
          <w:position w:val="5"/>
          <w:sz w:val="15"/>
          <w:szCs w:val="0"/>
          <w:u w:color="000000"/>
        </w:rPr>
        <w:t>238</w:t>
      </w:r>
      <w:r>
        <w:t xml:space="preserve">U activity concentration measured in the bores. </w:t>
      </w:r>
    </w:p>
    <w:p w:rsidR="00C220C4" w:rsidRDefault="00C220C4" w:rsidP="00C220C4">
      <w:r>
        <w:t xml:space="preserve">The activity concentrations of </w:t>
      </w:r>
      <w:r w:rsidRPr="00D827C7">
        <w:rPr>
          <w:snapToGrid w:val="0"/>
          <w:color w:val="000000"/>
          <w:position w:val="5"/>
          <w:sz w:val="15"/>
          <w:szCs w:val="0"/>
          <w:u w:color="000000"/>
        </w:rPr>
        <w:t>226</w:t>
      </w:r>
      <w:r>
        <w:t>Ra are quite variable and are highest in bore OB21A, with activity concentrations of almost 400 mBq L</w:t>
      </w:r>
      <w:r w:rsidRPr="00D827C7">
        <w:rPr>
          <w:snapToGrid w:val="0"/>
          <w:color w:val="000000"/>
          <w:position w:val="5"/>
          <w:sz w:val="15"/>
          <w:szCs w:val="0"/>
          <w:u w:color="000000"/>
        </w:rPr>
        <w:t>-1</w:t>
      </w:r>
      <w:r>
        <w:t xml:space="preserve"> measured in 2004. Minimum activity concentrations measured in this bore are just below 100 mBq L</w:t>
      </w:r>
      <w:r w:rsidRPr="00D827C7">
        <w:rPr>
          <w:snapToGrid w:val="0"/>
          <w:color w:val="000000"/>
          <w:position w:val="5"/>
          <w:sz w:val="15"/>
          <w:szCs w:val="0"/>
          <w:u w:color="000000"/>
        </w:rPr>
        <w:t>-1</w:t>
      </w:r>
      <w:r>
        <w:t>. Activity concentrations</w:t>
      </w:r>
      <w:r w:rsidRPr="007C790D">
        <w:t xml:space="preserve"> </w:t>
      </w:r>
      <w:r>
        <w:t xml:space="preserve">of </w:t>
      </w:r>
      <w:r w:rsidRPr="00D827C7">
        <w:rPr>
          <w:snapToGrid w:val="0"/>
          <w:color w:val="000000"/>
          <w:position w:val="5"/>
          <w:sz w:val="15"/>
          <w:szCs w:val="0"/>
          <w:u w:color="000000"/>
        </w:rPr>
        <w:t>226</w:t>
      </w:r>
      <w:r>
        <w:t>Ra in bore OB20 are between 8 and 40 mBq L</w:t>
      </w:r>
      <w:r w:rsidRPr="00D827C7">
        <w:rPr>
          <w:snapToGrid w:val="0"/>
          <w:color w:val="000000"/>
          <w:position w:val="5"/>
          <w:sz w:val="15"/>
          <w:szCs w:val="0"/>
          <w:u w:color="000000"/>
        </w:rPr>
        <w:t>-1</w:t>
      </w:r>
      <w:r>
        <w:t>.</w:t>
      </w:r>
    </w:p>
    <w:p w:rsidR="00C220C4" w:rsidRDefault="00C220C4" w:rsidP="00C220C4">
      <w:r>
        <w:rPr>
          <w:noProof/>
          <w:lang w:eastAsia="en-AU"/>
        </w:rPr>
        <w:drawing>
          <wp:inline distT="0" distB="0" distL="0" distR="0">
            <wp:extent cx="5271770" cy="3999230"/>
            <wp:effectExtent l="1905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email"/>
                    <a:srcRect/>
                    <a:stretch>
                      <a:fillRect/>
                    </a:stretch>
                  </pic:blipFill>
                  <pic:spPr bwMode="auto">
                    <a:xfrm>
                      <a:off x="0" y="0"/>
                      <a:ext cx="5271770" cy="399923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69" w:name="_Toc398721514"/>
      <w:r w:rsidRPr="000A3842">
        <w:rPr>
          <w:b/>
        </w:rPr>
        <w:t>Figure 30</w:t>
      </w:r>
      <w:r>
        <w:t xml:space="preserve"> </w:t>
      </w:r>
      <w:r w:rsidRPr="006705CA">
        <w:rPr>
          <w:snapToGrid w:val="0"/>
          <w:color w:val="000000"/>
          <w:position w:val="5"/>
          <w:sz w:val="15"/>
          <w:szCs w:val="0"/>
          <w:u w:color="000000"/>
        </w:rPr>
        <w:t>238</w:t>
      </w:r>
      <w:r>
        <w:t xml:space="preserve">U and </w:t>
      </w:r>
      <w:r w:rsidRPr="006705CA">
        <w:rPr>
          <w:snapToGrid w:val="0"/>
          <w:color w:val="000000"/>
          <w:position w:val="5"/>
          <w:sz w:val="15"/>
          <w:szCs w:val="0"/>
          <w:u w:color="000000"/>
        </w:rPr>
        <w:t>226</w:t>
      </w:r>
      <w:r>
        <w:t>Ra activity concentrations plotted against</w:t>
      </w:r>
      <w:r w:rsidRPr="006705CA">
        <w:t xml:space="preserve"> </w:t>
      </w:r>
      <w:r>
        <w:t xml:space="preserve">sampling date, and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 xml:space="preserve">U activity ratio plotted against sampling date and inverse </w:t>
      </w:r>
      <w:r w:rsidRPr="006705CA">
        <w:rPr>
          <w:snapToGrid w:val="0"/>
          <w:color w:val="000000"/>
          <w:position w:val="5"/>
          <w:sz w:val="15"/>
          <w:szCs w:val="0"/>
          <w:u w:color="000000"/>
        </w:rPr>
        <w:t>238</w:t>
      </w:r>
      <w:r>
        <w:t>U activity concentration in bores OB20, OB21A, RN23568 and C1_shallow.</w:t>
      </w:r>
      <w:r w:rsidRPr="007C790D">
        <w:t xml:space="preserve"> </w:t>
      </w:r>
      <w:r>
        <w:t xml:space="preserve">Linear fits to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U activity ratio in the inverse concentration plots and associated 95% confidence intervals are shown as well.</w:t>
      </w:r>
      <w:bookmarkEnd w:id="169"/>
    </w:p>
    <w:p w:rsidR="00C220C4" w:rsidRPr="007B3090" w:rsidRDefault="00C220C4" w:rsidP="00C220C4"/>
    <w:p w:rsidR="00C220C4" w:rsidRDefault="00C220C4" w:rsidP="00C220C4">
      <w:pPr>
        <w:pStyle w:val="Heading3"/>
      </w:pPr>
      <w:bookmarkStart w:id="170" w:name="_Toc398721718"/>
      <w:bookmarkStart w:id="171" w:name="_Toc411850548"/>
      <w:bookmarkStart w:id="172" w:name="_Toc413230065"/>
      <w:r>
        <w:t>3.6 Bores in the vicinity of Pit 1 and in the Corridor and Georgetown Creek catchments</w:t>
      </w:r>
      <w:bookmarkEnd w:id="170"/>
      <w:bookmarkEnd w:id="171"/>
      <w:bookmarkEnd w:id="172"/>
    </w:p>
    <w:p w:rsidR="00C220C4" w:rsidRDefault="00C220C4" w:rsidP="00C220C4">
      <w:pPr>
        <w:pStyle w:val="Heading4"/>
      </w:pPr>
      <w:bookmarkStart w:id="173" w:name="_Toc398721719"/>
      <w:bookmarkStart w:id="174" w:name="_Toc411850549"/>
      <w:r>
        <w:t>3.6.1 Major constituents</w:t>
      </w:r>
      <w:bookmarkEnd w:id="173"/>
      <w:bookmarkEnd w:id="174"/>
    </w:p>
    <w:p w:rsidR="00C220C4" w:rsidRDefault="00C220C4" w:rsidP="00C220C4">
      <w:r>
        <w:t>Figure 31 shows the results of measurements of major constituents (cations: Ca, Na, Mg and K; anion: SO</w:t>
      </w:r>
      <w:r w:rsidRPr="00212D3C">
        <w:rPr>
          <w:snapToGrid w:val="0"/>
          <w:color w:val="000000"/>
          <w:position w:val="-5"/>
          <w:sz w:val="15"/>
          <w:szCs w:val="0"/>
          <w:u w:color="000000"/>
        </w:rPr>
        <w:t>4</w:t>
      </w:r>
      <w:r>
        <w:t xml:space="preserve">) in bore waters from bores situated </w:t>
      </w:r>
      <w:r w:rsidRPr="007C0BFC">
        <w:t xml:space="preserve">in the vicinity of </w:t>
      </w:r>
      <w:r>
        <w:t>p</w:t>
      </w:r>
      <w:r w:rsidRPr="007C0BFC">
        <w:t>it 1,</w:t>
      </w:r>
      <w:r>
        <w:t xml:space="preserve"> and within the</w:t>
      </w:r>
      <w:r w:rsidRPr="007C0BFC">
        <w:t xml:space="preserve"> Corridor and Georgetown Creek catchments</w:t>
      </w:r>
      <w:r>
        <w:t xml:space="preserve">. </w:t>
      </w:r>
    </w:p>
    <w:p w:rsidR="00C220C4" w:rsidRDefault="00C220C4" w:rsidP="00C220C4">
      <w:r>
        <w:t>Time series starting in 1999 exist for two bores, OB30, south</w:t>
      </w:r>
      <w:r w:rsidR="00A720D3">
        <w:t>-</w:t>
      </w:r>
      <w:r>
        <w:t>east of pit 1 and next to the Corridor Creek wetland filter, and OB27, close to the Corridor Creek</w:t>
      </w:r>
      <w:r w:rsidR="005D186A">
        <w:t>–</w:t>
      </w:r>
      <w:r>
        <w:t>Georgetown Creek confluence at Georgetown Billabong.</w:t>
      </w:r>
    </w:p>
    <w:p w:rsidR="00C220C4" w:rsidRDefault="00C220C4" w:rsidP="00C220C4">
      <w:r>
        <w:rPr>
          <w:noProof/>
          <w:lang w:eastAsia="en-AU"/>
        </w:rPr>
        <w:drawing>
          <wp:inline distT="0" distB="0" distL="0" distR="0">
            <wp:extent cx="5271770" cy="5748655"/>
            <wp:effectExtent l="1905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email"/>
                    <a:srcRect t="1479"/>
                    <a:stretch>
                      <a:fillRect/>
                    </a:stretch>
                  </pic:blipFill>
                  <pic:spPr bwMode="auto">
                    <a:xfrm>
                      <a:off x="0" y="0"/>
                      <a:ext cx="5271770" cy="574865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75" w:name="_Toc398721515"/>
      <w:r w:rsidRPr="000A3842">
        <w:rPr>
          <w:b/>
        </w:rPr>
        <w:t>Figure 31</w:t>
      </w:r>
      <w:r>
        <w:t xml:space="preserve"> Major constituent concentrations plotted against</w:t>
      </w:r>
      <w:r w:rsidRPr="006705CA">
        <w:t xml:space="preserve"> </w:t>
      </w:r>
      <w:r>
        <w:t>sampling date in bores OB30, OB28, OB27, RN8708 and C12.</w:t>
      </w:r>
      <w:bookmarkEnd w:id="175"/>
    </w:p>
    <w:p w:rsidR="00C220C4" w:rsidRDefault="00C220C4" w:rsidP="00C220C4">
      <w:r>
        <w:t>Deep bore OB30 is dominated by Mg and Ca, with concentrations above 10 mg L</w:t>
      </w:r>
      <w:r w:rsidRPr="00F05D7B">
        <w:rPr>
          <w:snapToGrid w:val="0"/>
          <w:color w:val="000000"/>
          <w:position w:val="5"/>
          <w:sz w:val="15"/>
          <w:szCs w:val="0"/>
          <w:u w:color="000000"/>
        </w:rPr>
        <w:t>-1</w:t>
      </w:r>
      <w:r>
        <w:t xml:space="preserve"> of Ca and above 50 mg L</w:t>
      </w:r>
      <w:r w:rsidRPr="00FA38A3">
        <w:rPr>
          <w:snapToGrid w:val="0"/>
          <w:color w:val="000000"/>
          <w:position w:val="5"/>
          <w:sz w:val="15"/>
          <w:szCs w:val="0"/>
          <w:u w:color="000000"/>
        </w:rPr>
        <w:t>-1</w:t>
      </w:r>
      <w:r>
        <w:t xml:space="preserve"> for Mg. Concentrations of Na are generally below 5 mg L</w:t>
      </w:r>
      <w:r w:rsidRPr="00F05D7B">
        <w:rPr>
          <w:snapToGrid w:val="0"/>
          <w:color w:val="000000"/>
          <w:position w:val="5"/>
          <w:sz w:val="15"/>
          <w:szCs w:val="0"/>
          <w:u w:color="000000"/>
        </w:rPr>
        <w:t>-1</w:t>
      </w:r>
      <w:r>
        <w:t xml:space="preserve"> in OB30 and K is below 1 mg L</w:t>
      </w:r>
      <w:r w:rsidRPr="00F05D7B">
        <w:rPr>
          <w:snapToGrid w:val="0"/>
          <w:color w:val="000000"/>
          <w:position w:val="5"/>
          <w:sz w:val="15"/>
          <w:szCs w:val="0"/>
          <w:u w:color="000000"/>
        </w:rPr>
        <w:t>-1</w:t>
      </w:r>
      <w:r>
        <w:t>. Deep bore OB27 shows about 3-4 times lower Ca and Mg concentrations but Na is typically higher (up to 20 mg L</w:t>
      </w:r>
      <w:r w:rsidRPr="00F05D7B">
        <w:rPr>
          <w:snapToGrid w:val="0"/>
          <w:color w:val="000000"/>
          <w:position w:val="5"/>
          <w:sz w:val="15"/>
          <w:szCs w:val="0"/>
          <w:u w:color="000000"/>
        </w:rPr>
        <w:t>-1</w:t>
      </w:r>
      <w:r>
        <w:t>) than in OB30. Calcium, Na and Mg appear to have decreased over the past decade in OB27.</w:t>
      </w:r>
    </w:p>
    <w:p w:rsidR="00C220C4" w:rsidRDefault="00C220C4" w:rsidP="00C220C4">
      <w:r>
        <w:t>Sulfate concentration in bore OB27 has increased from 0.7 mg L</w:t>
      </w:r>
      <w:r w:rsidRPr="00F05D7B">
        <w:rPr>
          <w:snapToGrid w:val="0"/>
          <w:color w:val="000000"/>
          <w:position w:val="5"/>
          <w:sz w:val="15"/>
          <w:szCs w:val="0"/>
          <w:u w:color="000000"/>
        </w:rPr>
        <w:t>-1</w:t>
      </w:r>
      <w:r>
        <w:t xml:space="preserve"> in 2003 to above 30 mg L</w:t>
      </w:r>
      <w:r w:rsidRPr="00F05D7B">
        <w:rPr>
          <w:snapToGrid w:val="0"/>
          <w:color w:val="000000"/>
          <w:position w:val="5"/>
          <w:sz w:val="15"/>
          <w:szCs w:val="0"/>
          <w:u w:color="000000"/>
        </w:rPr>
        <w:t>-1</w:t>
      </w:r>
      <w:r>
        <w:t xml:space="preserve"> in 2010-11, concentrations which are similar to the sulfate concentrations in bore OB30. None of the major cations exhibited a similar increase during that period. </w:t>
      </w:r>
    </w:p>
    <w:p w:rsidR="00C220C4" w:rsidRDefault="00C220C4" w:rsidP="00C220C4">
      <w:r>
        <w:t>Magnesium and Ca have increased in bore OB30 between 1999 and 2004. Tailings deposition in pit 1 has started in 1996. The increase of the concentrations of these two conservative elements could potentially be due to the deposition of tailings into the mined out pit.</w:t>
      </w:r>
    </w:p>
    <w:p w:rsidR="00C220C4" w:rsidRDefault="00C220C4" w:rsidP="00C220C4">
      <w:r>
        <w:t xml:space="preserve">Bore OB28 in the vicinity of OB27 shows major cation concentrations similar to OB27, although K concentrations are higher. </w:t>
      </w:r>
    </w:p>
    <w:p w:rsidR="00C220C4" w:rsidRDefault="00C220C4" w:rsidP="00C220C4">
      <w:r>
        <w:t xml:space="preserve">Bore RN8708 is a deep bore located in the head waters of Corridor Creek. Concentrations of Mg in this bore are similar to OB27, but </w:t>
      </w:r>
      <w:r w:rsidR="00D24DD5">
        <w:t>sulfate</w:t>
      </w:r>
      <w:r>
        <w:t xml:space="preserve"> concentrations are much lower. Calcium and Na concentrations are 8-9 mg L</w:t>
      </w:r>
      <w:r w:rsidRPr="005535F1">
        <w:rPr>
          <w:snapToGrid w:val="0"/>
          <w:color w:val="000000"/>
          <w:position w:val="5"/>
          <w:sz w:val="15"/>
          <w:szCs w:val="0"/>
          <w:u w:color="000000"/>
        </w:rPr>
        <w:t>-1</w:t>
      </w:r>
      <w:r>
        <w:t xml:space="preserve"> (Ca) and 12-13 mg L</w:t>
      </w:r>
      <w:r w:rsidRPr="005535F1">
        <w:rPr>
          <w:snapToGrid w:val="0"/>
          <w:color w:val="000000"/>
          <w:position w:val="5"/>
          <w:sz w:val="15"/>
          <w:szCs w:val="0"/>
          <w:u w:color="000000"/>
        </w:rPr>
        <w:t>-1</w:t>
      </w:r>
      <w:r>
        <w:t xml:space="preserve"> (Na), respectively. Potassium is higher than in OB27 at about 2 mg L</w:t>
      </w:r>
      <w:r w:rsidRPr="005535F1">
        <w:rPr>
          <w:snapToGrid w:val="0"/>
          <w:color w:val="000000"/>
          <w:position w:val="5"/>
          <w:sz w:val="15"/>
          <w:szCs w:val="0"/>
          <w:u w:color="000000"/>
        </w:rPr>
        <w:t>-1</w:t>
      </w:r>
      <w:r>
        <w:t>.</w:t>
      </w:r>
    </w:p>
    <w:p w:rsidR="00C220C4" w:rsidRDefault="00C220C4" w:rsidP="00C220C4">
      <w:pPr>
        <w:pStyle w:val="Heading4"/>
      </w:pPr>
      <w:bookmarkStart w:id="176" w:name="_Toc398721720"/>
      <w:bookmarkStart w:id="177" w:name="_Toc411850550"/>
      <w:r>
        <w:t>3.6.2 Metals</w:t>
      </w:r>
      <w:bookmarkEnd w:id="176"/>
      <w:bookmarkEnd w:id="177"/>
    </w:p>
    <w:p w:rsidR="00C220C4" w:rsidRDefault="00C220C4" w:rsidP="00C220C4">
      <w:r>
        <w:t xml:space="preserve">Concentrations of Fe, Mn, Ba and Sr are generally higher in OB27 than in OB30 (Figure 32). Iron, Mn, Ba and Sr concentrations have shown a decrease since 2004 in OB27 similar to the decrease in major cations, whereas OB30 shows an increase in Mn concentration but steady Ba and Sr concentrations. </w:t>
      </w:r>
    </w:p>
    <w:p w:rsidR="00C220C4" w:rsidRDefault="00C220C4" w:rsidP="00C220C4">
      <w:r>
        <w:rPr>
          <w:noProof/>
          <w:lang w:eastAsia="en-AU"/>
        </w:rPr>
        <w:drawing>
          <wp:inline distT="0" distB="0" distL="0" distR="0">
            <wp:extent cx="5009515" cy="5542280"/>
            <wp:effectExtent l="1905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email"/>
                    <a:srcRect t="1465"/>
                    <a:stretch>
                      <a:fillRect/>
                    </a:stretch>
                  </pic:blipFill>
                  <pic:spPr bwMode="auto">
                    <a:xfrm>
                      <a:off x="0" y="0"/>
                      <a:ext cx="5009515" cy="5542280"/>
                    </a:xfrm>
                    <a:prstGeom prst="rect">
                      <a:avLst/>
                    </a:prstGeom>
                    <a:noFill/>
                    <a:ln w="9525">
                      <a:noFill/>
                      <a:miter lim="800000"/>
                      <a:headEnd/>
                      <a:tailEnd/>
                    </a:ln>
                  </pic:spPr>
                </pic:pic>
              </a:graphicData>
            </a:graphic>
          </wp:inline>
        </w:drawing>
      </w:r>
    </w:p>
    <w:p w:rsidR="00C220C4" w:rsidRPr="00E132E8" w:rsidRDefault="00C220C4" w:rsidP="00C220C4">
      <w:pPr>
        <w:pStyle w:val="figurecaption"/>
      </w:pPr>
      <w:bookmarkStart w:id="178" w:name="_Toc398721516"/>
      <w:r w:rsidRPr="000A3842">
        <w:rPr>
          <w:b/>
        </w:rPr>
        <w:t>Figure 32</w:t>
      </w:r>
      <w:r>
        <w:t xml:space="preserve"> Metal concentrations plotted against</w:t>
      </w:r>
      <w:r w:rsidRPr="006705CA">
        <w:t xml:space="preserve"> </w:t>
      </w:r>
      <w:r>
        <w:t>sampling date in bores OB30, OB28, OB27, RN8708 and C12. The blue dotted lines indicate the Australian drinking water quality guidelines (NHMRC 2011).</w:t>
      </w:r>
      <w:bookmarkEnd w:id="178"/>
    </w:p>
    <w:p w:rsidR="00C220C4" w:rsidRDefault="00C220C4" w:rsidP="00C220C4">
      <w:r>
        <w:t>The concentration of U has decreased slightly in OB30 over the past decade from about 20-25 μg L</w:t>
      </w:r>
      <w:r w:rsidRPr="005F564A">
        <w:rPr>
          <w:snapToGrid w:val="0"/>
          <w:color w:val="000000"/>
          <w:position w:val="5"/>
          <w:sz w:val="15"/>
          <w:szCs w:val="0"/>
          <w:u w:color="000000"/>
        </w:rPr>
        <w:t>-1</w:t>
      </w:r>
      <w:r>
        <w:t xml:space="preserve"> to values less than 15 μg L</w:t>
      </w:r>
      <w:r w:rsidRPr="005F564A">
        <w:rPr>
          <w:snapToGrid w:val="0"/>
          <w:color w:val="000000"/>
          <w:position w:val="5"/>
          <w:sz w:val="15"/>
          <w:szCs w:val="0"/>
          <w:u w:color="000000"/>
        </w:rPr>
        <w:t>-1</w:t>
      </w:r>
      <w:r>
        <w:t xml:space="preserve"> in 2012. Uranium concentration in OB27 is much lower compared to OB30, with a maximum of 1 μg L</w:t>
      </w:r>
      <w:r w:rsidRPr="005F564A">
        <w:rPr>
          <w:snapToGrid w:val="0"/>
          <w:color w:val="000000"/>
          <w:position w:val="5"/>
          <w:sz w:val="15"/>
          <w:szCs w:val="0"/>
          <w:u w:color="000000"/>
        </w:rPr>
        <w:t>-1</w:t>
      </w:r>
      <w:r>
        <w:t xml:space="preserve"> measured in 2010, similar to U concentrations measured in bore RN8708. </w:t>
      </w:r>
    </w:p>
    <w:p w:rsidR="00C220C4" w:rsidRDefault="00C220C4" w:rsidP="00C220C4">
      <w:pPr>
        <w:pStyle w:val="Heading4"/>
      </w:pPr>
      <w:bookmarkStart w:id="179" w:name="_Toc398721721"/>
      <w:bookmarkStart w:id="180" w:name="_Toc411850551"/>
      <w:r>
        <w:t>3.6.3 Radionuclides</w:t>
      </w:r>
      <w:bookmarkEnd w:id="179"/>
      <w:bookmarkEnd w:id="180"/>
    </w:p>
    <w:p w:rsidR="00C220C4" w:rsidRDefault="00C220C4" w:rsidP="00C220C4">
      <w:r>
        <w:t xml:space="preserve">Figure 33 shows the </w:t>
      </w:r>
      <w:r w:rsidRPr="003F2FFC">
        <w:rPr>
          <w:snapToGrid w:val="0"/>
          <w:color w:val="000000"/>
          <w:position w:val="5"/>
          <w:sz w:val="15"/>
          <w:szCs w:val="0"/>
          <w:u w:color="000000"/>
        </w:rPr>
        <w:t>238</w:t>
      </w:r>
      <w:r>
        <w:t xml:space="preserve">U activity </w:t>
      </w:r>
      <w:r w:rsidRPr="003F2FFC">
        <w:rPr>
          <w:snapToGrid w:val="0"/>
          <w:color w:val="000000"/>
          <w:position w:val="5"/>
          <w:sz w:val="15"/>
          <w:szCs w:val="0"/>
          <w:u w:color="000000"/>
        </w:rPr>
        <w:t>226</w:t>
      </w:r>
      <w:r>
        <w:t xml:space="preserve">Ra concentrations and the </w:t>
      </w:r>
      <w:r w:rsidRPr="003F2FFC">
        <w:rPr>
          <w:snapToGrid w:val="0"/>
          <w:color w:val="000000"/>
          <w:position w:val="5"/>
          <w:sz w:val="15"/>
          <w:szCs w:val="0"/>
          <w:u w:color="000000"/>
        </w:rPr>
        <w:t>234</w:t>
      </w:r>
      <w:r>
        <w:t>U/</w:t>
      </w:r>
      <w:r w:rsidRPr="003F2FFC">
        <w:rPr>
          <w:snapToGrid w:val="0"/>
          <w:color w:val="000000"/>
          <w:position w:val="5"/>
          <w:sz w:val="15"/>
          <w:szCs w:val="0"/>
          <w:u w:color="000000"/>
        </w:rPr>
        <w:t>238</w:t>
      </w:r>
      <w:r>
        <w:t xml:space="preserve">U activity ratio measured in bore waters from this catchment. </w:t>
      </w:r>
    </w:p>
    <w:p w:rsidR="00C220C4" w:rsidRDefault="00C220C4" w:rsidP="00C220C4">
      <w:r>
        <w:t>Uranium activity concentration is highest in pit dewatering bore MBL. An activity concentration of almost 2 Bq L</w:t>
      </w:r>
      <w:r w:rsidRPr="00BB3417">
        <w:rPr>
          <w:snapToGrid w:val="0"/>
          <w:color w:val="000000"/>
          <w:position w:val="5"/>
          <w:sz w:val="15"/>
          <w:szCs w:val="0"/>
          <w:u w:color="000000"/>
        </w:rPr>
        <w:t>-1</w:t>
      </w:r>
      <w:r>
        <w:t xml:space="preserve"> was measured in this bore in 2003 indicative of seepage from tailings stored in the pit (data not shown in Figure 29). The next highest </w:t>
      </w:r>
      <w:r w:rsidRPr="00090425">
        <w:rPr>
          <w:snapToGrid w:val="0"/>
          <w:color w:val="000000"/>
          <w:position w:val="5"/>
          <w:sz w:val="15"/>
          <w:szCs w:val="0"/>
          <w:u w:color="000000"/>
        </w:rPr>
        <w:t>238</w:t>
      </w:r>
      <w:r>
        <w:t xml:space="preserve">U activity concentration was measured in bore OB30 but </w:t>
      </w:r>
      <w:r w:rsidRPr="00090425">
        <w:rPr>
          <w:snapToGrid w:val="0"/>
          <w:color w:val="000000"/>
          <w:position w:val="5"/>
          <w:sz w:val="15"/>
          <w:szCs w:val="0"/>
          <w:u w:color="000000"/>
        </w:rPr>
        <w:t>238</w:t>
      </w:r>
      <w:r>
        <w:t xml:space="preserve">U activity concentration has decreased from 1999 onwards. OB30 exhibits little variability in </w:t>
      </w:r>
      <w:r w:rsidRPr="003F2FFC">
        <w:rPr>
          <w:snapToGrid w:val="0"/>
          <w:color w:val="000000"/>
          <w:position w:val="5"/>
          <w:sz w:val="15"/>
          <w:szCs w:val="0"/>
          <w:u w:color="000000"/>
        </w:rPr>
        <w:t>234</w:t>
      </w:r>
      <w:r>
        <w:t>U/</w:t>
      </w:r>
      <w:r w:rsidRPr="003F2FFC">
        <w:rPr>
          <w:snapToGrid w:val="0"/>
          <w:color w:val="000000"/>
          <w:position w:val="5"/>
          <w:sz w:val="15"/>
          <w:szCs w:val="0"/>
          <w:u w:color="000000"/>
        </w:rPr>
        <w:t>238</w:t>
      </w:r>
      <w:r>
        <w:t xml:space="preserve">U activity ratios, which is close to 1 (1.08 on average) and there is no statistically significant correlation between </w:t>
      </w:r>
      <w:r w:rsidRPr="003F2FFC">
        <w:rPr>
          <w:snapToGrid w:val="0"/>
          <w:color w:val="000000"/>
          <w:position w:val="5"/>
          <w:sz w:val="15"/>
          <w:szCs w:val="0"/>
          <w:u w:color="000000"/>
        </w:rPr>
        <w:t>234</w:t>
      </w:r>
      <w:r>
        <w:t>U/</w:t>
      </w:r>
      <w:r w:rsidRPr="003F2FFC">
        <w:rPr>
          <w:snapToGrid w:val="0"/>
          <w:color w:val="000000"/>
          <w:position w:val="5"/>
          <w:sz w:val="15"/>
          <w:szCs w:val="0"/>
          <w:u w:color="000000"/>
        </w:rPr>
        <w:t>238</w:t>
      </w:r>
      <w:r>
        <w:t xml:space="preserve">U activity ratios and the inverse of the </w:t>
      </w:r>
      <w:r w:rsidRPr="000154EB">
        <w:rPr>
          <w:snapToGrid w:val="0"/>
          <w:color w:val="000000"/>
          <w:position w:val="5"/>
          <w:sz w:val="15"/>
          <w:szCs w:val="0"/>
          <w:u w:color="000000"/>
        </w:rPr>
        <w:t>238</w:t>
      </w:r>
      <w:r>
        <w:t xml:space="preserve">U activity concentration in either OB30 or OB27. </w:t>
      </w:r>
    </w:p>
    <w:p w:rsidR="00C220C4" w:rsidRPr="00FC1E8B" w:rsidRDefault="00C220C4" w:rsidP="00C220C4">
      <w:r>
        <w:t xml:space="preserve">Activity concentrations of </w:t>
      </w:r>
      <w:r w:rsidRPr="005535F1">
        <w:rPr>
          <w:snapToGrid w:val="0"/>
          <w:color w:val="000000"/>
          <w:position w:val="5"/>
          <w:sz w:val="15"/>
          <w:szCs w:val="0"/>
          <w:u w:color="000000"/>
        </w:rPr>
        <w:t>238</w:t>
      </w:r>
      <w:r>
        <w:t>U in bore OB27 are below 10 mBq L</w:t>
      </w:r>
      <w:r w:rsidRPr="00BB3417">
        <w:rPr>
          <w:snapToGrid w:val="0"/>
          <w:color w:val="000000"/>
          <w:position w:val="5"/>
          <w:sz w:val="15"/>
          <w:szCs w:val="0"/>
          <w:u w:color="000000"/>
        </w:rPr>
        <w:t>-1</w:t>
      </w:r>
      <w:r>
        <w:t xml:space="preserve">. </w:t>
      </w:r>
      <w:r w:rsidRPr="00D36E2E">
        <w:rPr>
          <w:snapToGrid w:val="0"/>
          <w:color w:val="000000"/>
          <w:position w:val="5"/>
          <w:sz w:val="15"/>
          <w:szCs w:val="0"/>
          <w:u w:color="000000"/>
        </w:rPr>
        <w:t>226</w:t>
      </w:r>
      <w:r>
        <w:t xml:space="preserve">Ra activity concentrations in this bore are higher than in OB30, highlighting the different geochemical characteristics of the uranium and radium radioisotopes in groundwater. </w:t>
      </w:r>
    </w:p>
    <w:p w:rsidR="00C220C4" w:rsidRDefault="00C220C4" w:rsidP="00C220C4">
      <w:r>
        <w:rPr>
          <w:noProof/>
          <w:lang w:eastAsia="en-AU"/>
        </w:rPr>
        <w:drawing>
          <wp:inline distT="0" distB="0" distL="0" distR="0">
            <wp:extent cx="5271770" cy="3975735"/>
            <wp:effectExtent l="1905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email"/>
                    <a:srcRect/>
                    <a:stretch>
                      <a:fillRect/>
                    </a:stretch>
                  </pic:blipFill>
                  <pic:spPr bwMode="auto">
                    <a:xfrm>
                      <a:off x="0" y="0"/>
                      <a:ext cx="5271770" cy="3975735"/>
                    </a:xfrm>
                    <a:prstGeom prst="rect">
                      <a:avLst/>
                    </a:prstGeom>
                    <a:noFill/>
                    <a:ln w="9525">
                      <a:noFill/>
                      <a:miter lim="800000"/>
                      <a:headEnd/>
                      <a:tailEnd/>
                    </a:ln>
                  </pic:spPr>
                </pic:pic>
              </a:graphicData>
            </a:graphic>
          </wp:inline>
        </w:drawing>
      </w:r>
    </w:p>
    <w:p w:rsidR="00C220C4" w:rsidRPr="00E132E8" w:rsidRDefault="00C220C4" w:rsidP="00C220C4">
      <w:pPr>
        <w:pStyle w:val="figurecaption"/>
      </w:pPr>
      <w:bookmarkStart w:id="181" w:name="_Toc398721517"/>
      <w:r w:rsidRPr="000A3842">
        <w:rPr>
          <w:b/>
        </w:rPr>
        <w:t>Figure 33</w:t>
      </w:r>
      <w:r>
        <w:t xml:space="preserve"> </w:t>
      </w:r>
      <w:r w:rsidRPr="006705CA">
        <w:rPr>
          <w:snapToGrid w:val="0"/>
          <w:color w:val="000000"/>
          <w:position w:val="5"/>
          <w:sz w:val="15"/>
          <w:szCs w:val="0"/>
          <w:u w:color="000000"/>
        </w:rPr>
        <w:t>238</w:t>
      </w:r>
      <w:r>
        <w:t xml:space="preserve">U and </w:t>
      </w:r>
      <w:r w:rsidRPr="006705CA">
        <w:rPr>
          <w:snapToGrid w:val="0"/>
          <w:color w:val="000000"/>
          <w:position w:val="5"/>
          <w:sz w:val="15"/>
          <w:szCs w:val="0"/>
          <w:u w:color="000000"/>
        </w:rPr>
        <w:t>226</w:t>
      </w:r>
      <w:r>
        <w:t>Ra activity concentrations plotted against</w:t>
      </w:r>
      <w:r w:rsidRPr="006705CA">
        <w:t xml:space="preserve"> </w:t>
      </w:r>
      <w:r>
        <w:t xml:space="preserve">sampling date, and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 xml:space="preserve">U activity ratio plotted against sampling date and inverse </w:t>
      </w:r>
      <w:r w:rsidRPr="006705CA">
        <w:rPr>
          <w:snapToGrid w:val="0"/>
          <w:color w:val="000000"/>
          <w:position w:val="5"/>
          <w:sz w:val="15"/>
          <w:szCs w:val="0"/>
          <w:u w:color="000000"/>
        </w:rPr>
        <w:t>238</w:t>
      </w:r>
      <w:r>
        <w:t xml:space="preserve">U activity concentration in bores MBH, MBL OB30, OB28, OB27, RN8708 and C12. Linear fits to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U activity ratio in the inverse concentration plots and associated 95% confidence intervals are shown as well.</w:t>
      </w:r>
      <w:bookmarkEnd w:id="181"/>
    </w:p>
    <w:p w:rsidR="00C220C4" w:rsidRDefault="00C220C4" w:rsidP="00C220C4">
      <w:pPr>
        <w:pStyle w:val="Heading3"/>
      </w:pPr>
      <w:bookmarkStart w:id="182" w:name="_Toc398721722"/>
      <w:bookmarkStart w:id="183" w:name="_Toc411850552"/>
      <w:bookmarkStart w:id="184" w:name="_Toc413230066"/>
      <w:r>
        <w:t>3.7 Bores in the RP2 and Pit 3 area</w:t>
      </w:r>
      <w:bookmarkEnd w:id="182"/>
      <w:bookmarkEnd w:id="183"/>
      <w:bookmarkEnd w:id="184"/>
    </w:p>
    <w:p w:rsidR="00C220C4" w:rsidRPr="007C0BFC" w:rsidRDefault="00C220C4" w:rsidP="00C220C4">
      <w:r>
        <w:t xml:space="preserve">Three bores were investigated over the years from this area. Only bore OB29 has metal and major ion data available. Some radionuclide data exist for R.P. 79/1 and R.P 79/2, which were investigated by </w:t>
      </w:r>
      <w:r w:rsidRPr="008B6579">
        <w:rPr>
          <w:b/>
          <w:i/>
          <w:sz w:val="28"/>
          <w:szCs w:val="28"/>
        </w:rPr>
        <w:t>eriss</w:t>
      </w:r>
      <w:r>
        <w:t xml:space="preserve"> in the late 80s to mid 90s. Whereas bore 79/2 in the RP2 area is still active, bore 79/1 is most likely buried. OB29 is no longer sampled.</w:t>
      </w:r>
    </w:p>
    <w:p w:rsidR="00C220C4" w:rsidRDefault="00C220C4" w:rsidP="00C220C4">
      <w:pPr>
        <w:pStyle w:val="Heading4"/>
      </w:pPr>
      <w:bookmarkStart w:id="185" w:name="_Toc398721723"/>
      <w:bookmarkStart w:id="186" w:name="_Toc411850553"/>
      <w:r>
        <w:t>3.7.1 Major constituents</w:t>
      </w:r>
      <w:bookmarkEnd w:id="185"/>
      <w:bookmarkEnd w:id="186"/>
    </w:p>
    <w:p w:rsidR="00C220C4" w:rsidRDefault="00C220C4" w:rsidP="00C220C4">
      <w:r>
        <w:t>Figure 34 shows the results of measurements of major constituents (cations Ca, Na, Mg and K; anion: SO</w:t>
      </w:r>
      <w:r w:rsidRPr="00212D3C">
        <w:rPr>
          <w:snapToGrid w:val="0"/>
          <w:color w:val="000000"/>
          <w:position w:val="-5"/>
          <w:sz w:val="15"/>
          <w:szCs w:val="0"/>
          <w:u w:color="000000"/>
        </w:rPr>
        <w:t>4</w:t>
      </w:r>
      <w:r>
        <w:t xml:space="preserve">) in water from bore OB29 situated to the north of RP2. </w:t>
      </w:r>
    </w:p>
    <w:p w:rsidR="00C220C4" w:rsidRDefault="00C220C4" w:rsidP="00C220C4">
      <w:r>
        <w:t>Bore OB29 is dominated by Mg, with concentrations of 90-100 mg∙L</w:t>
      </w:r>
      <w:r w:rsidRPr="005C31EB">
        <w:rPr>
          <w:snapToGrid w:val="0"/>
          <w:color w:val="000000"/>
          <w:position w:val="5"/>
          <w:sz w:val="15"/>
          <w:szCs w:val="0"/>
          <w:u w:color="000000"/>
        </w:rPr>
        <w:t>-1</w:t>
      </w:r>
      <w:r>
        <w:t>. The concentrations of Na and Mg are 6-10 mg∙L</w:t>
      </w:r>
      <w:r w:rsidRPr="005C31EB">
        <w:rPr>
          <w:snapToGrid w:val="0"/>
          <w:color w:val="000000"/>
          <w:position w:val="5"/>
          <w:sz w:val="15"/>
          <w:szCs w:val="0"/>
          <w:u w:color="000000"/>
        </w:rPr>
        <w:t>-1</w:t>
      </w:r>
      <w:r>
        <w:t>, K concentrations are generally below 5 mg∙L</w:t>
      </w:r>
      <w:r w:rsidRPr="005C31EB">
        <w:rPr>
          <w:snapToGrid w:val="0"/>
          <w:color w:val="000000"/>
          <w:position w:val="5"/>
          <w:sz w:val="15"/>
          <w:szCs w:val="0"/>
          <w:u w:color="000000"/>
        </w:rPr>
        <w:t>-1</w:t>
      </w:r>
      <w:r>
        <w:t xml:space="preserve">. Sulfate concentrations in 2002 were high </w:t>
      </w:r>
      <w:proofErr w:type="gramStart"/>
      <w:r>
        <w:t>at 47 mg∙L</w:t>
      </w:r>
      <w:r w:rsidRPr="005C31EB">
        <w:rPr>
          <w:snapToGrid w:val="0"/>
          <w:color w:val="000000"/>
          <w:position w:val="5"/>
          <w:sz w:val="15"/>
          <w:szCs w:val="0"/>
          <w:u w:color="000000"/>
        </w:rPr>
        <w:t>-1</w:t>
      </w:r>
      <w:proofErr w:type="gramEnd"/>
      <w:r>
        <w:t>.</w:t>
      </w:r>
    </w:p>
    <w:p w:rsidR="00C220C4" w:rsidRDefault="00C220C4" w:rsidP="00C220C4">
      <w:r>
        <w:rPr>
          <w:noProof/>
          <w:lang w:eastAsia="en-AU"/>
        </w:rPr>
        <w:drawing>
          <wp:inline distT="0" distB="0" distL="0" distR="0">
            <wp:extent cx="5263515" cy="580453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email"/>
                    <a:srcRect/>
                    <a:stretch>
                      <a:fillRect/>
                    </a:stretch>
                  </pic:blipFill>
                  <pic:spPr bwMode="auto">
                    <a:xfrm>
                      <a:off x="0" y="0"/>
                      <a:ext cx="5263515" cy="580453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87" w:name="_Toc398721518"/>
      <w:r w:rsidRPr="000A3842">
        <w:rPr>
          <w:b/>
        </w:rPr>
        <w:t>Figure 34</w:t>
      </w:r>
      <w:r>
        <w:t xml:space="preserve"> Major constituent concentrations plotted against</w:t>
      </w:r>
      <w:r w:rsidRPr="006705CA">
        <w:t xml:space="preserve"> </w:t>
      </w:r>
      <w:r>
        <w:t>sampling date in bore OB29.</w:t>
      </w:r>
      <w:bookmarkEnd w:id="187"/>
    </w:p>
    <w:p w:rsidR="00C220C4" w:rsidRDefault="00C220C4" w:rsidP="00C220C4">
      <w:pPr>
        <w:pStyle w:val="Heading4"/>
      </w:pPr>
    </w:p>
    <w:p w:rsidR="00C220C4" w:rsidRDefault="00C220C4" w:rsidP="00C220C4">
      <w:pPr>
        <w:pStyle w:val="Heading4"/>
      </w:pPr>
      <w:bookmarkStart w:id="188" w:name="_Toc398721724"/>
      <w:bookmarkStart w:id="189" w:name="_Toc411850554"/>
      <w:r>
        <w:t>3.7.2 Metals</w:t>
      </w:r>
      <w:bookmarkEnd w:id="188"/>
      <w:bookmarkEnd w:id="189"/>
    </w:p>
    <w:p w:rsidR="00C220C4" w:rsidRDefault="00C220C4" w:rsidP="00C220C4">
      <w:r>
        <w:t xml:space="preserve">Concentrations of Fe, Mn, Ba, Sr and U in bore OB29 are shown in Figure 35. There is a distinct increase of Fe, Mn and U concentrations in OB29 observed in 2002. ERA reported that the groundwater level in this bore has dropped significantly between 1999 and 2001. Reasons for this drop in the groundwater level were developments of pit 3 further to the south and east that took place during that period (ERA 2001). It is likely that the increase in Fe, Mn and U in this bore is associated with an increase in seepage of water from RP2 in this bore associated with observed flow of groundwater into pit 3. This is also indicated by the high </w:t>
      </w:r>
      <w:r w:rsidR="00D24DD5">
        <w:t>sulfate</w:t>
      </w:r>
      <w:r>
        <w:t xml:space="preserve"> concentrations measured in 2002.</w:t>
      </w:r>
    </w:p>
    <w:p w:rsidR="00C220C4" w:rsidRPr="00AF434D" w:rsidRDefault="00C220C4" w:rsidP="00C220C4"/>
    <w:p w:rsidR="00C220C4" w:rsidRDefault="00C220C4" w:rsidP="00C220C4">
      <w:r>
        <w:rPr>
          <w:noProof/>
          <w:lang w:eastAsia="en-AU"/>
        </w:rPr>
        <w:drawing>
          <wp:inline distT="0" distB="0" distL="0" distR="0">
            <wp:extent cx="5271770" cy="5931535"/>
            <wp:effectExtent l="1905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email"/>
                    <a:srcRect/>
                    <a:stretch>
                      <a:fillRect/>
                    </a:stretch>
                  </pic:blipFill>
                  <pic:spPr bwMode="auto">
                    <a:xfrm>
                      <a:off x="0" y="0"/>
                      <a:ext cx="5271770" cy="593153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90" w:name="_Toc398721519"/>
      <w:r w:rsidRPr="000A3842">
        <w:rPr>
          <w:b/>
        </w:rPr>
        <w:t>Figure 35</w:t>
      </w:r>
      <w:r>
        <w:t xml:space="preserve"> Metal concentrations plotted against</w:t>
      </w:r>
      <w:r w:rsidRPr="006705CA">
        <w:t xml:space="preserve"> </w:t>
      </w:r>
      <w:r>
        <w:t>sampling date in bores OB29. The blue dotted lines indicate the Australian drinking water quality guidelines (NHMRC 2011).</w:t>
      </w:r>
      <w:bookmarkEnd w:id="190"/>
    </w:p>
    <w:p w:rsidR="00C220C4" w:rsidRPr="00F17A9D" w:rsidRDefault="00C220C4" w:rsidP="00C220C4"/>
    <w:p w:rsidR="00C220C4" w:rsidRDefault="00C220C4" w:rsidP="00C220C4">
      <w:pPr>
        <w:pStyle w:val="Heading4"/>
      </w:pPr>
      <w:bookmarkStart w:id="191" w:name="_Toc398721725"/>
      <w:bookmarkStart w:id="192" w:name="_Toc411850555"/>
      <w:r>
        <w:t>3.7.3 Radionuclides</w:t>
      </w:r>
      <w:bookmarkEnd w:id="191"/>
      <w:bookmarkEnd w:id="192"/>
    </w:p>
    <w:p w:rsidR="00C220C4" w:rsidRDefault="00C220C4" w:rsidP="00C220C4">
      <w:r>
        <w:t xml:space="preserve">Results of radionuclide analyses are shown in Figure 36. Activity concentrations of </w:t>
      </w:r>
      <w:r w:rsidRPr="00451C07">
        <w:rPr>
          <w:snapToGrid w:val="0"/>
          <w:color w:val="000000"/>
          <w:position w:val="5"/>
          <w:sz w:val="15"/>
          <w:szCs w:val="0"/>
          <w:u w:color="000000"/>
        </w:rPr>
        <w:t>238</w:t>
      </w:r>
      <w:r>
        <w:t xml:space="preserve">U measured via alpha spectrometry agree well with measurements performed using ICPMS. The activity concentrations of </w:t>
      </w:r>
      <w:r w:rsidRPr="00451C07">
        <w:rPr>
          <w:snapToGrid w:val="0"/>
          <w:color w:val="000000"/>
          <w:position w:val="5"/>
          <w:sz w:val="15"/>
          <w:szCs w:val="0"/>
          <w:u w:color="000000"/>
        </w:rPr>
        <w:t>238</w:t>
      </w:r>
      <w:r>
        <w:t xml:space="preserve">U in bores OB29 and RP 79/1 between 1989 and 2001 ranged from 30 </w:t>
      </w:r>
      <w:proofErr w:type="gramStart"/>
      <w:r>
        <w:t>to about 180 mBq∙L</w:t>
      </w:r>
      <w:r w:rsidRPr="008E405E">
        <w:rPr>
          <w:snapToGrid w:val="0"/>
          <w:color w:val="000000"/>
          <w:position w:val="5"/>
          <w:sz w:val="15"/>
          <w:szCs w:val="0"/>
          <w:u w:color="000000"/>
        </w:rPr>
        <w:t>-1</w:t>
      </w:r>
      <w:proofErr w:type="gramEnd"/>
      <w:r>
        <w:t xml:space="preserve">. In 2002, the </w:t>
      </w:r>
      <w:r w:rsidRPr="00451C07">
        <w:rPr>
          <w:snapToGrid w:val="0"/>
          <w:color w:val="000000"/>
          <w:position w:val="5"/>
          <w:sz w:val="15"/>
          <w:szCs w:val="0"/>
          <w:u w:color="000000"/>
        </w:rPr>
        <w:t>238</w:t>
      </w:r>
      <w:r>
        <w:t xml:space="preserve">U activity concentration increased. This increase coincides with an increase in the activity concentration of </w:t>
      </w:r>
      <w:r w:rsidRPr="00645DA1">
        <w:rPr>
          <w:snapToGrid w:val="0"/>
          <w:color w:val="000000"/>
          <w:position w:val="5"/>
          <w:sz w:val="15"/>
          <w:szCs w:val="0"/>
          <w:u w:color="000000"/>
        </w:rPr>
        <w:t>226</w:t>
      </w:r>
      <w:r>
        <w:t xml:space="preserve">Ra. At the same time a decrease in the </w:t>
      </w:r>
      <w:r w:rsidRPr="00645DA1">
        <w:rPr>
          <w:snapToGrid w:val="0"/>
          <w:color w:val="000000"/>
          <w:position w:val="5"/>
          <w:sz w:val="15"/>
          <w:szCs w:val="0"/>
          <w:u w:color="000000"/>
        </w:rPr>
        <w:t>234</w:t>
      </w:r>
      <w:r>
        <w:t>U/</w:t>
      </w:r>
      <w:r w:rsidRPr="00645DA1">
        <w:rPr>
          <w:snapToGrid w:val="0"/>
          <w:color w:val="000000"/>
          <w:position w:val="5"/>
          <w:sz w:val="15"/>
          <w:szCs w:val="0"/>
          <w:u w:color="000000"/>
        </w:rPr>
        <w:t>238</w:t>
      </w:r>
      <w:r>
        <w:t>U activity ratio to a value of 1.11 can be seen.</w:t>
      </w:r>
    </w:p>
    <w:p w:rsidR="00C220C4" w:rsidRPr="00451C07" w:rsidRDefault="00C220C4" w:rsidP="00C220C4">
      <w:r>
        <w:t xml:space="preserve">Although there is a linear correlation of the </w:t>
      </w:r>
      <w:r w:rsidRPr="00645DA1">
        <w:rPr>
          <w:snapToGrid w:val="0"/>
          <w:color w:val="000000"/>
          <w:position w:val="5"/>
          <w:sz w:val="15"/>
          <w:szCs w:val="0"/>
          <w:u w:color="000000"/>
        </w:rPr>
        <w:t>234</w:t>
      </w:r>
      <w:r>
        <w:t>U/</w:t>
      </w:r>
      <w:r w:rsidRPr="00645DA1">
        <w:rPr>
          <w:snapToGrid w:val="0"/>
          <w:color w:val="000000"/>
          <w:position w:val="5"/>
          <w:sz w:val="15"/>
          <w:szCs w:val="0"/>
          <w:u w:color="000000"/>
        </w:rPr>
        <w:t>238</w:t>
      </w:r>
      <w:r>
        <w:t xml:space="preserve">U activity ratio with the inverse of the </w:t>
      </w:r>
      <w:r w:rsidRPr="00451C07">
        <w:rPr>
          <w:snapToGrid w:val="0"/>
          <w:color w:val="000000"/>
          <w:position w:val="5"/>
          <w:sz w:val="15"/>
          <w:szCs w:val="0"/>
          <w:u w:color="000000"/>
        </w:rPr>
        <w:t>238</w:t>
      </w:r>
      <w:r>
        <w:t>U activity concentration in bore OB29, the decrease is not statistically significant (p = 0.11). Nonetheless it is likely that this bore has been affected by seepage of water from RP2, due to further developments of Pit 3 to the south and east during that time. Bore OB29 is no longer sampled.</w:t>
      </w:r>
    </w:p>
    <w:p w:rsidR="00C220C4" w:rsidRDefault="00C220C4" w:rsidP="00C220C4">
      <w:r>
        <w:rPr>
          <w:noProof/>
          <w:lang w:eastAsia="en-AU"/>
        </w:rPr>
        <w:drawing>
          <wp:inline distT="0" distB="0" distL="0" distR="0">
            <wp:extent cx="5271770" cy="3951605"/>
            <wp:effectExtent l="1905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email"/>
                    <a:srcRect/>
                    <a:stretch>
                      <a:fillRect/>
                    </a:stretch>
                  </pic:blipFill>
                  <pic:spPr bwMode="auto">
                    <a:xfrm>
                      <a:off x="0" y="0"/>
                      <a:ext cx="5271770" cy="3951605"/>
                    </a:xfrm>
                    <a:prstGeom prst="rect">
                      <a:avLst/>
                    </a:prstGeom>
                    <a:noFill/>
                    <a:ln w="9525">
                      <a:noFill/>
                      <a:miter lim="800000"/>
                      <a:headEnd/>
                      <a:tailEnd/>
                    </a:ln>
                  </pic:spPr>
                </pic:pic>
              </a:graphicData>
            </a:graphic>
          </wp:inline>
        </w:drawing>
      </w:r>
    </w:p>
    <w:p w:rsidR="00C220C4" w:rsidRDefault="00C220C4" w:rsidP="00C220C4">
      <w:pPr>
        <w:pStyle w:val="figurecaption"/>
      </w:pPr>
      <w:bookmarkStart w:id="193" w:name="_Toc398721520"/>
      <w:r w:rsidRPr="000A3842">
        <w:rPr>
          <w:b/>
        </w:rPr>
        <w:t>Figure 36</w:t>
      </w:r>
      <w:r>
        <w:t xml:space="preserve"> </w:t>
      </w:r>
      <w:r w:rsidRPr="006705CA">
        <w:rPr>
          <w:snapToGrid w:val="0"/>
          <w:color w:val="000000"/>
          <w:position w:val="5"/>
          <w:sz w:val="15"/>
          <w:szCs w:val="0"/>
          <w:u w:color="000000"/>
        </w:rPr>
        <w:t>238</w:t>
      </w:r>
      <w:r>
        <w:t xml:space="preserve">U and </w:t>
      </w:r>
      <w:r w:rsidRPr="006705CA">
        <w:rPr>
          <w:snapToGrid w:val="0"/>
          <w:color w:val="000000"/>
          <w:position w:val="5"/>
          <w:sz w:val="15"/>
          <w:szCs w:val="0"/>
          <w:u w:color="000000"/>
        </w:rPr>
        <w:t>226</w:t>
      </w:r>
      <w:r>
        <w:t>Ra activity concentrations plotted against</w:t>
      </w:r>
      <w:r w:rsidRPr="006705CA">
        <w:t xml:space="preserve"> </w:t>
      </w:r>
      <w:r>
        <w:t xml:space="preserve">sampling date, and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 xml:space="preserve">U activity ratio plotted against sampling date and inverse </w:t>
      </w:r>
      <w:r w:rsidRPr="006705CA">
        <w:rPr>
          <w:snapToGrid w:val="0"/>
          <w:color w:val="000000"/>
          <w:position w:val="5"/>
          <w:sz w:val="15"/>
          <w:szCs w:val="0"/>
          <w:u w:color="000000"/>
        </w:rPr>
        <w:t>238</w:t>
      </w:r>
      <w:r>
        <w:t>U activity concentration in bores OB29, R.P.79/1 and R.P.79/2.</w:t>
      </w:r>
      <w:r w:rsidRPr="001E1907">
        <w:t xml:space="preserve"> </w:t>
      </w:r>
      <w:r>
        <w:t xml:space="preserve">A linear fit to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U activity ratio in the inverse concentration plot for OB29 and the associated 95% confidence interval is shown as well.</w:t>
      </w:r>
      <w:bookmarkEnd w:id="193"/>
    </w:p>
    <w:p w:rsidR="00C220C4" w:rsidRDefault="00C220C4" w:rsidP="00C220C4">
      <w:pPr>
        <w:pStyle w:val="Heading3"/>
      </w:pPr>
      <w:bookmarkStart w:id="194" w:name="_Toc398721726"/>
      <w:bookmarkStart w:id="195" w:name="_Toc411850556"/>
      <w:bookmarkStart w:id="196" w:name="_Toc413230067"/>
      <w:r>
        <w:t>3.8 Bores in the Djalkmarra Billabong and Magela Creek area</w:t>
      </w:r>
      <w:bookmarkEnd w:id="194"/>
      <w:bookmarkEnd w:id="195"/>
      <w:bookmarkEnd w:id="196"/>
    </w:p>
    <w:p w:rsidR="00C220C4" w:rsidRDefault="00C220C4" w:rsidP="00C220C4">
      <w:pPr>
        <w:pStyle w:val="Heading4"/>
      </w:pPr>
      <w:bookmarkStart w:id="197" w:name="_Toc398721727"/>
      <w:bookmarkStart w:id="198" w:name="_Toc411850557"/>
      <w:r>
        <w:t>3.8.1 Major constituents</w:t>
      </w:r>
      <w:bookmarkEnd w:id="197"/>
      <w:bookmarkEnd w:id="198"/>
    </w:p>
    <w:p w:rsidR="00C220C4" w:rsidRDefault="00C220C4" w:rsidP="00C220C4">
      <w:r>
        <w:t>Figure 37 shows the results of measurements of major constituents (cations: Ca, Na, Mg and K; anion: SO</w:t>
      </w:r>
      <w:r w:rsidRPr="00212D3C">
        <w:rPr>
          <w:snapToGrid w:val="0"/>
          <w:color w:val="000000"/>
          <w:position w:val="-5"/>
          <w:sz w:val="15"/>
          <w:szCs w:val="0"/>
          <w:u w:color="000000"/>
        </w:rPr>
        <w:t>4</w:t>
      </w:r>
      <w:r>
        <w:t>) in bore water collected from bores</w:t>
      </w:r>
      <w:r w:rsidR="00A553BE">
        <w:t xml:space="preserve"> </w:t>
      </w:r>
      <w:r>
        <w:t xml:space="preserve">situated </w:t>
      </w:r>
      <w:r w:rsidRPr="007C0BFC">
        <w:t xml:space="preserve">in the </w:t>
      </w:r>
      <w:r>
        <w:t xml:space="preserve">Djalkmarra Billabong and Magela Creek area. </w:t>
      </w:r>
    </w:p>
    <w:p w:rsidR="00C220C4" w:rsidRDefault="00C220C4" w:rsidP="00C220C4">
      <w:r>
        <w:t xml:space="preserve">Only bore 83_1 has a time series that extends over the past 10 years. Results from other bores are sporadic, bores RN23562 and RN22211 (which is no longer active) have data available from the last 5 years, starting in 2008. </w:t>
      </w:r>
    </w:p>
    <w:p w:rsidR="00C220C4" w:rsidRDefault="00C220C4" w:rsidP="00C220C4">
      <w:r>
        <w:t xml:space="preserve">Bore 83_1 is a deep (0-90 m) statutory bore of ERA and is located at the edge of the Magela Land Application Area. It shows seasonal variability in major ion concentrations, with lower concentrations generally measured during and at the end of the wet season. The concentrations measured by </w:t>
      </w:r>
      <w:r w:rsidRPr="008B6579">
        <w:rPr>
          <w:b/>
          <w:i/>
          <w:sz w:val="28"/>
          <w:szCs w:val="28"/>
        </w:rPr>
        <w:t>eriss</w:t>
      </w:r>
      <w:r>
        <w:t xml:space="preserve"> in samples collected at the end of the dry season are in good agreement with those reported by ERA (ERA 2012).</w:t>
      </w:r>
    </w:p>
    <w:p w:rsidR="00C220C4" w:rsidRDefault="00C220C4" w:rsidP="00C220C4">
      <w:r>
        <w:t>Bore 83_1 is dominated by Na, Ca and Mg, with concentrations around 4-10 mg∙L</w:t>
      </w:r>
      <w:r w:rsidRPr="00A52ADB">
        <w:rPr>
          <w:snapToGrid w:val="0"/>
          <w:color w:val="000000"/>
          <w:position w:val="5"/>
          <w:sz w:val="15"/>
          <w:szCs w:val="0"/>
          <w:u w:color="000000"/>
        </w:rPr>
        <w:t>-1</w:t>
      </w:r>
      <w:r>
        <w:t>. The concentrations of K are around 1 mg∙L</w:t>
      </w:r>
      <w:r w:rsidRPr="00A52ADB">
        <w:rPr>
          <w:snapToGrid w:val="0"/>
          <w:color w:val="000000"/>
          <w:position w:val="5"/>
          <w:sz w:val="15"/>
          <w:szCs w:val="0"/>
          <w:u w:color="000000"/>
        </w:rPr>
        <w:t>-1</w:t>
      </w:r>
      <w:r>
        <w:t>. Cation concentrations are generally lower in bores RN23562 and RN22211.</w:t>
      </w:r>
    </w:p>
    <w:p w:rsidR="00C220C4" w:rsidRDefault="00C220C4" w:rsidP="00C220C4">
      <w:r>
        <w:rPr>
          <w:noProof/>
          <w:lang w:eastAsia="en-AU"/>
        </w:rPr>
        <w:drawing>
          <wp:inline distT="0" distB="0" distL="0" distR="0">
            <wp:extent cx="5271770" cy="6066790"/>
            <wp:effectExtent l="1905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email"/>
                    <a:srcRect/>
                    <a:stretch>
                      <a:fillRect/>
                    </a:stretch>
                  </pic:blipFill>
                  <pic:spPr bwMode="auto">
                    <a:xfrm>
                      <a:off x="0" y="0"/>
                      <a:ext cx="5271770" cy="6066790"/>
                    </a:xfrm>
                    <a:prstGeom prst="rect">
                      <a:avLst/>
                    </a:prstGeom>
                    <a:noFill/>
                    <a:ln w="9525">
                      <a:noFill/>
                      <a:miter lim="800000"/>
                      <a:headEnd/>
                      <a:tailEnd/>
                    </a:ln>
                  </pic:spPr>
                </pic:pic>
              </a:graphicData>
            </a:graphic>
          </wp:inline>
        </w:drawing>
      </w:r>
    </w:p>
    <w:p w:rsidR="00C220C4" w:rsidRDefault="00C220C4" w:rsidP="00C220C4">
      <w:pPr>
        <w:pStyle w:val="figurecaption"/>
      </w:pPr>
      <w:bookmarkStart w:id="199" w:name="_Toc398721521"/>
      <w:r w:rsidRPr="000A3842">
        <w:rPr>
          <w:b/>
        </w:rPr>
        <w:t>Figure 37</w:t>
      </w:r>
      <w:r>
        <w:t xml:space="preserve"> Major constituent concentrations plotted against</w:t>
      </w:r>
      <w:r w:rsidRPr="006705CA">
        <w:t xml:space="preserve"> </w:t>
      </w:r>
      <w:r>
        <w:t>sampling date in bores MC24, MC27, 83_1, RN23566, RN22211 and Magela Ck 11/80.</w:t>
      </w:r>
      <w:bookmarkEnd w:id="199"/>
    </w:p>
    <w:p w:rsidR="00C220C4" w:rsidRPr="00E132E8" w:rsidRDefault="00C220C4" w:rsidP="00C220C4"/>
    <w:p w:rsidR="00C220C4" w:rsidRDefault="00C220C4" w:rsidP="00C220C4">
      <w:pPr>
        <w:pStyle w:val="Heading4"/>
      </w:pPr>
      <w:bookmarkStart w:id="200" w:name="_Toc398721728"/>
      <w:bookmarkStart w:id="201" w:name="_Toc411850558"/>
      <w:r>
        <w:t>3.8.2 Metals</w:t>
      </w:r>
      <w:bookmarkEnd w:id="200"/>
      <w:bookmarkEnd w:id="201"/>
    </w:p>
    <w:p w:rsidR="00C220C4" w:rsidRDefault="00C220C4" w:rsidP="00C220C4">
      <w:r>
        <w:t xml:space="preserve">Results of metal analyses are shown in </w:t>
      </w:r>
      <w:r w:rsidR="005D186A">
        <w:t xml:space="preserve">figure </w:t>
      </w:r>
      <w:r>
        <w:t>38.The levels of Mn and U in bore 83_1 are in good agreement with those reported by ERA for this bore (ERA 2012). Uranium concentrations were highest in 2003 but seem to have decreased since. In 2010 U shows another maximum, in agreement with the levels published in ERA (2012) for this period.</w:t>
      </w:r>
    </w:p>
    <w:p w:rsidR="00C220C4" w:rsidRDefault="00C220C4" w:rsidP="00C220C4">
      <w:r>
        <w:t xml:space="preserve">Bore RN23562 shows concentrations of Mn and U comparable to concentrations in bore 83_1. In contrast, Mn concentration is higher in bore RN22211, whereas U concentration is much lower. </w:t>
      </w:r>
    </w:p>
    <w:p w:rsidR="00C220C4" w:rsidRDefault="00C220C4" w:rsidP="00C220C4"/>
    <w:p w:rsidR="00C220C4" w:rsidRDefault="00C220C4" w:rsidP="00C220C4">
      <w:r>
        <w:rPr>
          <w:noProof/>
          <w:lang w:eastAsia="en-AU"/>
        </w:rPr>
        <w:drawing>
          <wp:inline distT="0" distB="0" distL="0" distR="0">
            <wp:extent cx="5271770" cy="5892165"/>
            <wp:effectExtent l="1905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email"/>
                    <a:srcRect/>
                    <a:stretch>
                      <a:fillRect/>
                    </a:stretch>
                  </pic:blipFill>
                  <pic:spPr bwMode="auto">
                    <a:xfrm>
                      <a:off x="0" y="0"/>
                      <a:ext cx="5271770" cy="5892165"/>
                    </a:xfrm>
                    <a:prstGeom prst="rect">
                      <a:avLst/>
                    </a:prstGeom>
                    <a:noFill/>
                    <a:ln w="9525">
                      <a:noFill/>
                      <a:miter lim="800000"/>
                      <a:headEnd/>
                      <a:tailEnd/>
                    </a:ln>
                  </pic:spPr>
                </pic:pic>
              </a:graphicData>
            </a:graphic>
          </wp:inline>
        </w:drawing>
      </w:r>
    </w:p>
    <w:p w:rsidR="00C220C4" w:rsidRDefault="00C220C4" w:rsidP="00C220C4">
      <w:pPr>
        <w:pStyle w:val="figurecaption"/>
      </w:pPr>
      <w:bookmarkStart w:id="202" w:name="_Toc398721522"/>
      <w:r w:rsidRPr="000A3842">
        <w:rPr>
          <w:b/>
        </w:rPr>
        <w:t>Figure 38</w:t>
      </w:r>
      <w:r>
        <w:t xml:space="preserve"> Metal concentrations plotted against</w:t>
      </w:r>
      <w:r w:rsidRPr="006705CA">
        <w:t xml:space="preserve"> </w:t>
      </w:r>
      <w:r>
        <w:t>sampling date in bores MC24, MC27, 83_1, RN23566, RN22211 and Magela Ck 11/80. The blue dotted lines indicate the Australian drinking water quality guidelines (NHMRC 2011).</w:t>
      </w:r>
      <w:bookmarkEnd w:id="202"/>
    </w:p>
    <w:p w:rsidR="00C220C4" w:rsidRPr="00B54452" w:rsidRDefault="00C220C4" w:rsidP="00C220C4"/>
    <w:p w:rsidR="00C220C4" w:rsidRDefault="00C220C4" w:rsidP="00C220C4">
      <w:pPr>
        <w:pStyle w:val="Heading4"/>
      </w:pPr>
      <w:bookmarkStart w:id="203" w:name="_Toc398721729"/>
      <w:bookmarkStart w:id="204" w:name="_Toc411850559"/>
      <w:r>
        <w:t>3.8.3 Radionuclides</w:t>
      </w:r>
      <w:bookmarkEnd w:id="203"/>
      <w:bookmarkEnd w:id="204"/>
    </w:p>
    <w:p w:rsidR="00C220C4" w:rsidRDefault="00C220C4" w:rsidP="00C220C4">
      <w:r>
        <w:t xml:space="preserve">Activity concentrations of </w:t>
      </w:r>
      <w:r w:rsidRPr="00451C07">
        <w:rPr>
          <w:snapToGrid w:val="0"/>
          <w:color w:val="000000"/>
          <w:position w:val="5"/>
          <w:sz w:val="15"/>
          <w:szCs w:val="0"/>
          <w:u w:color="000000"/>
        </w:rPr>
        <w:t>238</w:t>
      </w:r>
      <w:r>
        <w:t xml:space="preserve">U and </w:t>
      </w:r>
      <w:r w:rsidRPr="009F0B78">
        <w:rPr>
          <w:snapToGrid w:val="0"/>
          <w:color w:val="000000"/>
          <w:position w:val="5"/>
          <w:sz w:val="15"/>
          <w:szCs w:val="0"/>
          <w:u w:color="000000"/>
        </w:rPr>
        <w:t>226</w:t>
      </w:r>
      <w:r>
        <w:t xml:space="preserve">Ra and the </w:t>
      </w:r>
      <w:r w:rsidRPr="00451C07">
        <w:rPr>
          <w:snapToGrid w:val="0"/>
          <w:color w:val="000000"/>
          <w:position w:val="5"/>
          <w:sz w:val="15"/>
          <w:szCs w:val="0"/>
          <w:u w:color="000000"/>
        </w:rPr>
        <w:t>23</w:t>
      </w:r>
      <w:r>
        <w:rPr>
          <w:snapToGrid w:val="0"/>
          <w:color w:val="000000"/>
          <w:position w:val="5"/>
          <w:sz w:val="15"/>
          <w:szCs w:val="0"/>
          <w:u w:color="000000"/>
        </w:rPr>
        <w:t>4</w:t>
      </w:r>
      <w:r>
        <w:t>U/</w:t>
      </w:r>
      <w:r w:rsidRPr="00451C07">
        <w:rPr>
          <w:snapToGrid w:val="0"/>
          <w:color w:val="000000"/>
          <w:position w:val="5"/>
          <w:sz w:val="15"/>
          <w:szCs w:val="0"/>
          <w:u w:color="000000"/>
        </w:rPr>
        <w:t>238</w:t>
      </w:r>
      <w:r>
        <w:t xml:space="preserve">U activity ratios are shown in Figure 39. Generally, </w:t>
      </w:r>
      <w:r w:rsidRPr="00451C07">
        <w:rPr>
          <w:snapToGrid w:val="0"/>
          <w:color w:val="000000"/>
          <w:position w:val="5"/>
          <w:sz w:val="15"/>
          <w:szCs w:val="0"/>
          <w:u w:color="000000"/>
        </w:rPr>
        <w:t>238</w:t>
      </w:r>
      <w:r>
        <w:t xml:space="preserve">U activity concentrations measured via alpha spectrometry agree well with measurements performed using ICPMS. </w:t>
      </w:r>
    </w:p>
    <w:p w:rsidR="00C220C4" w:rsidRDefault="00C220C4" w:rsidP="00C220C4">
      <w:r>
        <w:t xml:space="preserve">The activity concentration of </w:t>
      </w:r>
      <w:r w:rsidRPr="00451C07">
        <w:rPr>
          <w:snapToGrid w:val="0"/>
          <w:color w:val="000000"/>
          <w:position w:val="5"/>
          <w:sz w:val="15"/>
          <w:szCs w:val="0"/>
          <w:u w:color="000000"/>
        </w:rPr>
        <w:t>238</w:t>
      </w:r>
      <w:r>
        <w:t>U in bore 83_1 is low, with a maximum of 23 mBq∙L</w:t>
      </w:r>
      <w:r w:rsidRPr="00F455B6">
        <w:rPr>
          <w:snapToGrid w:val="0"/>
          <w:color w:val="000000"/>
          <w:position w:val="5"/>
          <w:sz w:val="15"/>
          <w:szCs w:val="0"/>
          <w:u w:color="000000"/>
        </w:rPr>
        <w:t>-1</w:t>
      </w:r>
      <w:r>
        <w:t xml:space="preserve"> measured in 2003, and values between 3-7 mBq∙L</w:t>
      </w:r>
      <w:r w:rsidRPr="00F455B6">
        <w:rPr>
          <w:snapToGrid w:val="0"/>
          <w:color w:val="000000"/>
          <w:position w:val="5"/>
          <w:sz w:val="15"/>
          <w:szCs w:val="0"/>
          <w:u w:color="000000"/>
        </w:rPr>
        <w:t>-1</w:t>
      </w:r>
      <w:r>
        <w:t xml:space="preserve"> since 2004.</w:t>
      </w:r>
      <w:r w:rsidRPr="007F26FF">
        <w:t xml:space="preserve"> </w:t>
      </w:r>
      <w:r>
        <w:t xml:space="preserve">It appears that higher </w:t>
      </w:r>
      <w:r w:rsidRPr="00451C07">
        <w:rPr>
          <w:snapToGrid w:val="0"/>
          <w:color w:val="000000"/>
          <w:position w:val="5"/>
          <w:sz w:val="15"/>
          <w:szCs w:val="0"/>
          <w:u w:color="000000"/>
        </w:rPr>
        <w:t>238</w:t>
      </w:r>
      <w:r>
        <w:t xml:space="preserve">U activity concentrations are associated with lower </w:t>
      </w:r>
      <w:r w:rsidRPr="00451C07">
        <w:rPr>
          <w:snapToGrid w:val="0"/>
          <w:color w:val="000000"/>
          <w:position w:val="5"/>
          <w:sz w:val="15"/>
          <w:szCs w:val="0"/>
          <w:u w:color="000000"/>
        </w:rPr>
        <w:t>23</w:t>
      </w:r>
      <w:r>
        <w:rPr>
          <w:snapToGrid w:val="0"/>
          <w:color w:val="000000"/>
          <w:position w:val="5"/>
          <w:sz w:val="15"/>
          <w:szCs w:val="0"/>
          <w:u w:color="000000"/>
        </w:rPr>
        <w:t>4</w:t>
      </w:r>
      <w:r>
        <w:t>U/</w:t>
      </w:r>
      <w:r w:rsidRPr="00451C07">
        <w:rPr>
          <w:snapToGrid w:val="0"/>
          <w:color w:val="000000"/>
          <w:position w:val="5"/>
          <w:sz w:val="15"/>
          <w:szCs w:val="0"/>
          <w:u w:color="000000"/>
        </w:rPr>
        <w:t>238</w:t>
      </w:r>
      <w:r>
        <w:t>U activity ratios in bore 83_1. However, the regression of the inverse concentration plot is not statistically significant (p = 0.13).</w:t>
      </w:r>
    </w:p>
    <w:p w:rsidR="00C220C4" w:rsidRDefault="00C220C4" w:rsidP="00C220C4">
      <w:r w:rsidRPr="00F455B6">
        <w:rPr>
          <w:snapToGrid w:val="0"/>
          <w:color w:val="000000"/>
          <w:position w:val="5"/>
          <w:sz w:val="15"/>
          <w:szCs w:val="0"/>
          <w:u w:color="000000"/>
        </w:rPr>
        <w:t>226</w:t>
      </w:r>
      <w:r>
        <w:t>Ra activity concentrations are between 2 and 12 mBq∙L</w:t>
      </w:r>
      <w:r w:rsidRPr="00F455B6">
        <w:rPr>
          <w:snapToGrid w:val="0"/>
          <w:color w:val="000000"/>
          <w:position w:val="5"/>
          <w:sz w:val="15"/>
          <w:szCs w:val="0"/>
          <w:u w:color="000000"/>
        </w:rPr>
        <w:t>-1</w:t>
      </w:r>
      <w:r>
        <w:t xml:space="preserve"> in bore 83_1. </w:t>
      </w:r>
      <w:r w:rsidRPr="00F455B6">
        <w:rPr>
          <w:snapToGrid w:val="0"/>
          <w:color w:val="000000"/>
          <w:position w:val="5"/>
          <w:sz w:val="15"/>
          <w:szCs w:val="0"/>
          <w:u w:color="000000"/>
        </w:rPr>
        <w:t>226</w:t>
      </w:r>
      <w:r>
        <w:t>Ra activity concentrations were highest in bores 79/6 and 79/9 in the early 1990s when these bores were most likely influenced by seepage from RP2. Bore 79/6 is now buried on the walls of Pit 3 and bore 79/9 is destroyed.</w:t>
      </w:r>
    </w:p>
    <w:p w:rsidR="00C220C4" w:rsidRDefault="00C220C4" w:rsidP="00C220C4">
      <w:r>
        <w:rPr>
          <w:noProof/>
          <w:lang w:eastAsia="en-AU"/>
        </w:rPr>
        <w:drawing>
          <wp:inline distT="0" distB="0" distL="0" distR="0">
            <wp:extent cx="5271770" cy="3999230"/>
            <wp:effectExtent l="1905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email"/>
                    <a:srcRect/>
                    <a:stretch>
                      <a:fillRect/>
                    </a:stretch>
                  </pic:blipFill>
                  <pic:spPr bwMode="auto">
                    <a:xfrm>
                      <a:off x="0" y="0"/>
                      <a:ext cx="5271770" cy="3999230"/>
                    </a:xfrm>
                    <a:prstGeom prst="rect">
                      <a:avLst/>
                    </a:prstGeom>
                    <a:noFill/>
                    <a:ln w="9525">
                      <a:noFill/>
                      <a:miter lim="800000"/>
                      <a:headEnd/>
                      <a:tailEnd/>
                    </a:ln>
                  </pic:spPr>
                </pic:pic>
              </a:graphicData>
            </a:graphic>
          </wp:inline>
        </w:drawing>
      </w:r>
    </w:p>
    <w:p w:rsidR="00C220C4" w:rsidRDefault="00C220C4" w:rsidP="00C220C4">
      <w:pPr>
        <w:pStyle w:val="figurecaption"/>
        <w:sectPr w:rsidR="00C220C4" w:rsidSect="00F17389">
          <w:pgSz w:w="11906" w:h="16838" w:code="9"/>
          <w:pgMar w:top="1276" w:right="1800" w:bottom="1276" w:left="1800" w:header="1080" w:footer="835" w:gutter="0"/>
          <w:cols w:space="360"/>
          <w:noEndnote/>
        </w:sectPr>
      </w:pPr>
      <w:bookmarkStart w:id="205" w:name="_Toc398721523"/>
      <w:r w:rsidRPr="000A3842">
        <w:rPr>
          <w:b/>
        </w:rPr>
        <w:t>Figure 39</w:t>
      </w:r>
      <w:r>
        <w:t xml:space="preserve"> </w:t>
      </w:r>
      <w:r w:rsidRPr="006705CA">
        <w:rPr>
          <w:snapToGrid w:val="0"/>
          <w:color w:val="000000"/>
          <w:position w:val="5"/>
          <w:sz w:val="15"/>
          <w:szCs w:val="0"/>
          <w:u w:color="000000"/>
        </w:rPr>
        <w:t>238</w:t>
      </w:r>
      <w:r>
        <w:t xml:space="preserve">U and </w:t>
      </w:r>
      <w:r w:rsidRPr="006705CA">
        <w:rPr>
          <w:snapToGrid w:val="0"/>
          <w:color w:val="000000"/>
          <w:position w:val="5"/>
          <w:sz w:val="15"/>
          <w:szCs w:val="0"/>
          <w:u w:color="000000"/>
        </w:rPr>
        <w:t>226</w:t>
      </w:r>
      <w:r>
        <w:t>Ra activity concentrations plotted against</w:t>
      </w:r>
      <w:r w:rsidRPr="006705CA">
        <w:t xml:space="preserve"> </w:t>
      </w:r>
      <w:r>
        <w:t xml:space="preserve">sampling date, and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 xml:space="preserve">U activity ratio plotted against sampling date and inverse </w:t>
      </w:r>
      <w:r w:rsidRPr="006705CA">
        <w:rPr>
          <w:snapToGrid w:val="0"/>
          <w:color w:val="000000"/>
          <w:position w:val="5"/>
          <w:sz w:val="15"/>
          <w:szCs w:val="0"/>
          <w:u w:color="000000"/>
        </w:rPr>
        <w:t>238</w:t>
      </w:r>
      <w:r>
        <w:t xml:space="preserve">U activity concentration in bores MC24, MC27, 79/6, 79/9, 83_1, RN23566, RN22211 and Magela Ck 11/80. A linear fit to the </w:t>
      </w:r>
      <w:r w:rsidRPr="006705CA">
        <w:rPr>
          <w:snapToGrid w:val="0"/>
          <w:color w:val="000000"/>
          <w:position w:val="5"/>
          <w:sz w:val="15"/>
          <w:szCs w:val="0"/>
          <w:u w:color="000000"/>
        </w:rPr>
        <w:t>234</w:t>
      </w:r>
      <w:r>
        <w:t>U/</w:t>
      </w:r>
      <w:r w:rsidRPr="006705CA">
        <w:rPr>
          <w:snapToGrid w:val="0"/>
          <w:color w:val="000000"/>
          <w:position w:val="5"/>
          <w:sz w:val="15"/>
          <w:szCs w:val="0"/>
          <w:u w:color="000000"/>
        </w:rPr>
        <w:t>238</w:t>
      </w:r>
      <w:r>
        <w:t>U activity ratio in the inverse concentration plot for 83_1 and associated 95% confidence interval is shown as well.</w:t>
      </w:r>
      <w:bookmarkEnd w:id="205"/>
    </w:p>
    <w:p w:rsidR="00C220C4" w:rsidRDefault="00C220C4" w:rsidP="00C220C4">
      <w:pPr>
        <w:pStyle w:val="Heading1"/>
      </w:pPr>
      <w:bookmarkStart w:id="206" w:name="_Toc413230068"/>
      <w:r>
        <w:t>4 Discussion</w:t>
      </w:r>
      <w:bookmarkEnd w:id="206"/>
    </w:p>
    <w:p w:rsidR="00C220C4" w:rsidRDefault="00C220C4" w:rsidP="00C220C4">
      <w:r>
        <w:t xml:space="preserve">In this section, concentrations and time series will be discussed of samples from groundwater monitoring bores that are still active and for which data is available up until 2010 and beyond. </w:t>
      </w:r>
    </w:p>
    <w:p w:rsidR="00C220C4" w:rsidRDefault="00C220C4" w:rsidP="00C220C4">
      <w:r>
        <w:t>Figure 40 shows an aerial photograph of the Ranger mine and those longer time series (&gt; 7 years) Ranger monitoring bores (note: not all of the bores were sampled every year). The bores show a good spatial distribution around the site, with an obvious focus on monitoring bores around the TSF. Figure 41 shows the same map with soil classification overlaid.</w:t>
      </w:r>
    </w:p>
    <w:p w:rsidR="00C220C4" w:rsidRDefault="00C220C4" w:rsidP="00C220C4">
      <w:r>
        <w:rPr>
          <w:noProof/>
          <w:lang w:eastAsia="en-AU"/>
        </w:rPr>
        <w:drawing>
          <wp:inline distT="0" distB="0" distL="0" distR="0">
            <wp:extent cx="5263515" cy="6870065"/>
            <wp:effectExtent l="19050" t="0" r="0" b="0"/>
            <wp:docPr id="79" name="Picture 79" descr="long time series b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ng time series bores"/>
                    <pic:cNvPicPr>
                      <a:picLocks noChangeAspect="1" noChangeArrowheads="1"/>
                    </pic:cNvPicPr>
                  </pic:nvPicPr>
                  <pic:blipFill>
                    <a:blip r:embed="rId73" cstate="email"/>
                    <a:srcRect/>
                    <a:stretch>
                      <a:fillRect/>
                    </a:stretch>
                  </pic:blipFill>
                  <pic:spPr bwMode="auto">
                    <a:xfrm>
                      <a:off x="0" y="0"/>
                      <a:ext cx="5263515" cy="6870065"/>
                    </a:xfrm>
                    <a:prstGeom prst="rect">
                      <a:avLst/>
                    </a:prstGeom>
                    <a:noFill/>
                    <a:ln w="9525">
                      <a:noFill/>
                      <a:miter lim="800000"/>
                      <a:headEnd/>
                      <a:tailEnd/>
                    </a:ln>
                  </pic:spPr>
                </pic:pic>
              </a:graphicData>
            </a:graphic>
          </wp:inline>
        </w:drawing>
      </w:r>
    </w:p>
    <w:p w:rsidR="00C220C4" w:rsidRDefault="00C220C4" w:rsidP="00C220C4">
      <w:pPr>
        <w:pStyle w:val="figurecaption"/>
      </w:pPr>
      <w:bookmarkStart w:id="207" w:name="_Toc398721524"/>
      <w:r w:rsidRPr="000A3842">
        <w:rPr>
          <w:b/>
        </w:rPr>
        <w:t>Figure 40</w:t>
      </w:r>
      <w:r>
        <w:t xml:space="preserve"> Groundwater monitoring bores around Ranger uranium mine and analysed by </w:t>
      </w:r>
      <w:r w:rsidRPr="008B6579">
        <w:rPr>
          <w:b/>
          <w:i/>
          <w:sz w:val="22"/>
          <w:szCs w:val="22"/>
        </w:rPr>
        <w:t>eriss</w:t>
      </w:r>
      <w:r>
        <w:t xml:space="preserve"> for radionuclides and metals with time series &gt; 7 years up to 2012/13.</w:t>
      </w:r>
      <w:bookmarkEnd w:id="207"/>
    </w:p>
    <w:p w:rsidR="00C220C4" w:rsidRDefault="00C220C4" w:rsidP="00C220C4">
      <w:pPr>
        <w:pStyle w:val="figurecaption"/>
        <w:jc w:val="left"/>
      </w:pPr>
      <w:r>
        <w:rPr>
          <w:noProof/>
          <w:lang w:eastAsia="en-AU"/>
        </w:rPr>
        <w:drawing>
          <wp:inline distT="0" distB="0" distL="0" distR="0">
            <wp:extent cx="3466465" cy="1503045"/>
            <wp:effectExtent l="19050" t="0" r="63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srcRect t="29404"/>
                    <a:stretch>
                      <a:fillRect/>
                    </a:stretch>
                  </pic:blipFill>
                  <pic:spPr bwMode="auto">
                    <a:xfrm>
                      <a:off x="0" y="0"/>
                      <a:ext cx="3466465" cy="1503045"/>
                    </a:xfrm>
                    <a:prstGeom prst="rect">
                      <a:avLst/>
                    </a:prstGeom>
                    <a:noFill/>
                    <a:ln w="9525">
                      <a:noFill/>
                      <a:miter lim="800000"/>
                      <a:headEnd/>
                      <a:tailEnd/>
                    </a:ln>
                  </pic:spPr>
                </pic:pic>
              </a:graphicData>
            </a:graphic>
          </wp:inline>
        </w:drawing>
      </w:r>
      <w:r>
        <w:rPr>
          <w:noProof/>
          <w:lang w:eastAsia="en-AU"/>
        </w:rPr>
        <w:drawing>
          <wp:inline distT="0" distB="0" distL="0" distR="0">
            <wp:extent cx="5025390" cy="6870065"/>
            <wp:effectExtent l="19050" t="0" r="3810" b="0"/>
            <wp:docPr id="81" name="Picture 81" descr="long time series bores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ng time series bores soil"/>
                    <pic:cNvPicPr>
                      <a:picLocks noChangeAspect="1" noChangeArrowheads="1"/>
                    </pic:cNvPicPr>
                  </pic:nvPicPr>
                  <pic:blipFill>
                    <a:blip r:embed="rId75" cstate="email"/>
                    <a:srcRect/>
                    <a:stretch>
                      <a:fillRect/>
                    </a:stretch>
                  </pic:blipFill>
                  <pic:spPr bwMode="auto">
                    <a:xfrm>
                      <a:off x="0" y="0"/>
                      <a:ext cx="5025390" cy="6870065"/>
                    </a:xfrm>
                    <a:prstGeom prst="rect">
                      <a:avLst/>
                    </a:prstGeom>
                    <a:noFill/>
                    <a:ln w="9525">
                      <a:noFill/>
                      <a:miter lim="800000"/>
                      <a:headEnd/>
                      <a:tailEnd/>
                    </a:ln>
                  </pic:spPr>
                </pic:pic>
              </a:graphicData>
            </a:graphic>
          </wp:inline>
        </w:drawing>
      </w:r>
      <w:r w:rsidRPr="00B7706E">
        <w:t xml:space="preserve"> </w:t>
      </w:r>
    </w:p>
    <w:p w:rsidR="00C220C4" w:rsidRDefault="00C220C4" w:rsidP="00C220C4">
      <w:pPr>
        <w:pStyle w:val="figurecaption"/>
      </w:pPr>
      <w:bookmarkStart w:id="208" w:name="_Toc398721525"/>
      <w:r w:rsidRPr="000A3842">
        <w:rPr>
          <w:b/>
        </w:rPr>
        <w:t>Figure 41</w:t>
      </w:r>
      <w:r>
        <w:t xml:space="preserve"> Groundwater monitoring bores around Ranger uranium mine and analysed by </w:t>
      </w:r>
      <w:r w:rsidRPr="008B6579">
        <w:rPr>
          <w:b/>
          <w:i/>
          <w:sz w:val="22"/>
          <w:szCs w:val="22"/>
        </w:rPr>
        <w:t>eriss</w:t>
      </w:r>
      <w:r>
        <w:t xml:space="preserve"> for radionuclides and metals with time series &gt; 5 years up to 2012/13 with a soil map overlaid.</w:t>
      </w:r>
      <w:bookmarkEnd w:id="208"/>
    </w:p>
    <w:p w:rsidR="00C220C4" w:rsidRDefault="00C220C4" w:rsidP="00C220C4">
      <w:r>
        <w:t>Figure 42 shows a ternary plot</w:t>
      </w:r>
      <w:r w:rsidR="00A553BE">
        <w:t xml:space="preserve"> </w:t>
      </w:r>
      <w:r>
        <w:t>of the major cation concentrations (in per</w:t>
      </w:r>
      <w:r w:rsidR="005D186A">
        <w:t xml:space="preserve"> </w:t>
      </w:r>
      <w:r>
        <w:t>cent) measured in the ten bores shown in Figure 41. Due to the lack of anion concentrations measured in the bores a piper diagram is not provided.</w:t>
      </w:r>
    </w:p>
    <w:p w:rsidR="00C220C4" w:rsidRDefault="00C220C4" w:rsidP="00C220C4">
      <w:pPr>
        <w:jc w:val="center"/>
      </w:pPr>
      <w:r>
        <w:rPr>
          <w:noProof/>
          <w:lang w:eastAsia="en-AU"/>
        </w:rPr>
        <w:drawing>
          <wp:inline distT="0" distB="0" distL="0" distR="0">
            <wp:extent cx="4516120" cy="364934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cstate="email"/>
                    <a:srcRect t="2678" b="2396"/>
                    <a:stretch>
                      <a:fillRect/>
                    </a:stretch>
                  </pic:blipFill>
                  <pic:spPr bwMode="auto">
                    <a:xfrm>
                      <a:off x="0" y="0"/>
                      <a:ext cx="4516120" cy="3649345"/>
                    </a:xfrm>
                    <a:prstGeom prst="rect">
                      <a:avLst/>
                    </a:prstGeom>
                    <a:noFill/>
                    <a:ln w="9525">
                      <a:noFill/>
                      <a:miter lim="800000"/>
                      <a:headEnd/>
                      <a:tailEnd/>
                    </a:ln>
                  </pic:spPr>
                </pic:pic>
              </a:graphicData>
            </a:graphic>
          </wp:inline>
        </w:drawing>
      </w:r>
    </w:p>
    <w:p w:rsidR="00C220C4" w:rsidRDefault="00C220C4" w:rsidP="00C220C4">
      <w:pPr>
        <w:pStyle w:val="figurecaption"/>
      </w:pPr>
      <w:bookmarkStart w:id="209" w:name="_Toc398721526"/>
      <w:r w:rsidRPr="000A3842">
        <w:rPr>
          <w:b/>
        </w:rPr>
        <w:t>Figure 42</w:t>
      </w:r>
      <w:r>
        <w:t xml:space="preserve"> Ternary diagram of major cation concentrations in long time series bores.</w:t>
      </w:r>
      <w:bookmarkEnd w:id="209"/>
    </w:p>
    <w:p w:rsidR="00C220C4" w:rsidRPr="003903E1" w:rsidRDefault="00C220C4" w:rsidP="00C220C4">
      <w:pPr>
        <w:pStyle w:val="Heading3"/>
      </w:pPr>
      <w:bookmarkStart w:id="210" w:name="_Toc398721731"/>
      <w:bookmarkStart w:id="211" w:name="_Toc411850560"/>
      <w:bookmarkStart w:id="212" w:name="_Toc413230069"/>
      <w:r>
        <w:t>4</w:t>
      </w:r>
      <w:r w:rsidRPr="003903E1">
        <w:t xml:space="preserve">.1 </w:t>
      </w:r>
      <w:r>
        <w:t>B</w:t>
      </w:r>
      <w:r w:rsidRPr="003903E1">
        <w:t>ores around the TSF</w:t>
      </w:r>
      <w:bookmarkEnd w:id="210"/>
      <w:bookmarkEnd w:id="211"/>
      <w:bookmarkEnd w:id="212"/>
    </w:p>
    <w:p w:rsidR="00C220C4" w:rsidRDefault="00C220C4" w:rsidP="00C220C4">
      <w:r>
        <w:t xml:space="preserve">Bores OB23 (RN22937), OB1A (RN22902), RN9329, OB20 (RN22934) and OB21A (RN22935) are deep bores located around the TSF. They sample aquifers 2 or 3, with screen depths of 36-51 m (OB23), 16-31 m (OB1A), 17-19 m (RN9329), 21-36 m (OB20) and 31-43m (OB21A). Element and radionuclide activity concentrations for the individual bores are shown in Appendices A26, A27, A28, A30 and A57. </w:t>
      </w:r>
    </w:p>
    <w:p w:rsidR="00C220C4" w:rsidRDefault="00C220C4" w:rsidP="00C220C4">
      <w:pPr>
        <w:pStyle w:val="Heading4"/>
      </w:pPr>
      <w:bookmarkStart w:id="213" w:name="_Toc398721732"/>
      <w:bookmarkStart w:id="214" w:name="_Toc411850561"/>
      <w:r>
        <w:t>4.1.1 Major cations</w:t>
      </w:r>
      <w:bookmarkEnd w:id="213"/>
      <w:bookmarkEnd w:id="214"/>
    </w:p>
    <w:p w:rsidR="00C220C4" w:rsidRDefault="00C220C4" w:rsidP="00C220C4">
      <w:r>
        <w:t>The ternary plot (Figure 42) shows that OB23 and OB1A to the north of the TSF are dominated by 50-70% (Na+K) with 10-30% of both, Mg and Ca. Bore OB23 is located in the vicinity of fault 1, north of the TSF (Salama &amp; Foley 1997) and exhibits high Na concentrations, typical for bores in the fractured Nanambu complex (Klessa 2001). Calcium, Na and Mg concentrations in OB1A are lower than in OB23, whereas K is higher (Figure 42).</w:t>
      </w:r>
    </w:p>
    <w:p w:rsidR="00C220C4" w:rsidRDefault="00C220C4" w:rsidP="00C220C4">
      <w:r>
        <w:t xml:space="preserve">Separated in the ternary plot from bores OB23 and OB1A are bores RN9392, OB21A and OB20. These bores are situated to the west and south of the TSF and are located more than 400 m away from the TSF wall. </w:t>
      </w:r>
    </w:p>
    <w:p w:rsidR="00C220C4" w:rsidRPr="00ED6F9A" w:rsidRDefault="00C220C4" w:rsidP="00C220C4">
      <w:pPr>
        <w:rPr>
          <w:b/>
        </w:rPr>
      </w:pPr>
      <w:r>
        <w:t>Bores OB20, OB21A and RN9329 show a similar temporal variability in their cation concentrations.</w:t>
      </w:r>
      <w:r w:rsidRPr="004F41B5">
        <w:t xml:space="preserve"> </w:t>
      </w:r>
      <w:r>
        <w:t xml:space="preserve">RN9329 and OB20 are dominated by 40-50% (Na+K), but major cation concentrations in bore RN9329 are lower than in OB20, except for K (Figure 43). In contrast, OB21A shows about equal contribution from (Na+K), Mg and Ca in the water, and the bore exhibits the highest Mg concentrations of the bores in the TSF area. </w:t>
      </w:r>
    </w:p>
    <w:p w:rsidR="00C220C4" w:rsidRDefault="00C220C4" w:rsidP="00C220C4"/>
    <w:p w:rsidR="00C220C4" w:rsidRDefault="00C220C4" w:rsidP="00C220C4">
      <w:pPr>
        <w:jc w:val="center"/>
      </w:pPr>
      <w:r>
        <w:rPr>
          <w:noProof/>
          <w:lang w:eastAsia="en-AU"/>
        </w:rPr>
        <w:drawing>
          <wp:inline distT="0" distB="0" distL="0" distR="0">
            <wp:extent cx="4531995" cy="3196590"/>
            <wp:effectExtent l="1905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email"/>
                    <a:srcRect l="21144" t="7843" r="16928" b="3268"/>
                    <a:stretch>
                      <a:fillRect/>
                    </a:stretch>
                  </pic:blipFill>
                  <pic:spPr bwMode="auto">
                    <a:xfrm>
                      <a:off x="0" y="0"/>
                      <a:ext cx="4531995" cy="3196590"/>
                    </a:xfrm>
                    <a:prstGeom prst="rect">
                      <a:avLst/>
                    </a:prstGeom>
                    <a:noFill/>
                    <a:ln w="9525">
                      <a:noFill/>
                      <a:miter lim="800000"/>
                      <a:headEnd/>
                      <a:tailEnd/>
                    </a:ln>
                  </pic:spPr>
                </pic:pic>
              </a:graphicData>
            </a:graphic>
          </wp:inline>
        </w:drawing>
      </w:r>
    </w:p>
    <w:p w:rsidR="00C220C4" w:rsidRDefault="00C220C4" w:rsidP="00C220C4">
      <w:pPr>
        <w:pStyle w:val="figurecaption"/>
      </w:pPr>
      <w:bookmarkStart w:id="215" w:name="_Toc398721527"/>
      <w:r w:rsidRPr="000A3842">
        <w:rPr>
          <w:b/>
        </w:rPr>
        <w:t>Figure 43</w:t>
      </w:r>
      <w:r>
        <w:t xml:space="preserve"> Major cation concentrations in bores around the TSF.</w:t>
      </w:r>
      <w:bookmarkEnd w:id="215"/>
    </w:p>
    <w:p w:rsidR="00C220C4" w:rsidRDefault="00C220C4" w:rsidP="00C220C4">
      <w:pPr>
        <w:pStyle w:val="Heading4"/>
      </w:pPr>
      <w:bookmarkStart w:id="216" w:name="_Toc398721733"/>
      <w:bookmarkStart w:id="217" w:name="_Toc411850562"/>
      <w:r>
        <w:t>4.1.2 Metals and radionuclides</w:t>
      </w:r>
      <w:bookmarkEnd w:id="216"/>
      <w:bookmarkEnd w:id="217"/>
    </w:p>
    <w:p w:rsidR="00C220C4" w:rsidRDefault="00C220C4" w:rsidP="00C220C4">
      <w:r>
        <w:t xml:space="preserve">Figure 44 shows the concentrations of metals and activity concentrations of radionuclides, and the </w:t>
      </w:r>
      <w:r w:rsidRPr="00BC3E18">
        <w:rPr>
          <w:snapToGrid w:val="0"/>
          <w:color w:val="000000"/>
          <w:position w:val="5"/>
          <w:sz w:val="15"/>
          <w:szCs w:val="0"/>
          <w:u w:color="000000"/>
        </w:rPr>
        <w:t>234</w:t>
      </w:r>
      <w:r>
        <w:t>U/</w:t>
      </w:r>
      <w:r w:rsidRPr="00BC3E18">
        <w:rPr>
          <w:snapToGrid w:val="0"/>
          <w:color w:val="000000"/>
          <w:position w:val="5"/>
          <w:sz w:val="15"/>
          <w:szCs w:val="0"/>
          <w:u w:color="000000"/>
        </w:rPr>
        <w:t>238</w:t>
      </w:r>
      <w:r>
        <w:t>U activity ratios in the five bores around the TSF, plotted against sampling date.</w:t>
      </w:r>
    </w:p>
    <w:p w:rsidR="00C220C4" w:rsidRDefault="00C220C4" w:rsidP="00C220C4">
      <w:r>
        <w:t>Fe, Mn and Ba concentrations are highest in bore OB1A immediately north</w:t>
      </w:r>
      <w:r w:rsidR="00A720D3">
        <w:t>-</w:t>
      </w:r>
      <w:r>
        <w:t>west of the TSF, followed by RN9329. The variation of the Fe concentration are similar in bores OB23, OB20 and OB21A (and to a lesser extent OB1A), with low concentrations measured in 2007 and 2012. Uranium concentrations in the bores have generally been low throughout the last decade (&lt; 1 μg L</w:t>
      </w:r>
      <w:r w:rsidRPr="00DA029D">
        <w:rPr>
          <w:snapToGrid w:val="0"/>
          <w:color w:val="000000"/>
          <w:position w:val="5"/>
          <w:sz w:val="15"/>
          <w:szCs w:val="0"/>
          <w:u w:color="000000"/>
        </w:rPr>
        <w:t>-1</w:t>
      </w:r>
      <w:r>
        <w:t xml:space="preserve">), but higher U concentrations were measured in OB21A and OB23 in 2011 and 2012, respectively. </w:t>
      </w:r>
    </w:p>
    <w:p w:rsidR="00C220C4" w:rsidRPr="00ED6F9A" w:rsidRDefault="00C220C4" w:rsidP="00C220C4">
      <w:pPr>
        <w:rPr>
          <w:b/>
        </w:rPr>
      </w:pPr>
      <w:r>
        <w:t>Klessa (2001) observed an increase in Mn from ~150 to ~400 mg·L</w:t>
      </w:r>
      <w:r w:rsidRPr="00320F76">
        <w:rPr>
          <w:snapToGrid w:val="0"/>
          <w:color w:val="000000"/>
          <w:position w:val="5"/>
          <w:sz w:val="15"/>
          <w:szCs w:val="0"/>
          <w:u w:color="000000"/>
        </w:rPr>
        <w:t>-1</w:t>
      </w:r>
      <w:r>
        <w:t xml:space="preserve"> in OB21A in 1998-2001, believed to be an effect of a succession of wetter than normal years that increased groundwater level height leading to Mn reduction in the shallow aquifer and its migration into the fractured aquifer. Mn concentration has remained relatively stable at 400 mg·L</w:t>
      </w:r>
      <w:r w:rsidRPr="00320F76">
        <w:rPr>
          <w:snapToGrid w:val="0"/>
          <w:color w:val="000000"/>
          <w:position w:val="5"/>
          <w:sz w:val="15"/>
          <w:szCs w:val="0"/>
          <w:u w:color="000000"/>
        </w:rPr>
        <w:t>-1</w:t>
      </w:r>
      <w:r>
        <w:t xml:space="preserve"> in OB21A for the last decade, suggesting that the increase was not due to seasonal changes and has persisted due to lasting wetter than normal years. </w:t>
      </w:r>
    </w:p>
    <w:p w:rsidR="00C220C4" w:rsidRPr="00BC3E18" w:rsidRDefault="00C220C4" w:rsidP="00C220C4">
      <w:r>
        <w:t xml:space="preserve">The similar variability in Fe concentration (and major cation concentrations in some bores) is likely due to the time of sampling, dilution and seasonal effects (such as the length and intensity of the preceding wet-season) and potentially associated changes in seasonal redox conditions. These changing conditions also appear to influence the U concentration in bores OB23, OB20 and OB21A, which exhibits a trend opposite to Fe concentrations: high U concentrations were measured in OB23 in 2001 and 2011 and these high concentrations are associated with low Fe. Generally, the five bores show activity concentrations of </w:t>
      </w:r>
      <w:r w:rsidRPr="007436FF">
        <w:rPr>
          <w:snapToGrid w:val="0"/>
          <w:color w:val="000000"/>
          <w:position w:val="5"/>
          <w:sz w:val="15"/>
          <w:szCs w:val="0"/>
          <w:u w:color="000000"/>
        </w:rPr>
        <w:t>226</w:t>
      </w:r>
      <w:r>
        <w:t xml:space="preserve">Ra larger than </w:t>
      </w:r>
      <w:r w:rsidRPr="007436FF">
        <w:rPr>
          <w:snapToGrid w:val="0"/>
          <w:color w:val="000000"/>
          <w:position w:val="5"/>
          <w:sz w:val="15"/>
          <w:szCs w:val="0"/>
          <w:u w:color="000000"/>
        </w:rPr>
        <w:t>238</w:t>
      </w:r>
      <w:r>
        <w:t xml:space="preserve">U. Radium-226 and </w:t>
      </w:r>
      <w:r w:rsidRPr="007436FF">
        <w:rPr>
          <w:snapToGrid w:val="0"/>
          <w:color w:val="000000"/>
          <w:position w:val="5"/>
          <w:sz w:val="15"/>
          <w:szCs w:val="0"/>
          <w:u w:color="000000"/>
        </w:rPr>
        <w:t>238</w:t>
      </w:r>
      <w:r>
        <w:t>U activity concentrations in the bores are in agreement with levels reported by ERA for bores in the general areas (ERA 2012).</w:t>
      </w:r>
    </w:p>
    <w:p w:rsidR="00C220C4" w:rsidRDefault="00C220C4" w:rsidP="00C220C4">
      <w:r>
        <w:rPr>
          <w:noProof/>
          <w:lang w:eastAsia="en-AU"/>
        </w:rPr>
        <w:drawing>
          <wp:inline distT="0" distB="0" distL="0" distR="0">
            <wp:extent cx="4921885" cy="704469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cstate="email"/>
                    <a:srcRect t="4073"/>
                    <a:stretch>
                      <a:fillRect/>
                    </a:stretch>
                  </pic:blipFill>
                  <pic:spPr bwMode="auto">
                    <a:xfrm>
                      <a:off x="0" y="0"/>
                      <a:ext cx="4921885" cy="7044690"/>
                    </a:xfrm>
                    <a:prstGeom prst="rect">
                      <a:avLst/>
                    </a:prstGeom>
                    <a:noFill/>
                    <a:ln w="9525">
                      <a:noFill/>
                      <a:miter lim="800000"/>
                      <a:headEnd/>
                      <a:tailEnd/>
                    </a:ln>
                  </pic:spPr>
                </pic:pic>
              </a:graphicData>
            </a:graphic>
          </wp:inline>
        </w:drawing>
      </w:r>
    </w:p>
    <w:p w:rsidR="00C220C4" w:rsidRDefault="00C220C4" w:rsidP="00C220C4">
      <w:pPr>
        <w:pStyle w:val="figurecaption"/>
      </w:pPr>
      <w:bookmarkStart w:id="218" w:name="_Toc398721528"/>
      <w:r w:rsidRPr="000A3842">
        <w:rPr>
          <w:b/>
        </w:rPr>
        <w:t>Figure 44</w:t>
      </w:r>
      <w:r>
        <w:t xml:space="preserve"> Metal and radionuclide activity concentrations and ratios in bores around the TSF.</w:t>
      </w:r>
      <w:bookmarkEnd w:id="218"/>
    </w:p>
    <w:p w:rsidR="00C220C4" w:rsidRDefault="00C220C4" w:rsidP="00C220C4">
      <w:r>
        <w:t>OB23 to the north of the TSF has the highest U concentration and shows a statistically significant (</w:t>
      </w:r>
      <w:r w:rsidRPr="00CC513C">
        <w:t>p</w:t>
      </w:r>
      <w:r w:rsidR="00DC4556">
        <w:t>&lt;0.05</w:t>
      </w:r>
      <w:r>
        <w:t xml:space="preserve">) decrease of the </w:t>
      </w:r>
      <w:r w:rsidRPr="009D69C4">
        <w:rPr>
          <w:snapToGrid w:val="0"/>
          <w:color w:val="000000"/>
          <w:position w:val="5"/>
          <w:sz w:val="15"/>
          <w:szCs w:val="0"/>
          <w:u w:color="000000"/>
        </w:rPr>
        <w:t>234</w:t>
      </w:r>
      <w:r>
        <w:t>U/</w:t>
      </w:r>
      <w:r w:rsidRPr="009D69C4">
        <w:rPr>
          <w:snapToGrid w:val="0"/>
          <w:color w:val="000000"/>
          <w:position w:val="5"/>
          <w:sz w:val="15"/>
          <w:szCs w:val="0"/>
          <w:u w:color="000000"/>
        </w:rPr>
        <w:t>238</w:t>
      </w:r>
      <w:r>
        <w:t xml:space="preserve">U activity ratio when plotted against the inverse of the </w:t>
      </w:r>
      <w:r w:rsidRPr="009D69C4">
        <w:rPr>
          <w:snapToGrid w:val="0"/>
          <w:color w:val="000000"/>
          <w:position w:val="5"/>
          <w:sz w:val="15"/>
          <w:szCs w:val="0"/>
          <w:u w:color="000000"/>
        </w:rPr>
        <w:t>238</w:t>
      </w:r>
      <w:r>
        <w:t xml:space="preserve">U activity, with a contaminating end-member </w:t>
      </w:r>
      <w:r w:rsidRPr="009D69C4">
        <w:rPr>
          <w:snapToGrid w:val="0"/>
          <w:color w:val="000000"/>
          <w:position w:val="5"/>
          <w:sz w:val="15"/>
          <w:szCs w:val="0"/>
          <w:u w:color="000000"/>
        </w:rPr>
        <w:t>234</w:t>
      </w:r>
      <w:r>
        <w:t>U/</w:t>
      </w:r>
      <w:r w:rsidRPr="009D69C4">
        <w:rPr>
          <w:snapToGrid w:val="0"/>
          <w:color w:val="000000"/>
          <w:position w:val="5"/>
          <w:sz w:val="15"/>
          <w:szCs w:val="0"/>
          <w:u w:color="000000"/>
        </w:rPr>
        <w:t>238</w:t>
      </w:r>
      <w:r>
        <w:t xml:space="preserve">U activity ratio of 1.08±0.10, i.e. high U concentrations in this bore are characterised by </w:t>
      </w:r>
      <w:r w:rsidRPr="008D099B">
        <w:rPr>
          <w:snapToGrid w:val="0"/>
          <w:color w:val="000000"/>
          <w:position w:val="5"/>
          <w:sz w:val="15"/>
          <w:szCs w:val="0"/>
          <w:u w:color="000000"/>
        </w:rPr>
        <w:t>234</w:t>
      </w:r>
      <w:r>
        <w:t>U/</w:t>
      </w:r>
      <w:r w:rsidRPr="008D099B">
        <w:rPr>
          <w:snapToGrid w:val="0"/>
          <w:color w:val="000000"/>
          <w:position w:val="5"/>
          <w:sz w:val="15"/>
          <w:szCs w:val="0"/>
          <w:u w:color="000000"/>
        </w:rPr>
        <w:t>238</w:t>
      </w:r>
      <w:r>
        <w:t xml:space="preserve">U activity ratios close to 1.0. This is indicative of seepage from the TSF. However, the large variability of </w:t>
      </w:r>
      <w:r w:rsidRPr="00F00516">
        <w:rPr>
          <w:snapToGrid w:val="0"/>
          <w:color w:val="000000"/>
          <w:position w:val="5"/>
          <w:sz w:val="15"/>
          <w:szCs w:val="0"/>
          <w:u w:color="000000"/>
        </w:rPr>
        <w:t>238</w:t>
      </w:r>
      <w:r>
        <w:t xml:space="preserve">U and </w:t>
      </w:r>
      <w:r w:rsidRPr="00F00516">
        <w:rPr>
          <w:snapToGrid w:val="0"/>
          <w:color w:val="000000"/>
          <w:position w:val="5"/>
          <w:sz w:val="15"/>
          <w:szCs w:val="0"/>
          <w:u w:color="000000"/>
        </w:rPr>
        <w:t>226</w:t>
      </w:r>
      <w:r>
        <w:t>Ra activity concentrations may have also been caused by extensive earthworks in the area from 2005 onwards, with several TSF wall lifts and the construction of the trial landform in late 2008 and early 2009 in the immediate vicinity of bore OB23.</w:t>
      </w:r>
    </w:p>
    <w:p w:rsidR="00C220C4" w:rsidRDefault="00C220C4" w:rsidP="00C220C4">
      <w:r>
        <w:t>OB1A to the north</w:t>
      </w:r>
      <w:r w:rsidR="00A720D3">
        <w:t>-</w:t>
      </w:r>
      <w:r>
        <w:t xml:space="preserve">west of the TSF wall shows essentially no trend in </w:t>
      </w:r>
      <w:proofErr w:type="gramStart"/>
      <w:r>
        <w:t xml:space="preserve">either </w:t>
      </w:r>
      <w:r w:rsidRPr="009D69C4">
        <w:rPr>
          <w:snapToGrid w:val="0"/>
          <w:color w:val="000000"/>
          <w:position w:val="5"/>
          <w:sz w:val="15"/>
          <w:szCs w:val="0"/>
          <w:u w:color="000000"/>
        </w:rPr>
        <w:t>226</w:t>
      </w:r>
      <w:r>
        <w:t xml:space="preserve">Ra or </w:t>
      </w:r>
      <w:r w:rsidRPr="009D69C4">
        <w:rPr>
          <w:snapToGrid w:val="0"/>
          <w:color w:val="000000"/>
          <w:position w:val="5"/>
          <w:sz w:val="15"/>
          <w:szCs w:val="0"/>
          <w:u w:color="000000"/>
        </w:rPr>
        <w:t>238</w:t>
      </w:r>
      <w:r>
        <w:t xml:space="preserve">U activity concentrations until 2005 but there has been an increase in </w:t>
      </w:r>
      <w:r w:rsidRPr="009D69C4">
        <w:rPr>
          <w:snapToGrid w:val="0"/>
          <w:color w:val="000000"/>
          <w:position w:val="5"/>
          <w:sz w:val="15"/>
          <w:szCs w:val="0"/>
          <w:u w:color="000000"/>
        </w:rPr>
        <w:t>226</w:t>
      </w:r>
      <w:r>
        <w:t>Ra and</w:t>
      </w:r>
      <w:proofErr w:type="gramEnd"/>
      <w:r>
        <w:t xml:space="preserve"> </w:t>
      </w:r>
      <w:r w:rsidRPr="009D69C4">
        <w:rPr>
          <w:snapToGrid w:val="0"/>
          <w:color w:val="000000"/>
          <w:position w:val="5"/>
          <w:sz w:val="15"/>
          <w:szCs w:val="0"/>
          <w:u w:color="000000"/>
        </w:rPr>
        <w:t>238</w:t>
      </w:r>
      <w:r>
        <w:t xml:space="preserve">U activity concentrations in 2007. The contaminating end-member </w:t>
      </w:r>
      <w:r w:rsidRPr="009D69C4">
        <w:rPr>
          <w:snapToGrid w:val="0"/>
          <w:color w:val="000000"/>
          <w:position w:val="5"/>
          <w:sz w:val="15"/>
          <w:szCs w:val="0"/>
          <w:u w:color="000000"/>
        </w:rPr>
        <w:t>234</w:t>
      </w:r>
      <w:r>
        <w:t>U/</w:t>
      </w:r>
      <w:r w:rsidRPr="009D69C4">
        <w:rPr>
          <w:snapToGrid w:val="0"/>
          <w:color w:val="000000"/>
          <w:position w:val="5"/>
          <w:sz w:val="15"/>
          <w:szCs w:val="0"/>
          <w:u w:color="000000"/>
        </w:rPr>
        <w:t>238</w:t>
      </w:r>
      <w:r>
        <w:t xml:space="preserve">U activity ratio is close to 1 (1.10±0.07), but the correlation between the </w:t>
      </w:r>
      <w:r w:rsidRPr="009D69C4">
        <w:rPr>
          <w:snapToGrid w:val="0"/>
          <w:color w:val="000000"/>
          <w:position w:val="5"/>
          <w:sz w:val="15"/>
          <w:szCs w:val="0"/>
          <w:u w:color="000000"/>
        </w:rPr>
        <w:t>234</w:t>
      </w:r>
      <w:r>
        <w:t>U/</w:t>
      </w:r>
      <w:r w:rsidRPr="009D69C4">
        <w:rPr>
          <w:snapToGrid w:val="0"/>
          <w:color w:val="000000"/>
          <w:position w:val="5"/>
          <w:sz w:val="15"/>
          <w:szCs w:val="0"/>
          <w:u w:color="000000"/>
        </w:rPr>
        <w:t>238</w:t>
      </w:r>
      <w:r>
        <w:t xml:space="preserve">U activity ratio and the inverse of the </w:t>
      </w:r>
      <w:r w:rsidRPr="003E2E5E">
        <w:rPr>
          <w:snapToGrid w:val="0"/>
          <w:color w:val="000000"/>
          <w:position w:val="5"/>
          <w:sz w:val="15"/>
          <w:szCs w:val="0"/>
          <w:u w:color="000000"/>
        </w:rPr>
        <w:t>238</w:t>
      </w:r>
      <w:r>
        <w:t xml:space="preserve">U activity concentration is not significant (p=0.15). </w:t>
      </w:r>
    </w:p>
    <w:p w:rsidR="00C220C4" w:rsidRDefault="00C220C4" w:rsidP="00C220C4">
      <w:r>
        <w:t xml:space="preserve">RN9329 in the Gulungul catchment shows a y-intercept of 1.32±0.13, and a slight decrease of the </w:t>
      </w:r>
      <w:r w:rsidRPr="009D69C4">
        <w:rPr>
          <w:snapToGrid w:val="0"/>
          <w:color w:val="000000"/>
          <w:position w:val="5"/>
          <w:sz w:val="15"/>
          <w:szCs w:val="0"/>
          <w:u w:color="000000"/>
        </w:rPr>
        <w:t>234</w:t>
      </w:r>
      <w:r>
        <w:t>U/</w:t>
      </w:r>
      <w:r w:rsidRPr="009D69C4">
        <w:rPr>
          <w:snapToGrid w:val="0"/>
          <w:color w:val="000000"/>
          <w:position w:val="5"/>
          <w:sz w:val="15"/>
          <w:szCs w:val="0"/>
          <w:u w:color="000000"/>
        </w:rPr>
        <w:t>238</w:t>
      </w:r>
      <w:r>
        <w:t xml:space="preserve">U activity ratio with increasing uranium activity concentrations but the correlation is not statistically significant (p=0.37). </w:t>
      </w:r>
    </w:p>
    <w:p w:rsidR="00C220C4" w:rsidRDefault="00C220C4" w:rsidP="00C220C4">
      <w:r>
        <w:t xml:space="preserve">OB20 and OB21A are located to the south of the TSF and exhibited maximum </w:t>
      </w:r>
      <w:r w:rsidRPr="004D7993">
        <w:rPr>
          <w:snapToGrid w:val="0"/>
          <w:color w:val="000000"/>
          <w:position w:val="5"/>
          <w:sz w:val="15"/>
          <w:szCs w:val="0"/>
          <w:u w:color="000000"/>
        </w:rPr>
        <w:t>226</w:t>
      </w:r>
      <w:r>
        <w:t xml:space="preserve">Ra activity concentrations in September 2004, whereas uranium peaked in 2012. OB21A </w:t>
      </w:r>
      <w:r w:rsidRPr="00680516">
        <w:rPr>
          <w:snapToGrid w:val="0"/>
          <w:color w:val="000000"/>
          <w:position w:val="5"/>
          <w:sz w:val="15"/>
          <w:szCs w:val="0"/>
          <w:u w:color="000000"/>
        </w:rPr>
        <w:t>226</w:t>
      </w:r>
      <w:r>
        <w:t xml:space="preserve">Ra activity concentrations are higher than in OB20, in agreement with levels reported in ERA (2012). </w:t>
      </w:r>
    </w:p>
    <w:p w:rsidR="00C220C4" w:rsidRDefault="00C220C4" w:rsidP="00C220C4">
      <w:r>
        <w:t xml:space="preserve">There is no statistically significant correlation between the </w:t>
      </w:r>
      <w:r w:rsidRPr="009D69C4">
        <w:rPr>
          <w:snapToGrid w:val="0"/>
          <w:color w:val="000000"/>
          <w:position w:val="5"/>
          <w:sz w:val="15"/>
          <w:szCs w:val="0"/>
          <w:u w:color="000000"/>
        </w:rPr>
        <w:t>234</w:t>
      </w:r>
      <w:r>
        <w:t>U/</w:t>
      </w:r>
      <w:r w:rsidRPr="009D69C4">
        <w:rPr>
          <w:snapToGrid w:val="0"/>
          <w:color w:val="000000"/>
          <w:position w:val="5"/>
          <w:sz w:val="15"/>
          <w:szCs w:val="0"/>
          <w:u w:color="000000"/>
        </w:rPr>
        <w:t>238</w:t>
      </w:r>
      <w:r>
        <w:t xml:space="preserve">U activity ratio and the inverse of the </w:t>
      </w:r>
      <w:r w:rsidRPr="003E2E5E">
        <w:rPr>
          <w:snapToGrid w:val="0"/>
          <w:color w:val="000000"/>
          <w:position w:val="5"/>
          <w:sz w:val="15"/>
          <w:szCs w:val="0"/>
          <w:u w:color="000000"/>
        </w:rPr>
        <w:t>238</w:t>
      </w:r>
      <w:r>
        <w:t xml:space="preserve">U activity concentration for OB20 (p=0.81) and the intercept with the y-axis is significantly different from 1 (1.54±0.11). The </w:t>
      </w:r>
      <w:r w:rsidRPr="009D69C4">
        <w:rPr>
          <w:snapToGrid w:val="0"/>
          <w:color w:val="000000"/>
          <w:position w:val="5"/>
          <w:sz w:val="15"/>
          <w:szCs w:val="0"/>
          <w:u w:color="000000"/>
        </w:rPr>
        <w:t>234</w:t>
      </w:r>
      <w:r>
        <w:t>U/</w:t>
      </w:r>
      <w:r w:rsidRPr="009D69C4">
        <w:rPr>
          <w:snapToGrid w:val="0"/>
          <w:color w:val="000000"/>
          <w:position w:val="5"/>
          <w:sz w:val="15"/>
          <w:szCs w:val="0"/>
          <w:u w:color="000000"/>
        </w:rPr>
        <w:t>238</w:t>
      </w:r>
      <w:r>
        <w:t>U activity ratio in OB21A decreases with increasing uranium concentration although the correlation is not statistically significant (p=0.11).</w:t>
      </w:r>
      <w:r w:rsidR="00A553BE">
        <w:t xml:space="preserve"> </w:t>
      </w:r>
      <w:r>
        <w:t xml:space="preserve">It is thus unlikely that this OB21A is impacted by seepage from the TSF. Based on the considerations above, the one bore potentially influenced by seepage from the TSF is OB23, located close to one of the major fault zones north of the TSF area (Figure 2). </w:t>
      </w:r>
    </w:p>
    <w:p w:rsidR="00C220C4" w:rsidRDefault="00C220C4" w:rsidP="00C220C4">
      <w:pPr>
        <w:pStyle w:val="Heading4"/>
      </w:pPr>
      <w:bookmarkStart w:id="219" w:name="_Toc398721734"/>
      <w:bookmarkStart w:id="220" w:name="_Toc411850563"/>
      <w:r>
        <w:t>4.1.3 Principal components analysis (PCA)</w:t>
      </w:r>
      <w:bookmarkEnd w:id="219"/>
      <w:bookmarkEnd w:id="220"/>
    </w:p>
    <w:p w:rsidR="00C220C4" w:rsidRDefault="00C220C4" w:rsidP="00C220C4">
      <w:pPr>
        <w:autoSpaceDE w:val="0"/>
        <w:autoSpaceDN w:val="0"/>
        <w:adjustRightInd w:val="0"/>
      </w:pPr>
      <w:r>
        <w:t>Table 14 summari</w:t>
      </w:r>
      <w:r w:rsidR="006864EB">
        <w:t>s</w:t>
      </w:r>
      <w:r>
        <w:t xml:space="preserve">es the results of the PCA for the deep bores (OB1A, OB23, RN9329, OB20 and OB21A) around the TSF, including the loadings and eigenvalues of the first three principal components. </w:t>
      </w:r>
    </w:p>
    <w:p w:rsidR="00C220C4" w:rsidRDefault="00C220C4" w:rsidP="00C220C4">
      <w:pPr>
        <w:autoSpaceDE w:val="0"/>
        <w:autoSpaceDN w:val="0"/>
        <w:adjustRightInd w:val="0"/>
      </w:pPr>
      <w:r>
        <w:t>Electric Conductivity (EC) and pH values measured in the bores at or around the time of sample collection were acquired from the Northern Territory DME and are included in the PCA. EC and pH values in these bores are given in Appendix A62. Concentration values below detection limits have been included in the PCA and a value corresponding to half of the detection limit of that element has been assigned to the sample. In our study, only factors with eigenvalues greater than 1 were taken into account.</w:t>
      </w:r>
    </w:p>
    <w:p w:rsidR="00C220C4" w:rsidRDefault="00C220C4" w:rsidP="00C220C4">
      <w:pPr>
        <w:autoSpaceDE w:val="0"/>
        <w:autoSpaceDN w:val="0"/>
        <w:adjustRightInd w:val="0"/>
      </w:pPr>
      <w:r>
        <w:t>The first three factors explain 88% of the total variance observed. Figure 45</w:t>
      </w:r>
      <w:r w:rsidRPr="00FF2FC5">
        <w:t xml:space="preserve"> </w:t>
      </w:r>
      <w:r>
        <w:t xml:space="preserve">shows the scree, loading and score plots for bores OB1A, OB23, RN9329, OB20 and OB21A. </w:t>
      </w:r>
    </w:p>
    <w:p w:rsidR="00EC6996" w:rsidRDefault="00EC6996" w:rsidP="00EC6996">
      <w:pPr>
        <w:pStyle w:val="tablecaption"/>
        <w:jc w:val="center"/>
      </w:pPr>
      <w:bookmarkStart w:id="221" w:name="_Toc386618586"/>
      <w:r w:rsidRPr="000A3842">
        <w:rPr>
          <w:b/>
        </w:rPr>
        <w:t>Table 14</w:t>
      </w:r>
      <w:r>
        <w:t xml:space="preserve"> Principal component loadings of bores around the TSF</w:t>
      </w:r>
      <w:bookmarkEnd w:id="221"/>
    </w:p>
    <w:tbl>
      <w:tblPr>
        <w:tblW w:w="3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4"/>
        <w:gridCol w:w="720"/>
        <w:gridCol w:w="650"/>
        <w:gridCol w:w="718"/>
      </w:tblGrid>
      <w:tr w:rsidR="00EC6996" w:rsidRPr="006C30FE" w:rsidTr="00EC6996">
        <w:trPr>
          <w:jc w:val="center"/>
        </w:trPr>
        <w:tc>
          <w:tcPr>
            <w:tcW w:w="1144" w:type="dxa"/>
          </w:tcPr>
          <w:p w:rsidR="00EC6996" w:rsidRPr="006C30FE" w:rsidRDefault="00EC6996" w:rsidP="002A37A6">
            <w:pPr>
              <w:pStyle w:val="table2"/>
              <w:spacing w:line="240" w:lineRule="atLeast"/>
              <w:rPr>
                <w:rFonts w:cs="Arial"/>
                <w:b/>
                <w:szCs w:val="16"/>
              </w:rPr>
            </w:pPr>
            <w:r w:rsidRPr="006C30FE">
              <w:rPr>
                <w:rFonts w:cs="Arial"/>
                <w:b/>
                <w:szCs w:val="16"/>
              </w:rPr>
              <w:t>Variable</w:t>
            </w:r>
          </w:p>
        </w:tc>
        <w:tc>
          <w:tcPr>
            <w:tcW w:w="720" w:type="dxa"/>
          </w:tcPr>
          <w:p w:rsidR="00EC6996" w:rsidRPr="006C30FE" w:rsidRDefault="00EC6996" w:rsidP="002A37A6">
            <w:pPr>
              <w:pStyle w:val="table2"/>
              <w:spacing w:line="240" w:lineRule="atLeast"/>
              <w:rPr>
                <w:rFonts w:cs="Arial"/>
                <w:b/>
                <w:szCs w:val="16"/>
              </w:rPr>
            </w:pPr>
            <w:r w:rsidRPr="006C30FE">
              <w:rPr>
                <w:rFonts w:cs="Arial"/>
                <w:b/>
                <w:szCs w:val="16"/>
              </w:rPr>
              <w:t>PC1</w:t>
            </w:r>
          </w:p>
        </w:tc>
        <w:tc>
          <w:tcPr>
            <w:tcW w:w="650" w:type="dxa"/>
          </w:tcPr>
          <w:p w:rsidR="00EC6996" w:rsidRPr="006C30FE" w:rsidRDefault="00EC6996" w:rsidP="002A37A6">
            <w:pPr>
              <w:pStyle w:val="table2"/>
              <w:spacing w:line="240" w:lineRule="atLeast"/>
              <w:rPr>
                <w:rFonts w:cs="Arial"/>
                <w:b/>
                <w:szCs w:val="16"/>
              </w:rPr>
            </w:pPr>
            <w:r w:rsidRPr="006C30FE">
              <w:rPr>
                <w:rFonts w:cs="Arial"/>
                <w:b/>
                <w:szCs w:val="16"/>
              </w:rPr>
              <w:t>PC2</w:t>
            </w:r>
          </w:p>
        </w:tc>
        <w:tc>
          <w:tcPr>
            <w:tcW w:w="718" w:type="dxa"/>
          </w:tcPr>
          <w:p w:rsidR="00EC6996" w:rsidRPr="006C30FE" w:rsidRDefault="00EC6996" w:rsidP="002A37A6">
            <w:pPr>
              <w:pStyle w:val="table2"/>
              <w:spacing w:line="240" w:lineRule="atLeast"/>
              <w:rPr>
                <w:rFonts w:cs="Arial"/>
                <w:b/>
                <w:szCs w:val="16"/>
              </w:rPr>
            </w:pPr>
            <w:r w:rsidRPr="006C30FE">
              <w:rPr>
                <w:rFonts w:cs="Arial"/>
                <w:b/>
                <w:szCs w:val="16"/>
              </w:rPr>
              <w:t>PC3</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Ba</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-0.32</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0.37</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0.18</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Ca</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0.37</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0.22</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-0.11</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Fe</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-0.35</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0.29</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0.10</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Mg</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0.31</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-0.19</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0.39</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Mn</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-0.27</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0.44</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0.27</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Na+K</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0.25</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0.31</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-0.47</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Sr</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0.22</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0.34</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0.53</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U</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0.09</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-0.38</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0.43</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Ra-226</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0.31</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0.32</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0.07</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EC</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0.36</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0.21</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-0.08</w:t>
            </w:r>
          </w:p>
        </w:tc>
      </w:tr>
      <w:tr w:rsidR="00EC6996" w:rsidRPr="006C30FE" w:rsidTr="00EC6996">
        <w:trPr>
          <w:jc w:val="center"/>
        </w:trPr>
        <w:tc>
          <w:tcPr>
            <w:tcW w:w="1144" w:type="dxa"/>
            <w:vAlign w:val="bottom"/>
          </w:tcPr>
          <w:p w:rsidR="00EC6996" w:rsidRPr="00A53EFC" w:rsidRDefault="00EC6996" w:rsidP="002A37A6">
            <w:pPr>
              <w:spacing w:after="0" w:line="240" w:lineRule="atLeast"/>
              <w:rPr>
                <w:rFonts w:ascii="Arial" w:hAnsi="Arial" w:cs="Arial"/>
                <w:b/>
                <w:color w:val="000000"/>
                <w:sz w:val="16"/>
                <w:szCs w:val="16"/>
              </w:rPr>
            </w:pPr>
            <w:r w:rsidRPr="00A53EFC">
              <w:rPr>
                <w:rFonts w:ascii="Arial" w:hAnsi="Arial" w:cs="Arial"/>
                <w:b/>
                <w:color w:val="000000"/>
                <w:sz w:val="16"/>
                <w:szCs w:val="16"/>
              </w:rPr>
              <w:t>p</w:t>
            </w:r>
            <w:r>
              <w:rPr>
                <w:rFonts w:ascii="Arial" w:hAnsi="Arial" w:cs="Arial"/>
                <w:b/>
                <w:color w:val="000000"/>
                <w:sz w:val="16"/>
                <w:szCs w:val="16"/>
              </w:rPr>
              <w:t>H</w:t>
            </w:r>
          </w:p>
        </w:tc>
        <w:tc>
          <w:tcPr>
            <w:tcW w:w="72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0.37</w:t>
            </w:r>
          </w:p>
        </w:tc>
        <w:tc>
          <w:tcPr>
            <w:tcW w:w="650"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0.06</w:t>
            </w:r>
          </w:p>
        </w:tc>
        <w:tc>
          <w:tcPr>
            <w:tcW w:w="718" w:type="dxa"/>
            <w:vAlign w:val="bottom"/>
          </w:tcPr>
          <w:p w:rsidR="00EC6996" w:rsidRPr="004A420B" w:rsidRDefault="00EC6996" w:rsidP="002A37A6">
            <w:pPr>
              <w:spacing w:after="0" w:line="240" w:lineRule="atLeast"/>
              <w:jc w:val="center"/>
              <w:rPr>
                <w:rFonts w:ascii="Arial" w:hAnsi="Arial" w:cs="Arial"/>
                <w:color w:val="000000"/>
                <w:sz w:val="16"/>
                <w:szCs w:val="16"/>
              </w:rPr>
            </w:pPr>
            <w:r w:rsidRPr="004A420B">
              <w:rPr>
                <w:rFonts w:ascii="Arial" w:hAnsi="Arial" w:cs="Arial"/>
                <w:color w:val="000000"/>
                <w:sz w:val="16"/>
                <w:szCs w:val="16"/>
              </w:rPr>
              <w:t>0.16</w:t>
            </w:r>
          </w:p>
        </w:tc>
      </w:tr>
      <w:tr w:rsidR="00EC6996" w:rsidRPr="006C30FE" w:rsidTr="00EC6996">
        <w:trPr>
          <w:jc w:val="center"/>
        </w:trPr>
        <w:tc>
          <w:tcPr>
            <w:tcW w:w="1144" w:type="dxa"/>
          </w:tcPr>
          <w:p w:rsidR="00EC6996" w:rsidRPr="006C30FE" w:rsidRDefault="00EC6996" w:rsidP="002A37A6">
            <w:pPr>
              <w:pStyle w:val="table2"/>
              <w:spacing w:line="240" w:lineRule="atLeast"/>
              <w:rPr>
                <w:rFonts w:cs="Arial"/>
                <w:b/>
                <w:szCs w:val="16"/>
              </w:rPr>
            </w:pPr>
            <w:r w:rsidRPr="006C30FE">
              <w:rPr>
                <w:rFonts w:cs="Arial"/>
                <w:b/>
                <w:szCs w:val="16"/>
              </w:rPr>
              <w:t>Eigenvalue</w:t>
            </w:r>
          </w:p>
        </w:tc>
        <w:tc>
          <w:tcPr>
            <w:tcW w:w="720"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6.00</w:t>
            </w:r>
          </w:p>
        </w:tc>
        <w:tc>
          <w:tcPr>
            <w:tcW w:w="650"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2.31</w:t>
            </w:r>
          </w:p>
        </w:tc>
        <w:tc>
          <w:tcPr>
            <w:tcW w:w="718"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1.35</w:t>
            </w:r>
          </w:p>
        </w:tc>
      </w:tr>
      <w:tr w:rsidR="00EC6996" w:rsidRPr="006C30FE" w:rsidTr="00EC6996">
        <w:trPr>
          <w:jc w:val="center"/>
        </w:trPr>
        <w:tc>
          <w:tcPr>
            <w:tcW w:w="1144" w:type="dxa"/>
          </w:tcPr>
          <w:p w:rsidR="00EC6996" w:rsidRPr="006C30FE" w:rsidRDefault="00EC6996" w:rsidP="002A37A6">
            <w:pPr>
              <w:pStyle w:val="table2"/>
              <w:spacing w:line="240" w:lineRule="atLeast"/>
              <w:rPr>
                <w:rFonts w:cs="Arial"/>
                <w:b/>
                <w:szCs w:val="16"/>
              </w:rPr>
            </w:pPr>
            <w:r w:rsidRPr="006C30FE">
              <w:rPr>
                <w:rFonts w:cs="Arial"/>
                <w:b/>
                <w:szCs w:val="16"/>
              </w:rPr>
              <w:t xml:space="preserve">Proportion </w:t>
            </w:r>
          </w:p>
        </w:tc>
        <w:tc>
          <w:tcPr>
            <w:tcW w:w="720"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0.55</w:t>
            </w:r>
          </w:p>
        </w:tc>
        <w:tc>
          <w:tcPr>
            <w:tcW w:w="650"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0.21</w:t>
            </w:r>
          </w:p>
        </w:tc>
        <w:tc>
          <w:tcPr>
            <w:tcW w:w="718"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0.12</w:t>
            </w:r>
          </w:p>
        </w:tc>
      </w:tr>
      <w:tr w:rsidR="00EC6996" w:rsidRPr="006C30FE" w:rsidTr="00EC6996">
        <w:trPr>
          <w:jc w:val="center"/>
        </w:trPr>
        <w:tc>
          <w:tcPr>
            <w:tcW w:w="1144" w:type="dxa"/>
          </w:tcPr>
          <w:p w:rsidR="00EC6996" w:rsidRPr="006C30FE" w:rsidRDefault="00EC6996" w:rsidP="002A37A6">
            <w:pPr>
              <w:pStyle w:val="table2"/>
              <w:spacing w:line="240" w:lineRule="atLeast"/>
              <w:rPr>
                <w:rFonts w:cs="Arial"/>
                <w:b/>
                <w:szCs w:val="16"/>
              </w:rPr>
            </w:pPr>
            <w:r w:rsidRPr="006C30FE">
              <w:rPr>
                <w:rFonts w:cs="Arial"/>
                <w:b/>
                <w:szCs w:val="16"/>
              </w:rPr>
              <w:t>Cumulative</w:t>
            </w:r>
          </w:p>
        </w:tc>
        <w:tc>
          <w:tcPr>
            <w:tcW w:w="720"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0.55</w:t>
            </w:r>
          </w:p>
        </w:tc>
        <w:tc>
          <w:tcPr>
            <w:tcW w:w="650"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0.76</w:t>
            </w:r>
          </w:p>
        </w:tc>
        <w:tc>
          <w:tcPr>
            <w:tcW w:w="718" w:type="dxa"/>
          </w:tcPr>
          <w:p w:rsidR="00EC6996" w:rsidRPr="004A420B" w:rsidRDefault="00EC6996" w:rsidP="002A37A6">
            <w:pPr>
              <w:pStyle w:val="table2"/>
              <w:spacing w:line="240" w:lineRule="atLeast"/>
              <w:jc w:val="center"/>
              <w:rPr>
                <w:rFonts w:cs="Arial"/>
                <w:color w:val="000000"/>
                <w:szCs w:val="16"/>
              </w:rPr>
            </w:pPr>
            <w:r w:rsidRPr="004A420B">
              <w:rPr>
                <w:rFonts w:cs="Arial"/>
                <w:color w:val="000000"/>
                <w:szCs w:val="16"/>
              </w:rPr>
              <w:t>0.88</w:t>
            </w:r>
          </w:p>
        </w:tc>
      </w:tr>
    </w:tbl>
    <w:p w:rsidR="00EC6996" w:rsidRDefault="00EC6996" w:rsidP="00C220C4">
      <w:pPr>
        <w:autoSpaceDE w:val="0"/>
        <w:autoSpaceDN w:val="0"/>
        <w:adjustRightInd w:val="0"/>
      </w:pPr>
    </w:p>
    <w:p w:rsidR="00EC6996" w:rsidRDefault="00EC6996" w:rsidP="00C220C4">
      <w:pPr>
        <w:autoSpaceDE w:val="0"/>
        <w:autoSpaceDN w:val="0"/>
        <w:adjustRightInd w:val="0"/>
      </w:pPr>
    </w:p>
    <w:tbl>
      <w:tblPr>
        <w:tblW w:w="8808" w:type="dxa"/>
        <w:jc w:val="center"/>
        <w:tblLook w:val="04A0"/>
      </w:tblPr>
      <w:tblGrid>
        <w:gridCol w:w="2916"/>
        <w:gridCol w:w="3096"/>
        <w:gridCol w:w="2796"/>
      </w:tblGrid>
      <w:tr w:rsidR="00C220C4" w:rsidTr="00EC6996">
        <w:trPr>
          <w:jc w:val="center"/>
        </w:trPr>
        <w:tc>
          <w:tcPr>
            <w:tcW w:w="2916" w:type="dxa"/>
          </w:tcPr>
          <w:p w:rsidR="00C220C4" w:rsidRDefault="00C220C4" w:rsidP="00C220C4">
            <w:pPr>
              <w:jc w:val="left"/>
            </w:pPr>
            <w:r>
              <w:rPr>
                <w:noProof/>
                <w:lang w:eastAsia="en-AU"/>
              </w:rPr>
              <w:drawing>
                <wp:inline distT="0" distB="0" distL="0" distR="0">
                  <wp:extent cx="1685925" cy="172529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cstate="email"/>
                          <a:srcRect l="2794" t="5235" r="37511"/>
                          <a:stretch>
                            <a:fillRect/>
                          </a:stretch>
                        </pic:blipFill>
                        <pic:spPr bwMode="auto">
                          <a:xfrm>
                            <a:off x="0" y="0"/>
                            <a:ext cx="1685925" cy="1725295"/>
                          </a:xfrm>
                          <a:prstGeom prst="rect">
                            <a:avLst/>
                          </a:prstGeom>
                          <a:noFill/>
                          <a:ln w="9525">
                            <a:noFill/>
                            <a:miter lim="800000"/>
                            <a:headEnd/>
                            <a:tailEnd/>
                          </a:ln>
                        </pic:spPr>
                      </pic:pic>
                    </a:graphicData>
                  </a:graphic>
                </wp:inline>
              </w:drawing>
            </w:r>
          </w:p>
        </w:tc>
        <w:tc>
          <w:tcPr>
            <w:tcW w:w="3096" w:type="dxa"/>
          </w:tcPr>
          <w:p w:rsidR="00C220C4" w:rsidRDefault="00C220C4" w:rsidP="00C220C4">
            <w:pPr>
              <w:jc w:val="left"/>
            </w:pPr>
            <w:r>
              <w:rPr>
                <w:noProof/>
                <w:lang w:eastAsia="en-AU"/>
              </w:rPr>
              <w:drawing>
                <wp:inline distT="0" distB="0" distL="0" distR="0">
                  <wp:extent cx="1828800" cy="17176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cstate="email"/>
                          <a:srcRect l="2484" t="5029" r="30005"/>
                          <a:stretch>
                            <a:fillRect/>
                          </a:stretch>
                        </pic:blipFill>
                        <pic:spPr bwMode="auto">
                          <a:xfrm>
                            <a:off x="0" y="0"/>
                            <a:ext cx="1828800" cy="1717675"/>
                          </a:xfrm>
                          <a:prstGeom prst="rect">
                            <a:avLst/>
                          </a:prstGeom>
                          <a:noFill/>
                          <a:ln w="9525">
                            <a:noFill/>
                            <a:miter lim="800000"/>
                            <a:headEnd/>
                            <a:tailEnd/>
                          </a:ln>
                        </pic:spPr>
                      </pic:pic>
                    </a:graphicData>
                  </a:graphic>
                </wp:inline>
              </w:drawing>
            </w:r>
          </w:p>
        </w:tc>
        <w:tc>
          <w:tcPr>
            <w:tcW w:w="2796" w:type="dxa"/>
          </w:tcPr>
          <w:p w:rsidR="00C220C4" w:rsidRDefault="00C220C4" w:rsidP="00C220C4">
            <w:pPr>
              <w:jc w:val="left"/>
            </w:pPr>
            <w:r>
              <w:rPr>
                <w:noProof/>
                <w:lang w:eastAsia="en-AU"/>
              </w:rPr>
              <w:drawing>
                <wp:inline distT="0" distB="0" distL="0" distR="0">
                  <wp:extent cx="1637665" cy="1717675"/>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cstate="email"/>
                          <a:srcRect l="2107" t="2975" r="36325"/>
                          <a:stretch>
                            <a:fillRect/>
                          </a:stretch>
                        </pic:blipFill>
                        <pic:spPr bwMode="auto">
                          <a:xfrm>
                            <a:off x="0" y="0"/>
                            <a:ext cx="1637665" cy="1717675"/>
                          </a:xfrm>
                          <a:prstGeom prst="rect">
                            <a:avLst/>
                          </a:prstGeom>
                          <a:noFill/>
                          <a:ln w="9525">
                            <a:noFill/>
                            <a:miter lim="800000"/>
                            <a:headEnd/>
                            <a:tailEnd/>
                          </a:ln>
                        </pic:spPr>
                      </pic:pic>
                    </a:graphicData>
                  </a:graphic>
                </wp:inline>
              </w:drawing>
            </w:r>
          </w:p>
        </w:tc>
      </w:tr>
    </w:tbl>
    <w:p w:rsidR="00C220C4" w:rsidRDefault="00C220C4" w:rsidP="00C220C4">
      <w:pPr>
        <w:pStyle w:val="figurecaption"/>
      </w:pPr>
      <w:bookmarkStart w:id="222" w:name="_Toc398721529"/>
      <w:r w:rsidRPr="000A3842">
        <w:rPr>
          <w:b/>
        </w:rPr>
        <w:t>Figure 45</w:t>
      </w:r>
      <w:r w:rsidRPr="00FF2FC5">
        <w:t xml:space="preserve"> Principal components analysis for bores OB1A, OB23, RN9329 OB20 and OB21A.</w:t>
      </w:r>
      <w:bookmarkEnd w:id="222"/>
    </w:p>
    <w:p w:rsidR="00C220C4" w:rsidRPr="006864EB" w:rsidRDefault="00DC4556" w:rsidP="00C220C4">
      <w:pPr>
        <w:rPr>
          <w:rFonts w:cs="TimesNewRomanPSMT"/>
          <w:szCs w:val="22"/>
          <w:lang w:eastAsia="en-AU"/>
        </w:rPr>
      </w:pPr>
      <w:r w:rsidRPr="00DC4556">
        <w:rPr>
          <w:rFonts w:cs="TimesNewRomanPSMT"/>
          <w:szCs w:val="22"/>
          <w:lang w:eastAsia="en-AU"/>
        </w:rPr>
        <w:t xml:space="preserve">EC, Ca, Mg and Na+K are positively correlated to the </w:t>
      </w:r>
      <w:r w:rsidR="00C220C4" w:rsidRPr="006864EB">
        <w:t>1</w:t>
      </w:r>
      <w:r w:rsidR="00C220C4" w:rsidRPr="006864EB">
        <w:rPr>
          <w:vertAlign w:val="superscript"/>
        </w:rPr>
        <w:t>st</w:t>
      </w:r>
      <w:r w:rsidR="00C220C4" w:rsidRPr="006864EB">
        <w:t xml:space="preserve"> </w:t>
      </w:r>
      <w:r w:rsidR="000564B1">
        <w:rPr>
          <w:rFonts w:cs="TimesNewRomanPSMT"/>
          <w:szCs w:val="22"/>
          <w:lang w:eastAsia="en-AU"/>
        </w:rPr>
        <w:t>eigenvector</w:t>
      </w:r>
      <w:r w:rsidRPr="00DC4556">
        <w:rPr>
          <w:rFonts w:cs="TimesNewRomanPSMT"/>
          <w:szCs w:val="22"/>
          <w:lang w:eastAsia="en-AU"/>
        </w:rPr>
        <w:t>, whereas variations in Mn, U and Ba are dominated by variations in the 2</w:t>
      </w:r>
      <w:r w:rsidRPr="00DC4556">
        <w:rPr>
          <w:rFonts w:cs="TimesNewRomanPSMT"/>
          <w:szCs w:val="22"/>
          <w:vertAlign w:val="superscript"/>
          <w:lang w:eastAsia="en-AU"/>
        </w:rPr>
        <w:t>nd</w:t>
      </w:r>
      <w:r w:rsidRPr="00DC4556">
        <w:rPr>
          <w:rFonts w:cs="TimesNewRomanPSMT"/>
          <w:szCs w:val="22"/>
          <w:lang w:eastAsia="en-AU"/>
        </w:rPr>
        <w:t xml:space="preserve"> </w:t>
      </w:r>
      <w:r w:rsidR="000564B1">
        <w:rPr>
          <w:rFonts w:cs="TimesNewRomanPSMT"/>
          <w:szCs w:val="22"/>
          <w:lang w:eastAsia="en-AU"/>
        </w:rPr>
        <w:t>eigenvector</w:t>
      </w:r>
      <w:r w:rsidRPr="00DC4556">
        <w:rPr>
          <w:rFonts w:cs="TimesNewRomanPSMT"/>
          <w:szCs w:val="22"/>
          <w:lang w:eastAsia="en-AU"/>
        </w:rPr>
        <w:t xml:space="preserve"> of the PCA. Mn and Ba are negatively correlated to the 1</w:t>
      </w:r>
      <w:r w:rsidRPr="00DC4556">
        <w:rPr>
          <w:rFonts w:cs="TimesNewRomanPSMT"/>
          <w:szCs w:val="22"/>
          <w:vertAlign w:val="superscript"/>
          <w:lang w:eastAsia="en-AU"/>
        </w:rPr>
        <w:t>st</w:t>
      </w:r>
      <w:r w:rsidRPr="00DC4556">
        <w:rPr>
          <w:rFonts w:cs="TimesNewRomanPSMT"/>
          <w:szCs w:val="22"/>
          <w:lang w:eastAsia="en-AU"/>
        </w:rPr>
        <w:t xml:space="preserve"> </w:t>
      </w:r>
      <w:r w:rsidR="000564B1">
        <w:rPr>
          <w:rFonts w:cs="TimesNewRomanPSMT"/>
          <w:szCs w:val="22"/>
          <w:lang w:eastAsia="en-AU"/>
        </w:rPr>
        <w:t>eigenvector</w:t>
      </w:r>
      <w:r w:rsidRPr="00DC4556">
        <w:rPr>
          <w:rFonts w:cs="TimesNewRomanPSMT"/>
          <w:szCs w:val="22"/>
          <w:lang w:eastAsia="en-AU"/>
        </w:rPr>
        <w:t xml:space="preserve"> and U is negatively correlated to the 2</w:t>
      </w:r>
      <w:r w:rsidRPr="00DC4556">
        <w:rPr>
          <w:rFonts w:cs="TimesNewRomanPSMT"/>
          <w:szCs w:val="22"/>
          <w:vertAlign w:val="superscript"/>
          <w:lang w:eastAsia="en-AU"/>
        </w:rPr>
        <w:t>nd</w:t>
      </w:r>
      <w:r w:rsidRPr="00DC4556">
        <w:rPr>
          <w:rFonts w:cs="TimesNewRomanPSMT"/>
          <w:szCs w:val="22"/>
          <w:lang w:eastAsia="en-AU"/>
        </w:rPr>
        <w:t xml:space="preserve"> </w:t>
      </w:r>
      <w:r w:rsidR="000564B1">
        <w:rPr>
          <w:rFonts w:cs="TimesNewRomanPSMT"/>
          <w:szCs w:val="22"/>
          <w:lang w:eastAsia="en-AU"/>
        </w:rPr>
        <w:t>eigenvector</w:t>
      </w:r>
      <w:r w:rsidRPr="00DC4556">
        <w:rPr>
          <w:rFonts w:cs="TimesNewRomanPSMT"/>
          <w:szCs w:val="22"/>
          <w:lang w:eastAsia="en-AU"/>
        </w:rPr>
        <w:t xml:space="preserve">. The score plot demonstrates that bores group according to the first two principal components. OB1A is dominated by the variance in </w:t>
      </w:r>
      <w:r w:rsidR="00C220C4" w:rsidRPr="006864EB">
        <w:t>the 1</w:t>
      </w:r>
      <w:r w:rsidR="00C220C4" w:rsidRPr="006864EB">
        <w:rPr>
          <w:vertAlign w:val="superscript"/>
        </w:rPr>
        <w:t>st</w:t>
      </w:r>
      <w:r w:rsidR="00C220C4" w:rsidRPr="006864EB">
        <w:t xml:space="preserve"> eigenvector.</w:t>
      </w:r>
      <w:r w:rsidRPr="00DC4556">
        <w:rPr>
          <w:rFonts w:cs="TimesNewRomanPSMT"/>
          <w:szCs w:val="22"/>
          <w:lang w:eastAsia="en-AU"/>
        </w:rPr>
        <w:t xml:space="preserve"> Bores OB23 and OB21A have similar scores for the first two eigenvectors, but OB21A appears to be influenced by larger variations in the 2</w:t>
      </w:r>
      <w:r w:rsidRPr="00DC4556">
        <w:rPr>
          <w:rFonts w:cs="TimesNewRomanPSMT"/>
          <w:szCs w:val="22"/>
          <w:vertAlign w:val="superscript"/>
          <w:lang w:eastAsia="en-AU"/>
        </w:rPr>
        <w:t>nd</w:t>
      </w:r>
      <w:r w:rsidRPr="00DC4556">
        <w:rPr>
          <w:rFonts w:cs="TimesNewRomanPSMT"/>
          <w:szCs w:val="22"/>
          <w:lang w:eastAsia="en-AU"/>
        </w:rPr>
        <w:t xml:space="preserve"> </w:t>
      </w:r>
      <w:r w:rsidR="00C220C4" w:rsidRPr="006864EB">
        <w:t>eigenvector</w:t>
      </w:r>
      <w:r w:rsidRPr="00DC4556">
        <w:rPr>
          <w:rFonts w:cs="TimesNewRomanPSMT"/>
          <w:szCs w:val="22"/>
          <w:lang w:eastAsia="en-AU"/>
        </w:rPr>
        <w:t>. OB20 and RN9329 are negatively correlated to the 2</w:t>
      </w:r>
      <w:r w:rsidRPr="00DC4556">
        <w:rPr>
          <w:rFonts w:cs="TimesNewRomanPSMT"/>
          <w:szCs w:val="22"/>
          <w:vertAlign w:val="superscript"/>
          <w:lang w:eastAsia="en-AU"/>
        </w:rPr>
        <w:t>nd</w:t>
      </w:r>
      <w:r w:rsidRPr="00DC4556">
        <w:rPr>
          <w:rFonts w:cs="TimesNewRomanPSMT"/>
          <w:szCs w:val="22"/>
          <w:lang w:eastAsia="en-AU"/>
        </w:rPr>
        <w:t xml:space="preserve"> </w:t>
      </w:r>
      <w:r w:rsidR="000564B1">
        <w:rPr>
          <w:rFonts w:cs="TimesNewRomanPSMT"/>
          <w:szCs w:val="22"/>
          <w:lang w:eastAsia="en-AU"/>
        </w:rPr>
        <w:t>eigenvector</w:t>
      </w:r>
      <w:r w:rsidRPr="00DC4556">
        <w:rPr>
          <w:rFonts w:cs="TimesNewRomanPSMT"/>
          <w:szCs w:val="22"/>
          <w:lang w:eastAsia="en-AU"/>
        </w:rPr>
        <w:t xml:space="preserve">. </w:t>
      </w:r>
    </w:p>
    <w:p w:rsidR="00C220C4" w:rsidRPr="006864EB" w:rsidRDefault="00DC4556" w:rsidP="00C220C4">
      <w:pPr>
        <w:rPr>
          <w:rFonts w:cs="TimesNewRomanPSMT"/>
          <w:szCs w:val="22"/>
          <w:lang w:eastAsia="en-AU"/>
        </w:rPr>
      </w:pPr>
      <w:r w:rsidRPr="00DC4556">
        <w:rPr>
          <w:rFonts w:cs="TimesNewRomanPSMT"/>
          <w:szCs w:val="22"/>
          <w:lang w:eastAsia="en-AU"/>
        </w:rPr>
        <w:t xml:space="preserve">The PCA can be interpreted such that changes in EC (and thus Ca, Mg, Na+K) lead to an increase in </w:t>
      </w:r>
      <w:r w:rsidRPr="00DC4556">
        <w:rPr>
          <w:snapToGrid w:val="0"/>
          <w:color w:val="000000"/>
          <w:position w:val="5"/>
          <w:sz w:val="15"/>
          <w:szCs w:val="0"/>
          <w:u w:color="000000"/>
          <w:lang w:eastAsia="en-AU"/>
        </w:rPr>
        <w:t>226</w:t>
      </w:r>
      <w:r w:rsidRPr="00DC4556">
        <w:rPr>
          <w:rFonts w:cs="TimesNewRomanPSMT"/>
          <w:szCs w:val="22"/>
          <w:lang w:eastAsia="en-AU"/>
        </w:rPr>
        <w:t xml:space="preserve">Ra and Sr associated with desorption reactions in the aquifer, similar to the increases observed in bores close to the TSF by Martin &amp; Akber (1999). Martin &amp; Akber (1999) also observed that increases in Sr in bores in the vicinity of the TSF were not associated with increases in Ba in agreement with the PCA. </w:t>
      </w:r>
    </w:p>
    <w:p w:rsidR="00C220C4" w:rsidRPr="006864EB" w:rsidRDefault="00DC4556" w:rsidP="00C220C4">
      <w:pPr>
        <w:rPr>
          <w:rFonts w:cs="TimesNewRomanPSMT"/>
          <w:szCs w:val="22"/>
          <w:lang w:eastAsia="en-AU"/>
        </w:rPr>
      </w:pPr>
      <w:r w:rsidRPr="00DC4556">
        <w:rPr>
          <w:rFonts w:cs="TimesNewRomanPSMT"/>
          <w:szCs w:val="22"/>
          <w:lang w:eastAsia="en-AU"/>
        </w:rPr>
        <w:t>On the other hand, oxygen depleted ground waters lead to higher concentrations in the redox sensitive elements, Fe, Mn and Ba (see for example Chen et al 2007), described by the 2</w:t>
      </w:r>
      <w:r w:rsidRPr="00DC4556">
        <w:rPr>
          <w:rFonts w:cs="TimesNewRomanPSMT"/>
          <w:szCs w:val="22"/>
          <w:vertAlign w:val="superscript"/>
          <w:lang w:eastAsia="en-AU"/>
        </w:rPr>
        <w:t>nd</w:t>
      </w:r>
      <w:r w:rsidRPr="00DC4556">
        <w:rPr>
          <w:rFonts w:cs="TimesNewRomanPSMT"/>
          <w:szCs w:val="22"/>
          <w:lang w:eastAsia="en-AU"/>
        </w:rPr>
        <w:t xml:space="preserve"> </w:t>
      </w:r>
      <w:r w:rsidR="000564B1">
        <w:rPr>
          <w:rFonts w:cs="TimesNewRomanPSMT"/>
          <w:szCs w:val="22"/>
          <w:lang w:eastAsia="en-AU"/>
        </w:rPr>
        <w:t>eigenvector</w:t>
      </w:r>
      <w:r w:rsidRPr="00DC4556">
        <w:rPr>
          <w:rFonts w:cs="TimesNewRomanPSMT"/>
          <w:szCs w:val="22"/>
          <w:lang w:eastAsia="en-AU"/>
        </w:rPr>
        <w:t xml:space="preserve">. In contrast, oxygen rich groundwater leads to higher concentrations of U and Mg. Consequently, the variability of the U concentrations in bores OB20 and OB21A appears to be mainly driven by changes in the redox conditions, whereas OB1A appears to be influenced to a greater extent by variations in </w:t>
      </w:r>
      <w:r w:rsidR="00C220C4" w:rsidRPr="006864EB">
        <w:t>electric conductivity (EC)</w:t>
      </w:r>
      <w:r w:rsidRPr="00DC4556">
        <w:rPr>
          <w:rFonts w:cs="TimesNewRomanPSMT"/>
          <w:szCs w:val="22"/>
          <w:lang w:eastAsia="en-AU"/>
        </w:rPr>
        <w:t xml:space="preserve">. </w:t>
      </w:r>
    </w:p>
    <w:p w:rsidR="00C220C4" w:rsidRDefault="00DC4556" w:rsidP="00C220C4">
      <w:r w:rsidRPr="00DC4556">
        <w:rPr>
          <w:rFonts w:cs="TimesNewRomanPSMT"/>
          <w:szCs w:val="22"/>
          <w:lang w:eastAsia="en-AU"/>
        </w:rPr>
        <w:t>Monitoring of bores OB1A and OB23 to the north of the TSF should continue, to be able to detect long term changes of groundwater quality. Bore OB23 is of particular importance as it is located in the</w:t>
      </w:r>
      <w:r w:rsidR="00C220C4">
        <w:rPr>
          <w:rFonts w:ascii="TimesNewRomanPSMT" w:hAnsi="TimesNewRomanPSMT" w:cs="TimesNewRomanPSMT"/>
          <w:szCs w:val="22"/>
          <w:lang w:eastAsia="en-AU"/>
        </w:rPr>
        <w:t xml:space="preserve"> </w:t>
      </w:r>
      <w:r w:rsidR="00C220C4">
        <w:t xml:space="preserve">vicinity of major fault </w:t>
      </w:r>
      <w:proofErr w:type="gramStart"/>
      <w:r w:rsidR="00C220C4">
        <w:t>1 (Figure 2), north of the TSF, which shows higher permeabilities</w:t>
      </w:r>
      <w:proofErr w:type="gramEnd"/>
      <w:r w:rsidR="00C220C4">
        <w:t xml:space="preserve">. Bores to the west of the TSF (RN9329) and the south (OB20, OB21A) should also continue to be monitored, to detect potential changes associated with the remediation works at the TSF and anticipated changes in the groundwater heads, to make sure that any long term changes in groundwater quality are detected and quantified to the south of the TSF. </w:t>
      </w:r>
    </w:p>
    <w:p w:rsidR="00C220C4" w:rsidRDefault="00C220C4" w:rsidP="00C220C4">
      <w:pPr>
        <w:pStyle w:val="Heading3"/>
      </w:pPr>
      <w:bookmarkStart w:id="223" w:name="_Toc398721735"/>
      <w:bookmarkStart w:id="224" w:name="_Toc411850564"/>
      <w:bookmarkStart w:id="225" w:name="_Toc413230070"/>
      <w:r>
        <w:t>4</w:t>
      </w:r>
      <w:r w:rsidRPr="003903E1">
        <w:t>.</w:t>
      </w:r>
      <w:r>
        <w:t>2</w:t>
      </w:r>
      <w:r w:rsidRPr="003903E1">
        <w:t xml:space="preserve"> </w:t>
      </w:r>
      <w:r>
        <w:t>Bores in the Corridor Creek catchment</w:t>
      </w:r>
      <w:bookmarkEnd w:id="223"/>
      <w:bookmarkEnd w:id="224"/>
      <w:bookmarkEnd w:id="225"/>
    </w:p>
    <w:p w:rsidR="00C220C4" w:rsidRDefault="00C220C4" w:rsidP="00C220C4">
      <w:r>
        <w:t>Figure 46 shows major cations, Figure 48 shows the metal concentrations measured in bores OB30 (RN22941) with a screen depth of 20-35 m, and OB27 (RN22930) with a screen depth of 15-40 m.</w:t>
      </w:r>
    </w:p>
    <w:p w:rsidR="00C220C4" w:rsidRDefault="00C220C4" w:rsidP="00C220C4">
      <w:pPr>
        <w:pStyle w:val="Heading4"/>
      </w:pPr>
      <w:bookmarkStart w:id="226" w:name="_Toc398721736"/>
      <w:bookmarkStart w:id="227" w:name="_Toc411850565"/>
      <w:proofErr w:type="gramStart"/>
      <w:r>
        <w:t>4.2.1  Major</w:t>
      </w:r>
      <w:proofErr w:type="gramEnd"/>
      <w:r>
        <w:t xml:space="preserve"> cations</w:t>
      </w:r>
      <w:bookmarkEnd w:id="226"/>
      <w:bookmarkEnd w:id="227"/>
    </w:p>
    <w:p w:rsidR="00C220C4" w:rsidRDefault="00C220C4" w:rsidP="00C220C4">
      <w:r>
        <w:t xml:space="preserve">OB30 is located close to pit 1 and the Corridor Creek Wetland Filter and is dominated by Mg (75-85%). It is a tertiary ERA bore </w:t>
      </w:r>
      <w:r w:rsidRPr="00710252">
        <w:t xml:space="preserve">located in downstream locations </w:t>
      </w:r>
      <w:r>
        <w:t xml:space="preserve">from pit 1 and the seepage limiting barrier, and it is used </w:t>
      </w:r>
      <w:r w:rsidRPr="00710252">
        <w:t>to determine whether seepage has reached the MBL aquifer</w:t>
      </w:r>
      <w:r>
        <w:t xml:space="preserve"> (ERA 2012). </w:t>
      </w:r>
    </w:p>
    <w:p w:rsidR="00C220C4" w:rsidRDefault="00C220C4" w:rsidP="00C220C4">
      <w:r>
        <w:t xml:space="preserve">Bore OB27 is situated on the western side of the confluence of Corridor Creek and Georgetown Creek, and is also dominated by Mg (~ 50%), with 10-20% Ca and 30-40% (Na+K) (Figure 39). </w:t>
      </w:r>
    </w:p>
    <w:p w:rsidR="00C220C4" w:rsidRDefault="00C220C4" w:rsidP="00C220C4">
      <w:r>
        <w:t xml:space="preserve">Ca and Mg are higher in OB30, whereas Na is highest in OB27. Major cation concentrations have decreased over the past decade in OB 27 (Figure 46). </w:t>
      </w:r>
    </w:p>
    <w:p w:rsidR="00C220C4" w:rsidRPr="00335E06" w:rsidRDefault="00C220C4" w:rsidP="00C220C4"/>
    <w:p w:rsidR="00C220C4" w:rsidRDefault="00C220C4" w:rsidP="00C220C4">
      <w:r>
        <w:rPr>
          <w:noProof/>
          <w:lang w:eastAsia="en-AU"/>
        </w:rPr>
        <w:drawing>
          <wp:inline distT="0" distB="0" distL="0" distR="0">
            <wp:extent cx="4540250" cy="318833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cstate="email"/>
                    <a:srcRect l="25821" t="8243" b="1006"/>
                    <a:stretch>
                      <a:fillRect/>
                    </a:stretch>
                  </pic:blipFill>
                  <pic:spPr bwMode="auto">
                    <a:xfrm>
                      <a:off x="0" y="0"/>
                      <a:ext cx="4540250" cy="3188335"/>
                    </a:xfrm>
                    <a:prstGeom prst="rect">
                      <a:avLst/>
                    </a:prstGeom>
                    <a:noFill/>
                    <a:ln w="9525">
                      <a:noFill/>
                      <a:miter lim="800000"/>
                      <a:headEnd/>
                      <a:tailEnd/>
                    </a:ln>
                  </pic:spPr>
                </pic:pic>
              </a:graphicData>
            </a:graphic>
          </wp:inline>
        </w:drawing>
      </w:r>
    </w:p>
    <w:p w:rsidR="00C220C4" w:rsidRDefault="00C220C4" w:rsidP="00C220C4">
      <w:pPr>
        <w:pStyle w:val="figurecaption"/>
      </w:pPr>
      <w:bookmarkStart w:id="228" w:name="_Toc398721530"/>
      <w:r w:rsidRPr="000A3842">
        <w:rPr>
          <w:b/>
        </w:rPr>
        <w:t>Figure 46</w:t>
      </w:r>
      <w:r>
        <w:t xml:space="preserve"> Major cations in OB27 and OB30 in the Corridor Creek catchment.</w:t>
      </w:r>
      <w:bookmarkEnd w:id="228"/>
    </w:p>
    <w:p w:rsidR="00C220C4" w:rsidRDefault="00C220C4" w:rsidP="00C220C4">
      <w:pPr>
        <w:pStyle w:val="Heading4"/>
      </w:pPr>
    </w:p>
    <w:p w:rsidR="00C220C4" w:rsidRDefault="00C220C4" w:rsidP="00C220C4">
      <w:pPr>
        <w:pStyle w:val="Heading4"/>
      </w:pPr>
      <w:bookmarkStart w:id="229" w:name="_Toc398721737"/>
      <w:bookmarkStart w:id="230" w:name="_Toc411850566"/>
      <w:r>
        <w:t>4.2.2 Metals and radionuclides</w:t>
      </w:r>
      <w:bookmarkEnd w:id="229"/>
      <w:bookmarkEnd w:id="230"/>
    </w:p>
    <w:p w:rsidR="00C220C4" w:rsidRDefault="00C220C4" w:rsidP="00C220C4">
      <w:r>
        <w:t xml:space="preserve">Figure 47 show the metal and radionuclide activity concentrations in the two bores plotted against sampling date. Iron, Mn, Ba, Sr and U concentrations have decreased in OB27, close to the confluence of Corridor and Georgetown Creeks, over the past decade. This decline coincides with a gradual decline of the pH in this bore over the past 10 years (ERA 2012).  </w:t>
      </w:r>
    </w:p>
    <w:p w:rsidR="00C220C4" w:rsidRDefault="00C220C4" w:rsidP="00C220C4">
      <w:r>
        <w:t xml:space="preserve">Ba and Sr levels in OB30 have been relatively constant over the past decade, whereas U concentration has decreased from 1999. Increases of Mn and </w:t>
      </w:r>
      <w:r w:rsidRPr="004809EC">
        <w:rPr>
          <w:snapToGrid w:val="0"/>
          <w:color w:val="000000"/>
          <w:position w:val="5"/>
          <w:sz w:val="15"/>
          <w:szCs w:val="0"/>
          <w:u w:color="000000"/>
        </w:rPr>
        <w:t>226</w:t>
      </w:r>
      <w:r>
        <w:t xml:space="preserve">Ra in bore OB30 occurred in 2011 and 2012. OB27 showed an increase in </w:t>
      </w:r>
      <w:r w:rsidRPr="004809EC">
        <w:rPr>
          <w:snapToGrid w:val="0"/>
          <w:color w:val="000000"/>
          <w:position w:val="5"/>
          <w:sz w:val="15"/>
          <w:szCs w:val="0"/>
          <w:u w:color="000000"/>
        </w:rPr>
        <w:t>226</w:t>
      </w:r>
      <w:r>
        <w:t xml:space="preserve">Ra activity concentration in 2011, but Mn concentration decreased.  </w:t>
      </w:r>
    </w:p>
    <w:p w:rsidR="00C220C4" w:rsidRDefault="00C220C4" w:rsidP="00C220C4">
      <w:r>
        <w:t xml:space="preserve">The </w:t>
      </w:r>
      <w:r w:rsidRPr="00635FBA">
        <w:rPr>
          <w:snapToGrid w:val="0"/>
          <w:color w:val="000000"/>
          <w:position w:val="5"/>
          <w:sz w:val="15"/>
          <w:szCs w:val="0"/>
          <w:u w:color="000000"/>
        </w:rPr>
        <w:t>234</w:t>
      </w:r>
      <w:r>
        <w:t>U/</w:t>
      </w:r>
      <w:r w:rsidRPr="00635FBA">
        <w:rPr>
          <w:snapToGrid w:val="0"/>
          <w:color w:val="000000"/>
          <w:position w:val="5"/>
          <w:sz w:val="15"/>
          <w:szCs w:val="0"/>
          <w:u w:color="000000"/>
        </w:rPr>
        <w:t>238</w:t>
      </w:r>
      <w:r>
        <w:t xml:space="preserve">U activity ratio plots shown in Figures 46 g and 46 </w:t>
      </w:r>
      <w:proofErr w:type="gramStart"/>
      <w:r>
        <w:t>h,</w:t>
      </w:r>
      <w:proofErr w:type="gramEnd"/>
      <w:r>
        <w:t xml:space="preserve"> indicate that there is no significant correlation between </w:t>
      </w:r>
      <w:r w:rsidRPr="00635FBA">
        <w:rPr>
          <w:snapToGrid w:val="0"/>
          <w:color w:val="000000"/>
          <w:position w:val="5"/>
          <w:sz w:val="15"/>
          <w:szCs w:val="0"/>
          <w:u w:color="000000"/>
        </w:rPr>
        <w:t>234</w:t>
      </w:r>
      <w:r>
        <w:t>U/</w:t>
      </w:r>
      <w:r w:rsidRPr="00635FBA">
        <w:rPr>
          <w:snapToGrid w:val="0"/>
          <w:color w:val="000000"/>
          <w:position w:val="5"/>
          <w:sz w:val="15"/>
          <w:szCs w:val="0"/>
          <w:u w:color="000000"/>
        </w:rPr>
        <w:t>238</w:t>
      </w:r>
      <w:r>
        <w:t xml:space="preserve">U activity ratios and the inverse of the uranium concentration in either of the two bores. However, U concentrations in OB30 are generally high, and average </w:t>
      </w:r>
      <w:r w:rsidRPr="00635FBA">
        <w:rPr>
          <w:snapToGrid w:val="0"/>
          <w:color w:val="000000"/>
          <w:position w:val="5"/>
          <w:sz w:val="15"/>
          <w:szCs w:val="0"/>
          <w:u w:color="000000"/>
        </w:rPr>
        <w:t>234</w:t>
      </w:r>
      <w:r>
        <w:t>U/</w:t>
      </w:r>
      <w:r w:rsidRPr="00635FBA">
        <w:rPr>
          <w:snapToGrid w:val="0"/>
          <w:color w:val="000000"/>
          <w:position w:val="5"/>
          <w:sz w:val="15"/>
          <w:szCs w:val="0"/>
          <w:u w:color="000000"/>
        </w:rPr>
        <w:t>238</w:t>
      </w:r>
      <w:r>
        <w:t xml:space="preserve">U activity ratio measured over the past 13 years in OB30 was around 1.08±0.03. Compared to 1989, the </w:t>
      </w:r>
      <w:r w:rsidRPr="00635FBA">
        <w:rPr>
          <w:snapToGrid w:val="0"/>
          <w:color w:val="000000"/>
          <w:position w:val="5"/>
          <w:sz w:val="15"/>
          <w:szCs w:val="0"/>
          <w:u w:color="000000"/>
        </w:rPr>
        <w:t>238</w:t>
      </w:r>
      <w:r>
        <w:t xml:space="preserve">U activity concentration in OB30 has increased 4-fold by 1999 (Figure 32) but is currently decreasing. The increase observed in the late 1990s may indicate an influence of uranium originating from tailings deposition in pit 1.  </w:t>
      </w:r>
    </w:p>
    <w:p w:rsidR="00C220C4" w:rsidRPr="009D2D98" w:rsidRDefault="00C220C4" w:rsidP="00C220C4"/>
    <w:p w:rsidR="00C220C4" w:rsidRDefault="00C220C4" w:rsidP="00C220C4">
      <w:pPr>
        <w:jc w:val="center"/>
      </w:pPr>
      <w:r>
        <w:rPr>
          <w:noProof/>
          <w:lang w:eastAsia="en-AU"/>
        </w:rPr>
        <w:drawing>
          <wp:inline distT="0" distB="0" distL="0" distR="0">
            <wp:extent cx="4659630" cy="6782435"/>
            <wp:effectExtent l="1905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cstate="email"/>
                    <a:srcRect t="3934" b="380"/>
                    <a:stretch>
                      <a:fillRect/>
                    </a:stretch>
                  </pic:blipFill>
                  <pic:spPr bwMode="auto">
                    <a:xfrm>
                      <a:off x="0" y="0"/>
                      <a:ext cx="4659630" cy="6782435"/>
                    </a:xfrm>
                    <a:prstGeom prst="rect">
                      <a:avLst/>
                    </a:prstGeom>
                    <a:noFill/>
                    <a:ln w="9525">
                      <a:noFill/>
                      <a:miter lim="800000"/>
                      <a:headEnd/>
                      <a:tailEnd/>
                    </a:ln>
                  </pic:spPr>
                </pic:pic>
              </a:graphicData>
            </a:graphic>
          </wp:inline>
        </w:drawing>
      </w:r>
    </w:p>
    <w:p w:rsidR="00C220C4" w:rsidRDefault="00C220C4" w:rsidP="00C220C4">
      <w:pPr>
        <w:pStyle w:val="figurecaption"/>
      </w:pPr>
      <w:bookmarkStart w:id="231" w:name="_Toc398721531"/>
      <w:r w:rsidRPr="000A3842">
        <w:rPr>
          <w:b/>
        </w:rPr>
        <w:t>Figure 47</w:t>
      </w:r>
      <w:r>
        <w:t xml:space="preserve"> Metal and radionuclide activity concentrations and ratios in bores OB30 and OB27.</w:t>
      </w:r>
      <w:bookmarkEnd w:id="231"/>
    </w:p>
    <w:p w:rsidR="00C220C4" w:rsidRPr="003B7024" w:rsidRDefault="00C220C4" w:rsidP="00C220C4"/>
    <w:p w:rsidR="00C220C4" w:rsidRDefault="00C220C4" w:rsidP="00C220C4">
      <w:pPr>
        <w:pStyle w:val="Heading4"/>
      </w:pPr>
      <w:bookmarkStart w:id="232" w:name="_Toc398721738"/>
      <w:bookmarkStart w:id="233" w:name="_Toc411850567"/>
      <w:r>
        <w:t>4.2.3 Principal components analysis (PCA)</w:t>
      </w:r>
      <w:bookmarkEnd w:id="232"/>
      <w:bookmarkEnd w:id="233"/>
    </w:p>
    <w:p w:rsidR="00C220C4" w:rsidRDefault="00C220C4" w:rsidP="00C220C4">
      <w:r>
        <w:t>Figure 48 summari</w:t>
      </w:r>
      <w:r w:rsidR="006864EB">
        <w:t>s</w:t>
      </w:r>
      <w:r>
        <w:t>es the results of the PCA</w:t>
      </w:r>
      <w:r w:rsidRPr="00993E82">
        <w:t xml:space="preserve"> </w:t>
      </w:r>
      <w:r>
        <w:t>for bores OB30 and OB27, including the loadings and eigenvalues of the first two principal component. More than 90% of the variability in the two bores is explained by the first two factors, Table 15 shows the results of the PCA.</w:t>
      </w:r>
    </w:p>
    <w:p w:rsidR="002A37A6" w:rsidRDefault="002A37A6" w:rsidP="00C220C4"/>
    <w:p w:rsidR="002A37A6" w:rsidRDefault="002A37A6" w:rsidP="00C220C4"/>
    <w:p w:rsidR="00C220C4" w:rsidRDefault="00C220C4" w:rsidP="00C220C4"/>
    <w:p w:rsidR="00C220C4" w:rsidRDefault="00C220C4" w:rsidP="00C220C4">
      <w:pPr>
        <w:pStyle w:val="tablecaption"/>
        <w:jc w:val="center"/>
      </w:pPr>
      <w:bookmarkStart w:id="234" w:name="_Toc386618587"/>
      <w:r w:rsidRPr="000A3842">
        <w:rPr>
          <w:b/>
        </w:rPr>
        <w:t>Table 15</w:t>
      </w:r>
      <w:r>
        <w:t xml:space="preserve"> Principal component loadings of bores OB30 and OB27</w:t>
      </w:r>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
        <w:gridCol w:w="718"/>
        <w:gridCol w:w="718"/>
      </w:tblGrid>
      <w:tr w:rsidR="00C220C4" w:rsidRPr="004A5155" w:rsidTr="00C220C4">
        <w:trPr>
          <w:jc w:val="center"/>
        </w:trPr>
        <w:tc>
          <w:tcPr>
            <w:tcW w:w="1079" w:type="dxa"/>
          </w:tcPr>
          <w:p w:rsidR="00C220C4" w:rsidRPr="006C30FE" w:rsidRDefault="00C220C4" w:rsidP="00C220C4">
            <w:pPr>
              <w:pStyle w:val="table2"/>
              <w:spacing w:line="240" w:lineRule="atLeast"/>
              <w:rPr>
                <w:b/>
              </w:rPr>
            </w:pPr>
            <w:r w:rsidRPr="006C30FE">
              <w:rPr>
                <w:b/>
              </w:rPr>
              <w:t>Variable</w:t>
            </w:r>
          </w:p>
        </w:tc>
        <w:tc>
          <w:tcPr>
            <w:tcW w:w="718" w:type="dxa"/>
          </w:tcPr>
          <w:p w:rsidR="00C220C4" w:rsidRPr="006C30FE" w:rsidRDefault="00C220C4" w:rsidP="00C220C4">
            <w:pPr>
              <w:pStyle w:val="table2"/>
              <w:spacing w:line="240" w:lineRule="atLeast"/>
              <w:rPr>
                <w:b/>
              </w:rPr>
            </w:pPr>
            <w:r w:rsidRPr="006C30FE">
              <w:rPr>
                <w:b/>
              </w:rPr>
              <w:t>PC1</w:t>
            </w:r>
          </w:p>
        </w:tc>
        <w:tc>
          <w:tcPr>
            <w:tcW w:w="718" w:type="dxa"/>
          </w:tcPr>
          <w:p w:rsidR="00C220C4" w:rsidRPr="006C30FE" w:rsidRDefault="00C220C4" w:rsidP="00C220C4">
            <w:pPr>
              <w:pStyle w:val="table2"/>
              <w:spacing w:line="240" w:lineRule="atLeast"/>
              <w:rPr>
                <w:b/>
              </w:rPr>
            </w:pPr>
            <w:r w:rsidRPr="006C30FE">
              <w:rPr>
                <w:b/>
              </w:rPr>
              <w:t>PC2</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Ba</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0.33</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-0.18</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Ca</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-0.25</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-0.54</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Fe</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0.28</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-0.18</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Mg</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-0.30</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-0.39</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Mn</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0.32</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-0.20</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Na+K</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0.32</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-0.30</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Sr</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0.31</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-0.28</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U</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-0.32</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-0.07</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Ra-226</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0.30</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-0.24</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EC</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-0.28</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-0.46</w:t>
            </w:r>
          </w:p>
        </w:tc>
      </w:tr>
      <w:tr w:rsidR="00C220C4" w:rsidRPr="006C30FE" w:rsidTr="00C220C4">
        <w:trPr>
          <w:jc w:val="center"/>
        </w:trPr>
        <w:tc>
          <w:tcPr>
            <w:tcW w:w="1079" w:type="dxa"/>
          </w:tcPr>
          <w:p w:rsidR="00C220C4" w:rsidRPr="000D555B" w:rsidRDefault="00C220C4" w:rsidP="00C220C4">
            <w:pPr>
              <w:spacing w:after="0" w:line="240" w:lineRule="atLeast"/>
              <w:rPr>
                <w:rFonts w:ascii="Arial" w:hAnsi="Arial" w:cs="Arial"/>
                <w:b/>
                <w:sz w:val="16"/>
                <w:szCs w:val="16"/>
              </w:rPr>
            </w:pPr>
            <w:r w:rsidRPr="000D555B">
              <w:rPr>
                <w:rFonts w:ascii="Arial" w:hAnsi="Arial" w:cs="Arial"/>
                <w:b/>
                <w:sz w:val="16"/>
                <w:szCs w:val="16"/>
              </w:rPr>
              <w:t>pH</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-0.29</w:t>
            </w:r>
          </w:p>
        </w:tc>
        <w:tc>
          <w:tcPr>
            <w:tcW w:w="718" w:type="dxa"/>
          </w:tcPr>
          <w:p w:rsidR="00C220C4" w:rsidRPr="004A420B" w:rsidRDefault="00C220C4" w:rsidP="00C220C4">
            <w:pPr>
              <w:spacing w:after="0" w:line="240" w:lineRule="atLeast"/>
              <w:jc w:val="center"/>
              <w:rPr>
                <w:rFonts w:ascii="Arial" w:hAnsi="Arial" w:cs="Arial"/>
                <w:sz w:val="16"/>
                <w:szCs w:val="16"/>
              </w:rPr>
            </w:pPr>
            <w:r w:rsidRPr="004A420B">
              <w:rPr>
                <w:rFonts w:ascii="Arial" w:hAnsi="Arial" w:cs="Arial"/>
                <w:sz w:val="16"/>
                <w:szCs w:val="16"/>
              </w:rPr>
              <w:t>-0.09</w:t>
            </w:r>
          </w:p>
        </w:tc>
      </w:tr>
      <w:tr w:rsidR="00C220C4" w:rsidRPr="006C30FE" w:rsidTr="00C220C4">
        <w:trPr>
          <w:jc w:val="center"/>
        </w:trPr>
        <w:tc>
          <w:tcPr>
            <w:tcW w:w="1079" w:type="dxa"/>
          </w:tcPr>
          <w:p w:rsidR="00C220C4" w:rsidRPr="000D555B" w:rsidRDefault="00C220C4" w:rsidP="00C220C4">
            <w:pPr>
              <w:pStyle w:val="table2"/>
              <w:spacing w:before="0" w:after="0" w:line="240" w:lineRule="atLeast"/>
              <w:rPr>
                <w:rFonts w:cs="Arial"/>
                <w:b/>
                <w:szCs w:val="16"/>
              </w:rPr>
            </w:pPr>
            <w:r w:rsidRPr="000D555B">
              <w:rPr>
                <w:rFonts w:cs="Arial"/>
                <w:b/>
                <w:szCs w:val="16"/>
              </w:rPr>
              <w:t>Eigenvalue</w:t>
            </w:r>
          </w:p>
        </w:tc>
        <w:tc>
          <w:tcPr>
            <w:tcW w:w="718" w:type="dxa"/>
            <w:vAlign w:val="bottom"/>
          </w:tcPr>
          <w:p w:rsidR="00C220C4" w:rsidRPr="004A420B" w:rsidRDefault="00C220C4" w:rsidP="00C220C4">
            <w:pPr>
              <w:pStyle w:val="table2"/>
              <w:spacing w:before="0" w:after="0" w:line="240" w:lineRule="atLeast"/>
              <w:jc w:val="center"/>
              <w:rPr>
                <w:rFonts w:cs="Arial"/>
                <w:color w:val="000000"/>
                <w:szCs w:val="16"/>
              </w:rPr>
            </w:pPr>
            <w:r w:rsidRPr="004A420B">
              <w:rPr>
                <w:rFonts w:cs="Arial"/>
                <w:color w:val="000000"/>
                <w:szCs w:val="16"/>
              </w:rPr>
              <w:t>8.64</w:t>
            </w:r>
          </w:p>
        </w:tc>
        <w:tc>
          <w:tcPr>
            <w:tcW w:w="718" w:type="dxa"/>
            <w:vAlign w:val="bottom"/>
          </w:tcPr>
          <w:p w:rsidR="00C220C4" w:rsidRPr="004A420B" w:rsidRDefault="00C220C4" w:rsidP="00C220C4">
            <w:pPr>
              <w:pStyle w:val="table2"/>
              <w:spacing w:before="0" w:after="0" w:line="240" w:lineRule="atLeast"/>
              <w:jc w:val="center"/>
              <w:rPr>
                <w:rFonts w:cs="Arial"/>
                <w:color w:val="000000"/>
                <w:szCs w:val="16"/>
              </w:rPr>
            </w:pPr>
            <w:r w:rsidRPr="004A420B">
              <w:rPr>
                <w:rFonts w:cs="Arial"/>
                <w:color w:val="000000"/>
                <w:szCs w:val="16"/>
              </w:rPr>
              <w:t>1.34</w:t>
            </w:r>
          </w:p>
        </w:tc>
      </w:tr>
      <w:tr w:rsidR="00C220C4" w:rsidRPr="006C30FE" w:rsidTr="00C220C4">
        <w:trPr>
          <w:jc w:val="center"/>
        </w:trPr>
        <w:tc>
          <w:tcPr>
            <w:tcW w:w="1079" w:type="dxa"/>
          </w:tcPr>
          <w:p w:rsidR="00C220C4" w:rsidRPr="000D555B" w:rsidRDefault="00C220C4" w:rsidP="00C220C4">
            <w:pPr>
              <w:pStyle w:val="table2"/>
              <w:spacing w:before="0" w:after="0" w:line="240" w:lineRule="atLeast"/>
              <w:rPr>
                <w:rFonts w:cs="Arial"/>
                <w:b/>
                <w:szCs w:val="16"/>
              </w:rPr>
            </w:pPr>
            <w:r w:rsidRPr="000D555B">
              <w:rPr>
                <w:rFonts w:cs="Arial"/>
                <w:b/>
                <w:szCs w:val="16"/>
              </w:rPr>
              <w:t xml:space="preserve">Proportion </w:t>
            </w:r>
          </w:p>
        </w:tc>
        <w:tc>
          <w:tcPr>
            <w:tcW w:w="718" w:type="dxa"/>
            <w:vAlign w:val="bottom"/>
          </w:tcPr>
          <w:p w:rsidR="00C220C4" w:rsidRPr="004A420B" w:rsidRDefault="00C220C4" w:rsidP="00C220C4">
            <w:pPr>
              <w:pStyle w:val="table2"/>
              <w:spacing w:before="0" w:after="0" w:line="240" w:lineRule="atLeast"/>
              <w:jc w:val="center"/>
              <w:rPr>
                <w:rFonts w:cs="Arial"/>
                <w:color w:val="000000"/>
                <w:szCs w:val="16"/>
              </w:rPr>
            </w:pPr>
            <w:r w:rsidRPr="004A420B">
              <w:rPr>
                <w:rFonts w:cs="Arial"/>
                <w:color w:val="000000"/>
                <w:szCs w:val="16"/>
              </w:rPr>
              <w:t>0.79</w:t>
            </w:r>
          </w:p>
        </w:tc>
        <w:tc>
          <w:tcPr>
            <w:tcW w:w="718" w:type="dxa"/>
            <w:vAlign w:val="bottom"/>
          </w:tcPr>
          <w:p w:rsidR="00C220C4" w:rsidRPr="004A420B" w:rsidRDefault="00C220C4" w:rsidP="00C220C4">
            <w:pPr>
              <w:pStyle w:val="table2"/>
              <w:spacing w:before="0" w:after="0" w:line="240" w:lineRule="atLeast"/>
              <w:jc w:val="center"/>
              <w:rPr>
                <w:rFonts w:cs="Arial"/>
                <w:color w:val="000000"/>
                <w:szCs w:val="16"/>
              </w:rPr>
            </w:pPr>
            <w:r w:rsidRPr="004A420B">
              <w:rPr>
                <w:rFonts w:cs="Arial"/>
                <w:color w:val="000000"/>
                <w:szCs w:val="16"/>
              </w:rPr>
              <w:t>0.12</w:t>
            </w:r>
          </w:p>
        </w:tc>
      </w:tr>
      <w:tr w:rsidR="00C220C4" w:rsidRPr="006C30FE" w:rsidTr="00C220C4">
        <w:trPr>
          <w:jc w:val="center"/>
        </w:trPr>
        <w:tc>
          <w:tcPr>
            <w:tcW w:w="1079" w:type="dxa"/>
          </w:tcPr>
          <w:p w:rsidR="00C220C4" w:rsidRPr="000D555B" w:rsidRDefault="00C220C4" w:rsidP="00C220C4">
            <w:pPr>
              <w:pStyle w:val="table2"/>
              <w:spacing w:before="0" w:after="0" w:line="240" w:lineRule="atLeast"/>
              <w:rPr>
                <w:rFonts w:cs="Arial"/>
                <w:b/>
                <w:szCs w:val="16"/>
              </w:rPr>
            </w:pPr>
            <w:r w:rsidRPr="000D555B">
              <w:rPr>
                <w:rFonts w:cs="Arial"/>
                <w:b/>
                <w:szCs w:val="16"/>
              </w:rPr>
              <w:t>Cumulative</w:t>
            </w:r>
          </w:p>
        </w:tc>
        <w:tc>
          <w:tcPr>
            <w:tcW w:w="718" w:type="dxa"/>
            <w:vAlign w:val="bottom"/>
          </w:tcPr>
          <w:p w:rsidR="00C220C4" w:rsidRPr="004A420B" w:rsidRDefault="00C220C4" w:rsidP="00C220C4">
            <w:pPr>
              <w:pStyle w:val="table2"/>
              <w:spacing w:before="0" w:after="0" w:line="240" w:lineRule="atLeast"/>
              <w:jc w:val="center"/>
              <w:rPr>
                <w:rFonts w:cs="Arial"/>
                <w:color w:val="000000"/>
                <w:szCs w:val="16"/>
              </w:rPr>
            </w:pPr>
            <w:r w:rsidRPr="004A420B">
              <w:rPr>
                <w:rFonts w:cs="Arial"/>
                <w:color w:val="000000"/>
                <w:szCs w:val="16"/>
              </w:rPr>
              <w:t>0.79</w:t>
            </w:r>
          </w:p>
        </w:tc>
        <w:tc>
          <w:tcPr>
            <w:tcW w:w="718" w:type="dxa"/>
            <w:vAlign w:val="bottom"/>
          </w:tcPr>
          <w:p w:rsidR="00C220C4" w:rsidRPr="004A420B" w:rsidRDefault="00C220C4" w:rsidP="00C220C4">
            <w:pPr>
              <w:pStyle w:val="table2"/>
              <w:spacing w:before="0" w:after="0" w:line="240" w:lineRule="atLeast"/>
              <w:jc w:val="center"/>
              <w:rPr>
                <w:rFonts w:cs="Arial"/>
                <w:color w:val="000000"/>
                <w:szCs w:val="16"/>
              </w:rPr>
            </w:pPr>
            <w:r w:rsidRPr="004A420B">
              <w:rPr>
                <w:rFonts w:cs="Arial"/>
                <w:color w:val="000000"/>
                <w:szCs w:val="16"/>
              </w:rPr>
              <w:t>0.91</w:t>
            </w:r>
          </w:p>
        </w:tc>
      </w:tr>
    </w:tbl>
    <w:p w:rsidR="00C220C4" w:rsidRDefault="00C220C4" w:rsidP="00C220C4"/>
    <w:tbl>
      <w:tblPr>
        <w:tblW w:w="8897" w:type="dxa"/>
        <w:tblInd w:w="-176" w:type="dxa"/>
        <w:tblLayout w:type="fixed"/>
        <w:tblLook w:val="04A0"/>
      </w:tblPr>
      <w:tblGrid>
        <w:gridCol w:w="2943"/>
        <w:gridCol w:w="2835"/>
        <w:gridCol w:w="3119"/>
      </w:tblGrid>
      <w:tr w:rsidR="00C220C4" w:rsidTr="00C220C4">
        <w:tc>
          <w:tcPr>
            <w:tcW w:w="2943" w:type="dxa"/>
          </w:tcPr>
          <w:p w:rsidR="00C220C4" w:rsidRDefault="00C220C4" w:rsidP="00C220C4">
            <w:r>
              <w:rPr>
                <w:noProof/>
                <w:lang w:eastAsia="en-AU"/>
              </w:rPr>
              <w:drawing>
                <wp:inline distT="0" distB="0" distL="0" distR="0">
                  <wp:extent cx="1709420" cy="1812925"/>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cstate="email"/>
                          <a:srcRect l="1949" t="5002" r="38106"/>
                          <a:stretch>
                            <a:fillRect/>
                          </a:stretch>
                        </pic:blipFill>
                        <pic:spPr bwMode="auto">
                          <a:xfrm>
                            <a:off x="0" y="0"/>
                            <a:ext cx="1709420" cy="1812925"/>
                          </a:xfrm>
                          <a:prstGeom prst="rect">
                            <a:avLst/>
                          </a:prstGeom>
                          <a:noFill/>
                          <a:ln w="9525">
                            <a:noFill/>
                            <a:miter lim="800000"/>
                            <a:headEnd/>
                            <a:tailEnd/>
                          </a:ln>
                        </pic:spPr>
                      </pic:pic>
                    </a:graphicData>
                  </a:graphic>
                </wp:inline>
              </w:drawing>
            </w:r>
          </w:p>
        </w:tc>
        <w:tc>
          <w:tcPr>
            <w:tcW w:w="2835" w:type="dxa"/>
          </w:tcPr>
          <w:p w:rsidR="00C220C4" w:rsidRDefault="00C220C4" w:rsidP="00C220C4">
            <w:pPr>
              <w:ind w:left="-108"/>
              <w:jc w:val="left"/>
            </w:pPr>
            <w:r>
              <w:rPr>
                <w:noProof/>
                <w:lang w:eastAsia="en-AU"/>
              </w:rPr>
              <w:drawing>
                <wp:inline distT="0" distB="0" distL="0" distR="0">
                  <wp:extent cx="1797050" cy="178879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cstate="email"/>
                          <a:srcRect l="1817" t="3563" r="34465"/>
                          <a:stretch>
                            <a:fillRect/>
                          </a:stretch>
                        </pic:blipFill>
                        <pic:spPr bwMode="auto">
                          <a:xfrm>
                            <a:off x="0" y="0"/>
                            <a:ext cx="1797050" cy="1788795"/>
                          </a:xfrm>
                          <a:prstGeom prst="rect">
                            <a:avLst/>
                          </a:prstGeom>
                          <a:noFill/>
                          <a:ln w="9525">
                            <a:noFill/>
                            <a:miter lim="800000"/>
                            <a:headEnd/>
                            <a:tailEnd/>
                          </a:ln>
                        </pic:spPr>
                      </pic:pic>
                    </a:graphicData>
                  </a:graphic>
                </wp:inline>
              </w:drawing>
            </w:r>
          </w:p>
        </w:tc>
        <w:tc>
          <w:tcPr>
            <w:tcW w:w="3119" w:type="dxa"/>
          </w:tcPr>
          <w:p w:rsidR="00C220C4" w:rsidRDefault="00C220C4" w:rsidP="00C220C4">
            <w:pPr>
              <w:jc w:val="left"/>
            </w:pPr>
            <w:r>
              <w:rPr>
                <w:noProof/>
                <w:lang w:eastAsia="en-AU"/>
              </w:rPr>
              <w:drawing>
                <wp:inline distT="0" distB="0" distL="0" distR="0">
                  <wp:extent cx="1860550" cy="1788795"/>
                  <wp:effectExtent l="1905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cstate="email"/>
                          <a:srcRect t="3470" r="33206"/>
                          <a:stretch>
                            <a:fillRect/>
                          </a:stretch>
                        </pic:blipFill>
                        <pic:spPr bwMode="auto">
                          <a:xfrm>
                            <a:off x="0" y="0"/>
                            <a:ext cx="1860550" cy="1788795"/>
                          </a:xfrm>
                          <a:prstGeom prst="rect">
                            <a:avLst/>
                          </a:prstGeom>
                          <a:noFill/>
                          <a:ln w="9525">
                            <a:noFill/>
                            <a:miter lim="800000"/>
                            <a:headEnd/>
                            <a:tailEnd/>
                          </a:ln>
                        </pic:spPr>
                      </pic:pic>
                    </a:graphicData>
                  </a:graphic>
                </wp:inline>
              </w:drawing>
            </w:r>
          </w:p>
        </w:tc>
      </w:tr>
    </w:tbl>
    <w:p w:rsidR="00C220C4" w:rsidRDefault="00C220C4" w:rsidP="00C220C4">
      <w:pPr>
        <w:pStyle w:val="figurecaption"/>
      </w:pPr>
      <w:bookmarkStart w:id="235" w:name="_Toc398721532"/>
      <w:r w:rsidRPr="000A3842">
        <w:rPr>
          <w:b/>
        </w:rPr>
        <w:t>Figure 48</w:t>
      </w:r>
      <w:r>
        <w:t xml:space="preserve"> </w:t>
      </w:r>
      <w:r w:rsidRPr="00FF2FC5">
        <w:t>Principal components analysis for bores</w:t>
      </w:r>
      <w:r>
        <w:t xml:space="preserve"> OB30 and OB27.</w:t>
      </w:r>
      <w:bookmarkEnd w:id="235"/>
    </w:p>
    <w:p w:rsidR="00C220C4" w:rsidRPr="006864EB" w:rsidRDefault="00DC4556" w:rsidP="00C220C4">
      <w:r w:rsidRPr="00DC4556">
        <w:rPr>
          <w:rFonts w:cs="TimesNewRomanPSMT"/>
          <w:szCs w:val="22"/>
          <w:lang w:eastAsia="en-AU"/>
        </w:rPr>
        <w:t xml:space="preserve">The first </w:t>
      </w:r>
      <w:r w:rsidR="000564B1">
        <w:rPr>
          <w:rFonts w:cs="TimesNewRomanPSMT"/>
          <w:szCs w:val="22"/>
          <w:lang w:eastAsia="en-AU"/>
        </w:rPr>
        <w:t>eigenvector</w:t>
      </w:r>
      <w:r w:rsidRPr="00DC4556">
        <w:rPr>
          <w:rFonts w:cs="TimesNewRomanPSMT"/>
          <w:szCs w:val="22"/>
          <w:lang w:eastAsia="en-AU"/>
        </w:rPr>
        <w:t xml:space="preserve"> of the PCA dominates Ba, Mn, Fe, Sr and </w:t>
      </w:r>
      <w:r w:rsidRPr="00DC4556">
        <w:rPr>
          <w:snapToGrid w:val="0"/>
          <w:color w:val="000000"/>
          <w:position w:val="5"/>
          <w:sz w:val="15"/>
          <w:szCs w:val="0"/>
          <w:u w:color="000000"/>
          <w:lang w:eastAsia="en-AU"/>
        </w:rPr>
        <w:t>226</w:t>
      </w:r>
      <w:r w:rsidRPr="00DC4556">
        <w:rPr>
          <w:rFonts w:cs="TimesNewRomanPSMT"/>
          <w:szCs w:val="22"/>
          <w:lang w:eastAsia="en-AU"/>
        </w:rPr>
        <w:t xml:space="preserve">Ra activity concentrations and is negatively correlated to uranium. Similar to the interpretation of the bores around the TSF, this factor may be best described by the existing redox conditions in the bores, with oxygen rich ground waters favouring high uranium and low Mn and Fe concentrations, and oxygen depletion favouring low uranium and high Mn, Fe and Ba concentrations. The second factor is dominating variations in Mg, Ca and Na+K, and thus EC, in groundwater. </w:t>
      </w:r>
    </w:p>
    <w:p w:rsidR="00C220C4" w:rsidRDefault="00C220C4" w:rsidP="00C220C4">
      <w:r>
        <w:t xml:space="preserve">OB27 shows high positive scores with the first </w:t>
      </w:r>
      <w:r w:rsidR="000564B1">
        <w:t>eigenvector</w:t>
      </w:r>
      <w:r>
        <w:t xml:space="preserve">, consequently this bore appears to be characterised by a more reducing environment than OB30. Associated with the low oxygen are low dissolved U concentrations in the groundwater collected from this bore. In contrast OB30 scores are negatively correlated with the first factor, meaning ground water is more oxygenated and U concentration in this bores is higher. To assess the performance of the seepage limiting barrier in pit 1, groundwater quality monitoring of OB30 should continue. </w:t>
      </w:r>
    </w:p>
    <w:p w:rsidR="00C220C4" w:rsidRDefault="00C220C4" w:rsidP="00C220C4">
      <w:r>
        <w:t xml:space="preserve">OB27 is located along the Corridor Creek catchment, which is one of the major pathways of contaminants leaving the site. Long-term monitoring of this bore should continue and focus on detecting changes in groundwater quality associated with the rehabilitation of Ranger mine, and in particular with the storage of tailings in pit 1. </w:t>
      </w:r>
    </w:p>
    <w:p w:rsidR="00C220C4" w:rsidRDefault="00C220C4" w:rsidP="00C220C4">
      <w:pPr>
        <w:pStyle w:val="Heading3"/>
      </w:pPr>
      <w:bookmarkStart w:id="236" w:name="_Toc398721739"/>
      <w:bookmarkStart w:id="237" w:name="_Toc411850568"/>
      <w:bookmarkStart w:id="238" w:name="_Toc413230071"/>
      <w:r>
        <w:t>4</w:t>
      </w:r>
      <w:r w:rsidRPr="003903E1">
        <w:t>.</w:t>
      </w:r>
      <w:r>
        <w:t>3</w:t>
      </w:r>
      <w:r w:rsidRPr="003903E1">
        <w:t xml:space="preserve"> </w:t>
      </w:r>
      <w:r>
        <w:t>Magela LAA Bore 83_1 in the Djalkmara Creek catchment</w:t>
      </w:r>
      <w:bookmarkEnd w:id="236"/>
      <w:bookmarkEnd w:id="237"/>
      <w:bookmarkEnd w:id="238"/>
    </w:p>
    <w:p w:rsidR="00C220C4" w:rsidRDefault="00C220C4" w:rsidP="00C220C4">
      <w:r>
        <w:t>Bore 83_1 (</w:t>
      </w:r>
      <w:r w:rsidRPr="002E5BA5">
        <w:t>RN23010</w:t>
      </w:r>
      <w:r>
        <w:t>) is a statutory monitoring bore of ERA and is dominated by (Na+K) (Figure 42) with about equal contributions of between 20-30% Ca and Mg, similar to bores RN9392, OB21A and OB20 in the TSF area. The bore is located at the edge of the Magela Land Application area, close to Magela Creek and has a screen depth of 0 – 90 m, targeting aquifers 1B, 2 and 3. It is located in a sand lens between pit 1 and Magela Creek (ERA, 2012).</w:t>
      </w:r>
    </w:p>
    <w:p w:rsidR="00C220C4" w:rsidRDefault="00C220C4" w:rsidP="00C220C4">
      <w:r>
        <w:t>Appendix A6 shows the time series of major cations, SO</w:t>
      </w:r>
      <w:r w:rsidRPr="00BA11FC">
        <w:rPr>
          <w:snapToGrid w:val="0"/>
          <w:color w:val="000000"/>
          <w:position w:val="-5"/>
          <w:sz w:val="15"/>
          <w:szCs w:val="0"/>
          <w:u w:color="000000"/>
        </w:rPr>
        <w:t>4</w:t>
      </w:r>
      <w:r>
        <w:t xml:space="preserve">, metals and radionuclides. Radium-226 und </w:t>
      </w:r>
      <w:r w:rsidRPr="00223641">
        <w:rPr>
          <w:snapToGrid w:val="0"/>
          <w:color w:val="000000"/>
          <w:position w:val="5"/>
          <w:sz w:val="15"/>
          <w:szCs w:val="0"/>
          <w:u w:color="000000"/>
        </w:rPr>
        <w:t>238</w:t>
      </w:r>
      <w:r>
        <w:t xml:space="preserve">U activity concentrations are similar and there is no significant correlation between the </w:t>
      </w:r>
      <w:r w:rsidRPr="00223641">
        <w:rPr>
          <w:snapToGrid w:val="0"/>
          <w:color w:val="000000"/>
          <w:position w:val="5"/>
          <w:sz w:val="15"/>
          <w:szCs w:val="0"/>
          <w:u w:color="000000"/>
        </w:rPr>
        <w:t>234</w:t>
      </w:r>
      <w:r>
        <w:t>U/</w:t>
      </w:r>
      <w:r w:rsidRPr="00223641">
        <w:rPr>
          <w:snapToGrid w:val="0"/>
          <w:color w:val="000000"/>
          <w:position w:val="5"/>
          <w:sz w:val="15"/>
          <w:szCs w:val="0"/>
          <w:u w:color="000000"/>
        </w:rPr>
        <w:t>238</w:t>
      </w:r>
      <w:r>
        <w:t xml:space="preserve">U activity ratio and the inverse uranium concentration in this bore. </w:t>
      </w:r>
    </w:p>
    <w:p w:rsidR="00C220C4" w:rsidRDefault="00C220C4" w:rsidP="00C220C4">
      <w:pPr>
        <w:pStyle w:val="Heading4"/>
      </w:pPr>
      <w:bookmarkStart w:id="239" w:name="_Toc398721740"/>
      <w:bookmarkStart w:id="240" w:name="_Toc411850569"/>
      <w:r>
        <w:t>4.3.1 Principal components analysis (PCA)</w:t>
      </w:r>
      <w:bookmarkEnd w:id="239"/>
      <w:bookmarkEnd w:id="240"/>
    </w:p>
    <w:p w:rsidR="00C220C4" w:rsidRDefault="00C220C4" w:rsidP="00C220C4">
      <w:r>
        <w:t>Table 16 shows the results of the PCA for the first 3 principal components. Almost 80% of the variability in this bore is explained by the first two factors. Due to most measurements of Fe being below the minimum detection levels in water from this bore, Fe has not been included in the PCA. Figure 49 shows the loading plot for bore 83_1.</w:t>
      </w:r>
    </w:p>
    <w:p w:rsidR="00C220C4" w:rsidRDefault="00C220C4" w:rsidP="00C220C4">
      <w:pPr>
        <w:pStyle w:val="tablecaption"/>
        <w:jc w:val="center"/>
      </w:pPr>
      <w:bookmarkStart w:id="241" w:name="_Toc386618588"/>
      <w:r w:rsidRPr="000A3842">
        <w:rPr>
          <w:b/>
        </w:rPr>
        <w:t>Table 16</w:t>
      </w:r>
      <w:r>
        <w:t xml:space="preserve"> Principal component loadings of bore 83_1</w:t>
      </w:r>
      <w:bookmarkEnd w:id="2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
        <w:gridCol w:w="718"/>
        <w:gridCol w:w="718"/>
        <w:gridCol w:w="718"/>
      </w:tblGrid>
      <w:tr w:rsidR="00C220C4" w:rsidRPr="004A5155" w:rsidTr="00C220C4">
        <w:trPr>
          <w:jc w:val="center"/>
        </w:trPr>
        <w:tc>
          <w:tcPr>
            <w:tcW w:w="1079" w:type="dxa"/>
          </w:tcPr>
          <w:p w:rsidR="00C220C4" w:rsidRPr="006C30FE" w:rsidRDefault="00C220C4" w:rsidP="00C220C4">
            <w:pPr>
              <w:pStyle w:val="table2"/>
              <w:rPr>
                <w:b/>
              </w:rPr>
            </w:pPr>
            <w:r w:rsidRPr="006C30FE">
              <w:rPr>
                <w:b/>
              </w:rPr>
              <w:t>Variable</w:t>
            </w:r>
          </w:p>
        </w:tc>
        <w:tc>
          <w:tcPr>
            <w:tcW w:w="718" w:type="dxa"/>
          </w:tcPr>
          <w:p w:rsidR="00C220C4" w:rsidRPr="006C30FE" w:rsidRDefault="00C220C4" w:rsidP="00C220C4">
            <w:pPr>
              <w:pStyle w:val="table2"/>
              <w:rPr>
                <w:b/>
              </w:rPr>
            </w:pPr>
            <w:r w:rsidRPr="006C30FE">
              <w:rPr>
                <w:b/>
              </w:rPr>
              <w:t>PC1</w:t>
            </w:r>
          </w:p>
        </w:tc>
        <w:tc>
          <w:tcPr>
            <w:tcW w:w="718" w:type="dxa"/>
          </w:tcPr>
          <w:p w:rsidR="00C220C4" w:rsidRPr="006C30FE" w:rsidRDefault="00C220C4" w:rsidP="00C220C4">
            <w:pPr>
              <w:pStyle w:val="table2"/>
              <w:rPr>
                <w:b/>
              </w:rPr>
            </w:pPr>
            <w:r w:rsidRPr="006C30FE">
              <w:rPr>
                <w:b/>
              </w:rPr>
              <w:t>PC2</w:t>
            </w:r>
          </w:p>
        </w:tc>
        <w:tc>
          <w:tcPr>
            <w:tcW w:w="718" w:type="dxa"/>
          </w:tcPr>
          <w:p w:rsidR="00C220C4" w:rsidRPr="006C30FE" w:rsidRDefault="00C220C4" w:rsidP="00C220C4">
            <w:pPr>
              <w:pStyle w:val="table2"/>
              <w:rPr>
                <w:b/>
              </w:rPr>
            </w:pPr>
            <w:r w:rsidRPr="006C30FE">
              <w:rPr>
                <w:b/>
              </w:rPr>
              <w:t>PC</w:t>
            </w:r>
            <w:r>
              <w:rPr>
                <w:b/>
              </w:rPr>
              <w:t>3</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Ba</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-0.21</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-0.43</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Ca</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0.44</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-0.13</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0.08</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Mg</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0.45</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-0.11</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0.08</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Mn</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0.53</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0.00</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Na+K</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0.36</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0.32</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-0.15</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Sr</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0.32</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-0.09</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U</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0.23</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-0.05</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Ra-226</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0.33</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0.00</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EC</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0.37</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0.29</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-0.15</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pH</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0.05</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0.05</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-0.86</w:t>
            </w:r>
          </w:p>
        </w:tc>
      </w:tr>
      <w:tr w:rsidR="00C220C4" w:rsidRPr="006C30FE" w:rsidTr="00C220C4">
        <w:trPr>
          <w:jc w:val="center"/>
        </w:trPr>
        <w:tc>
          <w:tcPr>
            <w:tcW w:w="1079" w:type="dxa"/>
            <w:vAlign w:val="bottom"/>
          </w:tcPr>
          <w:p w:rsidR="00C220C4" w:rsidRPr="000838DF" w:rsidRDefault="00C220C4" w:rsidP="00C220C4">
            <w:pPr>
              <w:spacing w:after="0" w:line="240" w:lineRule="atLeast"/>
              <w:rPr>
                <w:rFonts w:ascii="Arial" w:hAnsi="Arial" w:cs="Arial"/>
                <w:b/>
                <w:color w:val="000000"/>
                <w:sz w:val="16"/>
                <w:szCs w:val="16"/>
              </w:rPr>
            </w:pPr>
            <w:r w:rsidRPr="000838DF">
              <w:rPr>
                <w:rFonts w:ascii="Arial" w:hAnsi="Arial" w:cs="Arial"/>
                <w:b/>
                <w:color w:val="000000"/>
                <w:sz w:val="16"/>
                <w:szCs w:val="16"/>
              </w:rPr>
              <w:t>Ba</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-0.21</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-0.43</w:t>
            </w:r>
          </w:p>
        </w:tc>
      </w:tr>
      <w:tr w:rsidR="00C220C4" w:rsidRPr="006C30FE" w:rsidTr="00C220C4">
        <w:trPr>
          <w:jc w:val="center"/>
        </w:trPr>
        <w:tc>
          <w:tcPr>
            <w:tcW w:w="1079" w:type="dxa"/>
          </w:tcPr>
          <w:p w:rsidR="00C220C4" w:rsidRPr="006C30FE" w:rsidRDefault="00C220C4" w:rsidP="00C220C4">
            <w:pPr>
              <w:pStyle w:val="table2"/>
              <w:rPr>
                <w:b/>
              </w:rPr>
            </w:pPr>
            <w:r w:rsidRPr="006C30FE">
              <w:rPr>
                <w:b/>
              </w:rPr>
              <w:t>Eigenvalue</w:t>
            </w:r>
          </w:p>
        </w:tc>
        <w:tc>
          <w:tcPr>
            <w:tcW w:w="718" w:type="dxa"/>
            <w:vAlign w:val="bottom"/>
          </w:tcPr>
          <w:p w:rsidR="00C220C4" w:rsidRPr="004A420B" w:rsidRDefault="00C220C4" w:rsidP="00C220C4">
            <w:pPr>
              <w:pStyle w:val="table2"/>
              <w:jc w:val="center"/>
              <w:rPr>
                <w:color w:val="000000"/>
              </w:rPr>
            </w:pPr>
            <w:r w:rsidRPr="004A420B">
              <w:rPr>
                <w:color w:val="000000"/>
              </w:rPr>
              <w:t>4.64</w:t>
            </w:r>
          </w:p>
        </w:tc>
        <w:tc>
          <w:tcPr>
            <w:tcW w:w="718" w:type="dxa"/>
            <w:vAlign w:val="bottom"/>
          </w:tcPr>
          <w:p w:rsidR="00C220C4" w:rsidRPr="004A420B" w:rsidRDefault="00C220C4" w:rsidP="00C220C4">
            <w:pPr>
              <w:pStyle w:val="table2"/>
              <w:jc w:val="center"/>
              <w:rPr>
                <w:color w:val="000000"/>
              </w:rPr>
            </w:pPr>
            <w:r w:rsidRPr="004A420B">
              <w:rPr>
                <w:color w:val="000000"/>
              </w:rPr>
              <w:t>3.24</w:t>
            </w:r>
          </w:p>
        </w:tc>
        <w:tc>
          <w:tcPr>
            <w:tcW w:w="718" w:type="dxa"/>
            <w:vAlign w:val="bottom"/>
          </w:tcPr>
          <w:p w:rsidR="00C220C4" w:rsidRPr="004A420B" w:rsidRDefault="00C220C4" w:rsidP="00C220C4">
            <w:pPr>
              <w:pStyle w:val="table2"/>
              <w:jc w:val="center"/>
              <w:rPr>
                <w:color w:val="000000"/>
              </w:rPr>
            </w:pPr>
            <w:r w:rsidRPr="004A420B">
              <w:rPr>
                <w:color w:val="000000"/>
              </w:rPr>
              <w:t>1.25</w:t>
            </w:r>
          </w:p>
        </w:tc>
      </w:tr>
      <w:tr w:rsidR="00C220C4" w:rsidRPr="006C30FE" w:rsidTr="00C220C4">
        <w:trPr>
          <w:jc w:val="center"/>
        </w:trPr>
        <w:tc>
          <w:tcPr>
            <w:tcW w:w="1079" w:type="dxa"/>
          </w:tcPr>
          <w:p w:rsidR="00C220C4" w:rsidRPr="006C30FE" w:rsidRDefault="00C220C4" w:rsidP="00C220C4">
            <w:pPr>
              <w:pStyle w:val="table2"/>
              <w:rPr>
                <w:b/>
              </w:rPr>
            </w:pPr>
            <w:r w:rsidRPr="006C30FE">
              <w:rPr>
                <w:b/>
              </w:rPr>
              <w:t xml:space="preserve">Proportion </w:t>
            </w:r>
          </w:p>
        </w:tc>
        <w:tc>
          <w:tcPr>
            <w:tcW w:w="718" w:type="dxa"/>
            <w:vAlign w:val="bottom"/>
          </w:tcPr>
          <w:p w:rsidR="00C220C4" w:rsidRPr="004A420B" w:rsidRDefault="00C220C4" w:rsidP="00C220C4">
            <w:pPr>
              <w:pStyle w:val="table2"/>
              <w:jc w:val="center"/>
              <w:rPr>
                <w:color w:val="000000"/>
              </w:rPr>
            </w:pPr>
            <w:r w:rsidRPr="004A420B">
              <w:rPr>
                <w:color w:val="000000"/>
              </w:rPr>
              <w:t>0.46</w:t>
            </w:r>
          </w:p>
        </w:tc>
        <w:tc>
          <w:tcPr>
            <w:tcW w:w="718" w:type="dxa"/>
            <w:vAlign w:val="bottom"/>
          </w:tcPr>
          <w:p w:rsidR="00C220C4" w:rsidRPr="004A420B" w:rsidRDefault="00C220C4" w:rsidP="00C220C4">
            <w:pPr>
              <w:pStyle w:val="table2"/>
              <w:jc w:val="center"/>
              <w:rPr>
                <w:color w:val="000000"/>
              </w:rPr>
            </w:pPr>
            <w:r w:rsidRPr="004A420B">
              <w:rPr>
                <w:color w:val="000000"/>
              </w:rPr>
              <w:t>0.32</w:t>
            </w:r>
          </w:p>
        </w:tc>
        <w:tc>
          <w:tcPr>
            <w:tcW w:w="718" w:type="dxa"/>
            <w:vAlign w:val="bottom"/>
          </w:tcPr>
          <w:p w:rsidR="00C220C4" w:rsidRPr="004A420B" w:rsidRDefault="00C220C4" w:rsidP="00C220C4">
            <w:pPr>
              <w:pStyle w:val="table2"/>
              <w:jc w:val="center"/>
              <w:rPr>
                <w:color w:val="000000"/>
              </w:rPr>
            </w:pPr>
            <w:r w:rsidRPr="004A420B">
              <w:rPr>
                <w:color w:val="000000"/>
              </w:rPr>
              <w:t>0.13</w:t>
            </w:r>
          </w:p>
        </w:tc>
      </w:tr>
      <w:tr w:rsidR="00C220C4" w:rsidRPr="006C30FE" w:rsidTr="00C220C4">
        <w:trPr>
          <w:jc w:val="center"/>
        </w:trPr>
        <w:tc>
          <w:tcPr>
            <w:tcW w:w="1079" w:type="dxa"/>
          </w:tcPr>
          <w:p w:rsidR="00C220C4" w:rsidRPr="006C30FE" w:rsidRDefault="00C220C4" w:rsidP="00C220C4">
            <w:pPr>
              <w:pStyle w:val="table2"/>
              <w:rPr>
                <w:b/>
              </w:rPr>
            </w:pPr>
            <w:r w:rsidRPr="006C30FE">
              <w:rPr>
                <w:b/>
              </w:rPr>
              <w:t>Cumulative</w:t>
            </w:r>
          </w:p>
        </w:tc>
        <w:tc>
          <w:tcPr>
            <w:tcW w:w="718" w:type="dxa"/>
            <w:vAlign w:val="bottom"/>
          </w:tcPr>
          <w:p w:rsidR="00C220C4" w:rsidRPr="004A420B" w:rsidRDefault="00C220C4" w:rsidP="00C220C4">
            <w:pPr>
              <w:pStyle w:val="table2"/>
              <w:jc w:val="center"/>
              <w:rPr>
                <w:color w:val="000000"/>
              </w:rPr>
            </w:pPr>
            <w:r w:rsidRPr="004A420B">
              <w:rPr>
                <w:color w:val="000000"/>
              </w:rPr>
              <w:t>0.46</w:t>
            </w:r>
          </w:p>
        </w:tc>
        <w:tc>
          <w:tcPr>
            <w:tcW w:w="718" w:type="dxa"/>
            <w:vAlign w:val="bottom"/>
          </w:tcPr>
          <w:p w:rsidR="00C220C4" w:rsidRPr="004A420B" w:rsidRDefault="00C220C4" w:rsidP="00C220C4">
            <w:pPr>
              <w:pStyle w:val="table2"/>
              <w:jc w:val="center"/>
              <w:rPr>
                <w:color w:val="000000"/>
              </w:rPr>
            </w:pPr>
            <w:r w:rsidRPr="004A420B">
              <w:rPr>
                <w:color w:val="000000"/>
              </w:rPr>
              <w:t>0.79</w:t>
            </w:r>
          </w:p>
        </w:tc>
        <w:tc>
          <w:tcPr>
            <w:tcW w:w="718" w:type="dxa"/>
            <w:vAlign w:val="bottom"/>
          </w:tcPr>
          <w:p w:rsidR="00C220C4" w:rsidRPr="004A420B" w:rsidRDefault="00C220C4" w:rsidP="00C220C4">
            <w:pPr>
              <w:pStyle w:val="table2"/>
              <w:jc w:val="center"/>
              <w:rPr>
                <w:color w:val="000000"/>
              </w:rPr>
            </w:pPr>
            <w:r w:rsidRPr="004A420B">
              <w:rPr>
                <w:color w:val="000000"/>
              </w:rPr>
              <w:t>0.91</w:t>
            </w:r>
          </w:p>
        </w:tc>
      </w:tr>
    </w:tbl>
    <w:p w:rsidR="00C220C4" w:rsidRDefault="00C220C4" w:rsidP="00C220C4"/>
    <w:p w:rsidR="00C220C4" w:rsidRDefault="00C220C4" w:rsidP="00C220C4">
      <w:r>
        <w:t xml:space="preserve">The first principal component is described by Ca, Mg, Na+K and EC. Loading for Ca and Mg are high, and this is interpreted as major cation concentration (i.e. EC) being the dominating factor influencing metal and radionuclide activity concentrations in this bore. Due to the vicinity of bore 83_1 to the Magela LAA, this bore is potentially still influenced by elements from past application of mine waters, despite the fact that land application in the area has ceased in 2008. </w:t>
      </w:r>
    </w:p>
    <w:p w:rsidR="00C220C4" w:rsidRDefault="00C220C4" w:rsidP="00C220C4">
      <w:r w:rsidRPr="00C04759">
        <w:rPr>
          <w:snapToGrid w:val="0"/>
          <w:color w:val="000000"/>
          <w:position w:val="5"/>
          <w:sz w:val="15"/>
          <w:szCs w:val="0"/>
          <w:u w:color="000000"/>
        </w:rPr>
        <w:t>226</w:t>
      </w:r>
      <w:r>
        <w:t>Ra and EC in this bore are closely correlated but Ba is negatively correlated to EC. This is most likely due to adsorption/desorption mechanisms in the groundwater aquifer and potential barite formation in the groundwater with increasing salinity, as reported by</w:t>
      </w:r>
      <w:r w:rsidR="00A553BE">
        <w:t xml:space="preserve"> </w:t>
      </w:r>
      <w:r>
        <w:t>Martin &amp; Akber (1996, 1999) for bores north of the TSF. Uranium levels in bore 83_1 are influenced by the redox conditions and are higher when more oxidising conditions persist.</w:t>
      </w:r>
    </w:p>
    <w:p w:rsidR="00C220C4" w:rsidRDefault="00C220C4" w:rsidP="00C220C4">
      <w:r>
        <w:t>Due to its strategically important location as along an exit line from Ranger mine along the Djalkmara Creek aquifer, monitoring of this bore should continue.</w:t>
      </w:r>
    </w:p>
    <w:p w:rsidR="00C220C4" w:rsidRDefault="00C220C4" w:rsidP="00C220C4">
      <w:pPr>
        <w:jc w:val="center"/>
      </w:pPr>
      <w:r>
        <w:rPr>
          <w:noProof/>
          <w:lang w:eastAsia="en-AU"/>
        </w:rPr>
        <w:drawing>
          <wp:inline distT="0" distB="0" distL="0" distR="0">
            <wp:extent cx="2934335" cy="21386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cstate="email"/>
                    <a:srcRect t="3642" r="15880" b="3839"/>
                    <a:stretch>
                      <a:fillRect/>
                    </a:stretch>
                  </pic:blipFill>
                  <pic:spPr bwMode="auto">
                    <a:xfrm>
                      <a:off x="0" y="0"/>
                      <a:ext cx="2934335" cy="2138680"/>
                    </a:xfrm>
                    <a:prstGeom prst="rect">
                      <a:avLst/>
                    </a:prstGeom>
                    <a:noFill/>
                    <a:ln w="9525">
                      <a:noFill/>
                      <a:miter lim="800000"/>
                      <a:headEnd/>
                      <a:tailEnd/>
                    </a:ln>
                  </pic:spPr>
                </pic:pic>
              </a:graphicData>
            </a:graphic>
          </wp:inline>
        </w:drawing>
      </w:r>
    </w:p>
    <w:p w:rsidR="00C220C4" w:rsidRDefault="00C220C4" w:rsidP="00C220C4">
      <w:pPr>
        <w:pStyle w:val="figurecaption"/>
      </w:pPr>
      <w:bookmarkStart w:id="242" w:name="_Toc398721533"/>
      <w:r w:rsidRPr="000A3842">
        <w:rPr>
          <w:b/>
        </w:rPr>
        <w:t>Figure 49</w:t>
      </w:r>
      <w:r>
        <w:t xml:space="preserve"> Loading plot for the first two eigenvectors of the PCA for bore 83_1.</w:t>
      </w:r>
      <w:bookmarkEnd w:id="242"/>
    </w:p>
    <w:p w:rsidR="00C220C4" w:rsidRDefault="000B1559" w:rsidP="00C220C4">
      <w:pPr>
        <w:pStyle w:val="Heading3"/>
      </w:pPr>
      <w:bookmarkStart w:id="243" w:name="_Toc398721741"/>
      <w:bookmarkStart w:id="244" w:name="_Toc411850570"/>
      <w:bookmarkStart w:id="245" w:name="_Toc413230072"/>
      <w:r>
        <w:t>4</w:t>
      </w:r>
      <w:r w:rsidR="00C220C4" w:rsidRPr="003903E1">
        <w:t>.</w:t>
      </w:r>
      <w:r w:rsidR="00C220C4">
        <w:t>4</w:t>
      </w:r>
      <w:r w:rsidR="00C220C4" w:rsidRPr="003903E1">
        <w:t xml:space="preserve"> </w:t>
      </w:r>
      <w:r w:rsidR="00C220C4">
        <w:t>Bores RN23551 and B11 in the Coonjimba Creek catchment</w:t>
      </w:r>
      <w:bookmarkEnd w:id="243"/>
      <w:bookmarkEnd w:id="244"/>
      <w:bookmarkEnd w:id="245"/>
    </w:p>
    <w:p w:rsidR="00C220C4" w:rsidRDefault="00C220C4" w:rsidP="00C220C4">
      <w:r>
        <w:t>Bores RN23551 and B11 (</w:t>
      </w:r>
      <w:r w:rsidRPr="00194895">
        <w:t>RN7243</w:t>
      </w:r>
      <w:r>
        <w:t>) both sample the shallow aquifer immediately to the North of the TSF along the Coonjimba line. RN23551 is located in the headwaters of RP1 in the vicinity of major fault line 2a and within an area of very high permeabilities (Salama &amp; Foley 1997).</w:t>
      </w:r>
    </w:p>
    <w:p w:rsidR="00C220C4" w:rsidRDefault="000B1559" w:rsidP="00C220C4">
      <w:pPr>
        <w:pStyle w:val="Heading4"/>
      </w:pPr>
      <w:bookmarkStart w:id="246" w:name="_Toc398721742"/>
      <w:bookmarkStart w:id="247" w:name="_Toc411850571"/>
      <w:r>
        <w:t>4</w:t>
      </w:r>
      <w:r w:rsidR="00C220C4">
        <w:t>.4.1 Major cations</w:t>
      </w:r>
      <w:bookmarkEnd w:id="246"/>
      <w:bookmarkEnd w:id="247"/>
    </w:p>
    <w:p w:rsidR="00C220C4" w:rsidRDefault="00C220C4" w:rsidP="00C220C4">
      <w:r>
        <w:t xml:space="preserve">The ternary plot (Figure 41) shows a large separation of these two bores. RN23551 is dominated by </w:t>
      </w:r>
      <w:proofErr w:type="gramStart"/>
      <w:r>
        <w:t>Mg,</w:t>
      </w:r>
      <w:proofErr w:type="gramEnd"/>
      <w:r>
        <w:t xml:space="preserve"> whereas B11 is dominated by Na. Potassium concentrations are low in both bores. </w:t>
      </w:r>
    </w:p>
    <w:p w:rsidR="00C220C4" w:rsidRDefault="00C220C4" w:rsidP="00C220C4">
      <w:r>
        <w:t xml:space="preserve">Figure 50 shows major ion concentrations measured in RN23551 and B11. It is obvious that bore RN23551 in the headwaters of RP1 is a lot more variable in its major cation concentrations, in particular Ca and Mg. In contrast, B11 major cation concentrations have been constant between 2006 and 2010. The variability in major cation concentrations in RN23551 is similar to the variability reported in Klessa (2001) and ERA (2012). </w:t>
      </w:r>
    </w:p>
    <w:p w:rsidR="00C220C4" w:rsidRDefault="00C220C4" w:rsidP="00C220C4">
      <w:pPr>
        <w:jc w:val="center"/>
      </w:pPr>
      <w:r>
        <w:rPr>
          <w:noProof/>
          <w:lang w:eastAsia="en-AU"/>
        </w:rPr>
        <w:drawing>
          <wp:inline distT="0" distB="0" distL="0" distR="0">
            <wp:extent cx="4397375" cy="3117215"/>
            <wp:effectExtent l="1905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cstate="email"/>
                    <a:srcRect l="25859" t="7103" b="938"/>
                    <a:stretch>
                      <a:fillRect/>
                    </a:stretch>
                  </pic:blipFill>
                  <pic:spPr bwMode="auto">
                    <a:xfrm>
                      <a:off x="0" y="0"/>
                      <a:ext cx="4397375" cy="3117215"/>
                    </a:xfrm>
                    <a:prstGeom prst="rect">
                      <a:avLst/>
                    </a:prstGeom>
                    <a:noFill/>
                    <a:ln w="9525">
                      <a:noFill/>
                      <a:miter lim="800000"/>
                      <a:headEnd/>
                      <a:tailEnd/>
                    </a:ln>
                  </pic:spPr>
                </pic:pic>
              </a:graphicData>
            </a:graphic>
          </wp:inline>
        </w:drawing>
      </w:r>
    </w:p>
    <w:p w:rsidR="00C220C4" w:rsidRDefault="00C220C4" w:rsidP="00C220C4">
      <w:pPr>
        <w:pStyle w:val="figurecaption"/>
      </w:pPr>
      <w:bookmarkStart w:id="248" w:name="_Toc398721534"/>
      <w:r w:rsidRPr="000A3842">
        <w:rPr>
          <w:b/>
        </w:rPr>
        <w:t>Figure 50</w:t>
      </w:r>
      <w:r w:rsidRPr="002A5F88">
        <w:t xml:space="preserve"> Major cations in </w:t>
      </w:r>
      <w:r>
        <w:t>RN23551 and B11</w:t>
      </w:r>
      <w:r w:rsidRPr="002A5F88">
        <w:t xml:space="preserve"> in the </w:t>
      </w:r>
      <w:r>
        <w:t>Coonjimba Creek</w:t>
      </w:r>
      <w:r w:rsidRPr="002A5F88">
        <w:t xml:space="preserve"> catchment</w:t>
      </w:r>
      <w:r>
        <w:t>.</w:t>
      </w:r>
      <w:bookmarkEnd w:id="248"/>
    </w:p>
    <w:p w:rsidR="00C220C4" w:rsidRDefault="000B1559" w:rsidP="00C220C4">
      <w:pPr>
        <w:pStyle w:val="Heading4"/>
      </w:pPr>
      <w:bookmarkStart w:id="249" w:name="_Toc398721743"/>
      <w:bookmarkStart w:id="250" w:name="_Toc411850572"/>
      <w:r>
        <w:t>4</w:t>
      </w:r>
      <w:r w:rsidR="00C220C4">
        <w:t>.4.2 Metals and radionuclides</w:t>
      </w:r>
      <w:bookmarkEnd w:id="249"/>
      <w:bookmarkEnd w:id="250"/>
    </w:p>
    <w:p w:rsidR="00C220C4" w:rsidRDefault="00C220C4" w:rsidP="00C220C4">
      <w:r>
        <w:t>Figure 51 shows the metal and radionuclide activity concentrations in bores RN23551 and B11 plotted against sampling date.</w:t>
      </w:r>
      <w:r w:rsidRPr="00930FC4">
        <w:t xml:space="preserve"> </w:t>
      </w:r>
    </w:p>
    <w:p w:rsidR="00C220C4" w:rsidRDefault="00C220C4" w:rsidP="00C220C4">
      <w:r>
        <w:rPr>
          <w:noProof/>
          <w:lang w:eastAsia="en-AU"/>
        </w:rPr>
        <w:drawing>
          <wp:inline distT="0" distB="0" distL="0" distR="0">
            <wp:extent cx="4850130" cy="7052945"/>
            <wp:effectExtent l="1905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cstate="email"/>
                    <a:srcRect t="3244"/>
                    <a:stretch>
                      <a:fillRect/>
                    </a:stretch>
                  </pic:blipFill>
                  <pic:spPr bwMode="auto">
                    <a:xfrm>
                      <a:off x="0" y="0"/>
                      <a:ext cx="4850130" cy="7052945"/>
                    </a:xfrm>
                    <a:prstGeom prst="rect">
                      <a:avLst/>
                    </a:prstGeom>
                    <a:noFill/>
                    <a:ln w="9525">
                      <a:noFill/>
                      <a:miter lim="800000"/>
                      <a:headEnd/>
                      <a:tailEnd/>
                    </a:ln>
                  </pic:spPr>
                </pic:pic>
              </a:graphicData>
            </a:graphic>
          </wp:inline>
        </w:drawing>
      </w:r>
    </w:p>
    <w:p w:rsidR="00C220C4" w:rsidRDefault="00C220C4" w:rsidP="00C220C4">
      <w:pPr>
        <w:pStyle w:val="figurecaption"/>
      </w:pPr>
      <w:bookmarkStart w:id="251" w:name="_Toc398721535"/>
      <w:r w:rsidRPr="000A3842">
        <w:rPr>
          <w:b/>
        </w:rPr>
        <w:t xml:space="preserve">Figure </w:t>
      </w:r>
      <w:proofErr w:type="gramStart"/>
      <w:r w:rsidRPr="000A3842">
        <w:rPr>
          <w:b/>
        </w:rPr>
        <w:t>51</w:t>
      </w:r>
      <w:r>
        <w:t xml:space="preserve">  Metal</w:t>
      </w:r>
      <w:proofErr w:type="gramEnd"/>
      <w:r>
        <w:t xml:space="preserve"> and radionuclide activity concentrations and ratios in bores RN23511 and B11.</w:t>
      </w:r>
      <w:bookmarkEnd w:id="251"/>
    </w:p>
    <w:p w:rsidR="00C220C4" w:rsidRDefault="00C220C4" w:rsidP="00C220C4">
      <w:r>
        <w:t xml:space="preserve">The variability of metal concentrations (Fe, Mn, Ba, Sr, U and </w:t>
      </w:r>
      <w:r w:rsidRPr="00313CAE">
        <w:rPr>
          <w:snapToGrid w:val="0"/>
          <w:color w:val="000000"/>
          <w:position w:val="5"/>
          <w:sz w:val="15"/>
          <w:szCs w:val="0"/>
          <w:u w:color="000000"/>
        </w:rPr>
        <w:t>226</w:t>
      </w:r>
      <w:r>
        <w:t xml:space="preserve">Ra) in bore RN23551 is large, whereas variations in bore B11 are large only for the redox sensitive elements Fe, Mn and U. Manganese concentrations (Figure 50b) are generally higher in bore B11, but U concentrations are comparable. </w:t>
      </w:r>
    </w:p>
    <w:p w:rsidR="00C220C4" w:rsidRDefault="00C220C4" w:rsidP="00C220C4">
      <w:r>
        <w:t xml:space="preserve">Four years of </w:t>
      </w:r>
      <w:r w:rsidRPr="00121B56">
        <w:rPr>
          <w:snapToGrid w:val="0"/>
          <w:color w:val="000000"/>
          <w:position w:val="5"/>
          <w:sz w:val="15"/>
          <w:szCs w:val="0"/>
          <w:u w:color="000000"/>
        </w:rPr>
        <w:t>234</w:t>
      </w:r>
      <w:r>
        <w:t>U/</w:t>
      </w:r>
      <w:r w:rsidRPr="00121B56">
        <w:rPr>
          <w:snapToGrid w:val="0"/>
          <w:color w:val="000000"/>
          <w:position w:val="5"/>
          <w:sz w:val="15"/>
          <w:szCs w:val="0"/>
          <w:u w:color="000000"/>
        </w:rPr>
        <w:t>238</w:t>
      </w:r>
      <w:r>
        <w:t xml:space="preserve">U activity ratio data from RN23551 indicate that the decrease of the </w:t>
      </w:r>
      <w:r w:rsidRPr="00121B56">
        <w:rPr>
          <w:snapToGrid w:val="0"/>
          <w:color w:val="000000"/>
          <w:position w:val="5"/>
          <w:sz w:val="15"/>
          <w:szCs w:val="0"/>
          <w:u w:color="000000"/>
        </w:rPr>
        <w:t>234</w:t>
      </w:r>
      <w:r>
        <w:t>U/</w:t>
      </w:r>
      <w:r w:rsidRPr="00121B56">
        <w:rPr>
          <w:snapToGrid w:val="0"/>
          <w:color w:val="000000"/>
          <w:position w:val="5"/>
          <w:sz w:val="15"/>
          <w:szCs w:val="0"/>
          <w:u w:color="000000"/>
        </w:rPr>
        <w:t>238</w:t>
      </w:r>
      <w:r>
        <w:t>U activity ratio with increasing uranium concentration in this bore might be statistically significant. However, the intercept (0.65±0.26) is not statistically significant (p=0.13) and more data is needed to reduce the uncertainties in the fit.</w:t>
      </w:r>
    </w:p>
    <w:p w:rsidR="00C220C4" w:rsidRDefault="000B1559" w:rsidP="00C220C4">
      <w:pPr>
        <w:pStyle w:val="Heading4"/>
        <w:tabs>
          <w:tab w:val="left" w:pos="5358"/>
        </w:tabs>
      </w:pPr>
      <w:bookmarkStart w:id="252" w:name="_Toc398721744"/>
      <w:bookmarkStart w:id="253" w:name="_Toc411850573"/>
      <w:r>
        <w:t>4</w:t>
      </w:r>
      <w:r w:rsidR="00C220C4">
        <w:t>.4.3 Principal Component Analysis</w:t>
      </w:r>
      <w:bookmarkEnd w:id="252"/>
      <w:bookmarkEnd w:id="253"/>
      <w:r w:rsidR="00C220C4">
        <w:tab/>
      </w:r>
    </w:p>
    <w:p w:rsidR="00C220C4" w:rsidRDefault="00C220C4" w:rsidP="00C220C4">
      <w:r>
        <w:t xml:space="preserve">Table 17 shows the results of the PCA for the first </w:t>
      </w:r>
      <w:r w:rsidR="00CC513C">
        <w:t xml:space="preserve">three </w:t>
      </w:r>
      <w:r>
        <w:t>principal components in bores RN23551 and B11.</w:t>
      </w:r>
      <w:r w:rsidRPr="008D1FB1">
        <w:t xml:space="preserve"> </w:t>
      </w:r>
      <w:r>
        <w:t>75% of the variability in the two bores is explained by the first two factors. Figure 52 shows the loading plot for bores RN23551 and B11.</w:t>
      </w:r>
    </w:p>
    <w:p w:rsidR="00C220C4" w:rsidRDefault="00C220C4" w:rsidP="00C220C4">
      <w:pPr>
        <w:pStyle w:val="tablecaption"/>
        <w:jc w:val="center"/>
      </w:pPr>
      <w:bookmarkStart w:id="254" w:name="_Toc386618589"/>
      <w:r w:rsidRPr="000A3842">
        <w:rPr>
          <w:b/>
        </w:rPr>
        <w:t>Table 17</w:t>
      </w:r>
      <w:r>
        <w:t xml:space="preserve"> Principal component loadings of bores RN23551 and B11</w:t>
      </w:r>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
        <w:gridCol w:w="718"/>
        <w:gridCol w:w="718"/>
        <w:gridCol w:w="718"/>
      </w:tblGrid>
      <w:tr w:rsidR="00C220C4" w:rsidRPr="004A5155" w:rsidTr="00C220C4">
        <w:trPr>
          <w:jc w:val="center"/>
        </w:trPr>
        <w:tc>
          <w:tcPr>
            <w:tcW w:w="1079" w:type="dxa"/>
          </w:tcPr>
          <w:p w:rsidR="00C220C4" w:rsidRPr="006C30FE" w:rsidRDefault="00C220C4" w:rsidP="00C220C4">
            <w:pPr>
              <w:pStyle w:val="table2"/>
              <w:spacing w:before="0" w:after="0" w:line="240" w:lineRule="atLeast"/>
              <w:rPr>
                <w:b/>
              </w:rPr>
            </w:pPr>
            <w:r w:rsidRPr="006C30FE">
              <w:rPr>
                <w:b/>
              </w:rPr>
              <w:t>Variable</w:t>
            </w:r>
          </w:p>
        </w:tc>
        <w:tc>
          <w:tcPr>
            <w:tcW w:w="718" w:type="dxa"/>
          </w:tcPr>
          <w:p w:rsidR="00C220C4" w:rsidRPr="006C30FE" w:rsidRDefault="00C220C4" w:rsidP="00C220C4">
            <w:pPr>
              <w:pStyle w:val="table2"/>
              <w:spacing w:before="0" w:after="0" w:line="240" w:lineRule="atLeast"/>
              <w:rPr>
                <w:b/>
              </w:rPr>
            </w:pPr>
            <w:r w:rsidRPr="006C30FE">
              <w:rPr>
                <w:b/>
              </w:rPr>
              <w:t>PC1</w:t>
            </w:r>
          </w:p>
        </w:tc>
        <w:tc>
          <w:tcPr>
            <w:tcW w:w="718" w:type="dxa"/>
          </w:tcPr>
          <w:p w:rsidR="00C220C4" w:rsidRPr="006C30FE" w:rsidRDefault="00C220C4" w:rsidP="00C220C4">
            <w:pPr>
              <w:pStyle w:val="table2"/>
              <w:spacing w:before="0" w:after="0" w:line="240" w:lineRule="atLeast"/>
              <w:rPr>
                <w:b/>
              </w:rPr>
            </w:pPr>
            <w:r w:rsidRPr="006C30FE">
              <w:rPr>
                <w:b/>
              </w:rPr>
              <w:t>PC2</w:t>
            </w:r>
          </w:p>
        </w:tc>
        <w:tc>
          <w:tcPr>
            <w:tcW w:w="718" w:type="dxa"/>
          </w:tcPr>
          <w:p w:rsidR="00C220C4" w:rsidRPr="006C30FE" w:rsidRDefault="00C220C4" w:rsidP="00C220C4">
            <w:pPr>
              <w:pStyle w:val="table2"/>
              <w:spacing w:before="0" w:after="0" w:line="240" w:lineRule="atLeast"/>
              <w:rPr>
                <w:b/>
              </w:rPr>
            </w:pPr>
            <w:r w:rsidRPr="006C30FE">
              <w:rPr>
                <w:b/>
              </w:rPr>
              <w:t>PC</w:t>
            </w:r>
            <w:r>
              <w:rPr>
                <w:b/>
              </w:rPr>
              <w:t>3</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Ba</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0.15</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-0.26</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Ca</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0.21</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0.52</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-0.03</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Pr>
                <w:rFonts w:ascii="Arial" w:hAnsi="Arial" w:cs="Arial"/>
                <w:b/>
                <w:color w:val="000000"/>
                <w:sz w:val="16"/>
                <w:szCs w:val="16"/>
              </w:rPr>
              <w:t>Fe</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0.14</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0.68</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Mg</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0.42</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0.00</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0.17</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Mn</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-0.26</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0.40</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0.34</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Na+K</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0.38</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-0.15</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0.33</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Sr</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0.37</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0.31</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-0.01</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U</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0.12</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-0.13</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-0.12</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Ra-226</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0.15</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0.45</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-0.41</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EC</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0.32</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-0.32</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-0.20</w:t>
            </w:r>
          </w:p>
        </w:tc>
      </w:tr>
      <w:tr w:rsidR="00C220C4" w:rsidRPr="006C30FE" w:rsidTr="00C220C4">
        <w:trPr>
          <w:jc w:val="center"/>
        </w:trPr>
        <w:tc>
          <w:tcPr>
            <w:tcW w:w="1079" w:type="dxa"/>
            <w:vAlign w:val="bottom"/>
          </w:tcPr>
          <w:p w:rsidR="00C220C4" w:rsidRPr="008D1FB1" w:rsidRDefault="00C220C4" w:rsidP="00C220C4">
            <w:pPr>
              <w:spacing w:after="0" w:line="240" w:lineRule="atLeast"/>
              <w:rPr>
                <w:rFonts w:ascii="Arial" w:hAnsi="Arial" w:cs="Arial"/>
                <w:b/>
                <w:color w:val="000000"/>
                <w:sz w:val="16"/>
                <w:szCs w:val="16"/>
              </w:rPr>
            </w:pPr>
            <w:r w:rsidRPr="008D1FB1">
              <w:rPr>
                <w:rFonts w:ascii="Arial" w:hAnsi="Arial" w:cs="Arial"/>
                <w:b/>
                <w:color w:val="000000"/>
                <w:sz w:val="16"/>
                <w:szCs w:val="16"/>
              </w:rPr>
              <w:t>pH</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-0.34</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0.29</w:t>
            </w:r>
          </w:p>
        </w:tc>
        <w:tc>
          <w:tcPr>
            <w:tcW w:w="718" w:type="dxa"/>
            <w:vAlign w:val="bottom"/>
          </w:tcPr>
          <w:p w:rsidR="00C220C4" w:rsidRPr="004A420B" w:rsidRDefault="00C220C4" w:rsidP="00C220C4">
            <w:pPr>
              <w:spacing w:after="0" w:line="240" w:lineRule="atLeast"/>
              <w:jc w:val="center"/>
              <w:rPr>
                <w:rFonts w:ascii="Arial" w:hAnsi="Arial" w:cs="Arial"/>
                <w:color w:val="000000"/>
                <w:sz w:val="16"/>
                <w:szCs w:val="16"/>
              </w:rPr>
            </w:pPr>
            <w:r w:rsidRPr="004A420B">
              <w:rPr>
                <w:rFonts w:ascii="Arial" w:hAnsi="Arial" w:cs="Arial"/>
                <w:color w:val="000000"/>
                <w:sz w:val="16"/>
                <w:szCs w:val="16"/>
              </w:rPr>
              <w:t>-0.05</w:t>
            </w:r>
          </w:p>
        </w:tc>
      </w:tr>
      <w:tr w:rsidR="00C220C4" w:rsidRPr="006C30FE" w:rsidTr="00C220C4">
        <w:trPr>
          <w:jc w:val="center"/>
        </w:trPr>
        <w:tc>
          <w:tcPr>
            <w:tcW w:w="1079" w:type="dxa"/>
          </w:tcPr>
          <w:p w:rsidR="00C220C4" w:rsidRPr="006C30FE" w:rsidRDefault="00C220C4" w:rsidP="00C220C4">
            <w:pPr>
              <w:pStyle w:val="table2"/>
              <w:spacing w:before="0" w:after="0" w:line="240" w:lineRule="atLeast"/>
              <w:rPr>
                <w:b/>
              </w:rPr>
            </w:pPr>
            <w:r w:rsidRPr="006C30FE">
              <w:rPr>
                <w:b/>
              </w:rPr>
              <w:t>Eigenvalue</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5.24</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2.80</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1.70</w:t>
            </w:r>
          </w:p>
        </w:tc>
      </w:tr>
      <w:tr w:rsidR="00C220C4" w:rsidRPr="006C30FE" w:rsidTr="00C220C4">
        <w:trPr>
          <w:jc w:val="center"/>
        </w:trPr>
        <w:tc>
          <w:tcPr>
            <w:tcW w:w="1079" w:type="dxa"/>
          </w:tcPr>
          <w:p w:rsidR="00C220C4" w:rsidRPr="006C30FE" w:rsidRDefault="00C220C4" w:rsidP="00C220C4">
            <w:pPr>
              <w:pStyle w:val="table2"/>
              <w:spacing w:before="0" w:after="0" w:line="240" w:lineRule="atLeast"/>
              <w:rPr>
                <w:b/>
              </w:rPr>
            </w:pPr>
            <w:r w:rsidRPr="006C30FE">
              <w:rPr>
                <w:b/>
              </w:rPr>
              <w:t xml:space="preserve">Proportion </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0.48</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0.25</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0.16</w:t>
            </w:r>
          </w:p>
        </w:tc>
      </w:tr>
      <w:tr w:rsidR="00C220C4" w:rsidRPr="006C30FE" w:rsidTr="00C220C4">
        <w:trPr>
          <w:jc w:val="center"/>
        </w:trPr>
        <w:tc>
          <w:tcPr>
            <w:tcW w:w="1079" w:type="dxa"/>
          </w:tcPr>
          <w:p w:rsidR="00C220C4" w:rsidRPr="006C30FE" w:rsidRDefault="00C220C4" w:rsidP="00C220C4">
            <w:pPr>
              <w:pStyle w:val="table2"/>
              <w:spacing w:before="0" w:after="0" w:line="240" w:lineRule="atLeast"/>
              <w:rPr>
                <w:b/>
              </w:rPr>
            </w:pPr>
            <w:r w:rsidRPr="006C30FE">
              <w:rPr>
                <w:b/>
              </w:rPr>
              <w:t>Cumulative</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0.48</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0.73</w:t>
            </w:r>
          </w:p>
        </w:tc>
        <w:tc>
          <w:tcPr>
            <w:tcW w:w="718" w:type="dxa"/>
            <w:vAlign w:val="bottom"/>
          </w:tcPr>
          <w:p w:rsidR="00C220C4" w:rsidRPr="004A420B" w:rsidRDefault="00C220C4" w:rsidP="00C220C4">
            <w:pPr>
              <w:pStyle w:val="table2"/>
              <w:spacing w:before="0" w:after="0" w:line="240" w:lineRule="atLeast"/>
              <w:jc w:val="center"/>
              <w:rPr>
                <w:color w:val="000000"/>
              </w:rPr>
            </w:pPr>
            <w:r w:rsidRPr="004A420B">
              <w:rPr>
                <w:color w:val="000000"/>
              </w:rPr>
              <w:t>0.89</w:t>
            </w:r>
          </w:p>
        </w:tc>
      </w:tr>
    </w:tbl>
    <w:p w:rsidR="00C220C4" w:rsidRDefault="00C220C4" w:rsidP="00C220C4"/>
    <w:tbl>
      <w:tblPr>
        <w:tblW w:w="8897" w:type="dxa"/>
        <w:tblInd w:w="-176" w:type="dxa"/>
        <w:tblLayout w:type="fixed"/>
        <w:tblLook w:val="04A0"/>
      </w:tblPr>
      <w:tblGrid>
        <w:gridCol w:w="2943"/>
        <w:gridCol w:w="2835"/>
        <w:gridCol w:w="3119"/>
      </w:tblGrid>
      <w:tr w:rsidR="00C220C4" w:rsidTr="00C220C4">
        <w:tc>
          <w:tcPr>
            <w:tcW w:w="2943" w:type="dxa"/>
          </w:tcPr>
          <w:p w:rsidR="00C220C4" w:rsidRDefault="00C220C4" w:rsidP="00C220C4">
            <w:r>
              <w:rPr>
                <w:noProof/>
                <w:lang w:eastAsia="en-AU"/>
              </w:rPr>
              <w:drawing>
                <wp:inline distT="0" distB="0" distL="0" distR="0">
                  <wp:extent cx="1781175" cy="17887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cstate="email"/>
                          <a:srcRect r="33591"/>
                          <a:stretch>
                            <a:fillRect/>
                          </a:stretch>
                        </pic:blipFill>
                        <pic:spPr bwMode="auto">
                          <a:xfrm>
                            <a:off x="0" y="0"/>
                            <a:ext cx="1781175" cy="1788795"/>
                          </a:xfrm>
                          <a:prstGeom prst="rect">
                            <a:avLst/>
                          </a:prstGeom>
                          <a:noFill/>
                          <a:ln w="9525">
                            <a:noFill/>
                            <a:miter lim="800000"/>
                            <a:headEnd/>
                            <a:tailEnd/>
                          </a:ln>
                        </pic:spPr>
                      </pic:pic>
                    </a:graphicData>
                  </a:graphic>
                </wp:inline>
              </w:drawing>
            </w:r>
          </w:p>
        </w:tc>
        <w:tc>
          <w:tcPr>
            <w:tcW w:w="2835" w:type="dxa"/>
          </w:tcPr>
          <w:p w:rsidR="00C220C4" w:rsidRDefault="00C220C4" w:rsidP="00C220C4">
            <w:pPr>
              <w:ind w:left="-108"/>
              <w:jc w:val="left"/>
            </w:pPr>
            <w:r>
              <w:rPr>
                <w:noProof/>
                <w:lang w:eastAsia="en-AU"/>
              </w:rPr>
              <w:drawing>
                <wp:inline distT="0" distB="0" distL="0" distR="0">
                  <wp:extent cx="1725295" cy="1788795"/>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cstate="email"/>
                          <a:srcRect r="36180"/>
                          <a:stretch>
                            <a:fillRect/>
                          </a:stretch>
                        </pic:blipFill>
                        <pic:spPr bwMode="auto">
                          <a:xfrm>
                            <a:off x="0" y="0"/>
                            <a:ext cx="1725295" cy="1788795"/>
                          </a:xfrm>
                          <a:prstGeom prst="rect">
                            <a:avLst/>
                          </a:prstGeom>
                          <a:noFill/>
                          <a:ln w="9525">
                            <a:noFill/>
                            <a:miter lim="800000"/>
                            <a:headEnd/>
                            <a:tailEnd/>
                          </a:ln>
                        </pic:spPr>
                      </pic:pic>
                    </a:graphicData>
                  </a:graphic>
                </wp:inline>
              </w:drawing>
            </w:r>
          </w:p>
        </w:tc>
        <w:tc>
          <w:tcPr>
            <w:tcW w:w="3119" w:type="dxa"/>
          </w:tcPr>
          <w:p w:rsidR="00C220C4" w:rsidRDefault="00C220C4" w:rsidP="00C220C4">
            <w:r>
              <w:rPr>
                <w:noProof/>
                <w:lang w:eastAsia="en-AU"/>
              </w:rPr>
              <w:drawing>
                <wp:inline distT="0" distB="0" distL="0" distR="0">
                  <wp:extent cx="1852930" cy="178879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cstate="email"/>
                          <a:srcRect r="30888"/>
                          <a:stretch>
                            <a:fillRect/>
                          </a:stretch>
                        </pic:blipFill>
                        <pic:spPr bwMode="auto">
                          <a:xfrm>
                            <a:off x="0" y="0"/>
                            <a:ext cx="1852930" cy="1788795"/>
                          </a:xfrm>
                          <a:prstGeom prst="rect">
                            <a:avLst/>
                          </a:prstGeom>
                          <a:noFill/>
                          <a:ln w="9525">
                            <a:noFill/>
                            <a:miter lim="800000"/>
                            <a:headEnd/>
                            <a:tailEnd/>
                          </a:ln>
                        </pic:spPr>
                      </pic:pic>
                    </a:graphicData>
                  </a:graphic>
                </wp:inline>
              </w:drawing>
            </w:r>
          </w:p>
        </w:tc>
      </w:tr>
    </w:tbl>
    <w:p w:rsidR="00C220C4" w:rsidRDefault="00C220C4" w:rsidP="00C220C4">
      <w:pPr>
        <w:pStyle w:val="figurecaption"/>
      </w:pPr>
      <w:bookmarkStart w:id="255" w:name="_Toc398721536"/>
      <w:r w:rsidRPr="000A3842">
        <w:rPr>
          <w:b/>
        </w:rPr>
        <w:t>Figure 52</w:t>
      </w:r>
      <w:r>
        <w:t xml:space="preserve"> </w:t>
      </w:r>
      <w:r w:rsidRPr="00FF2FC5">
        <w:t>Principal components analysis for bores</w:t>
      </w:r>
      <w:r>
        <w:t xml:space="preserve"> RN23551 and B11.</w:t>
      </w:r>
      <w:bookmarkEnd w:id="255"/>
    </w:p>
    <w:p w:rsidR="00C220C4" w:rsidRDefault="00C220C4" w:rsidP="00C220C4">
      <w:r>
        <w:t>The variability of metal concentration in bore RN23551 appears to be due to both EC and redox conditions in the bore, but EC appears to be the dominating factor. The 2</w:t>
      </w:r>
      <w:r w:rsidRPr="00262F99">
        <w:rPr>
          <w:vertAlign w:val="superscript"/>
        </w:rPr>
        <w:t>nd</w:t>
      </w:r>
      <w:r>
        <w:t xml:space="preserve"> principal component is characterised by Ca, </w:t>
      </w:r>
      <w:r w:rsidRPr="00262F99">
        <w:rPr>
          <w:snapToGrid w:val="0"/>
          <w:color w:val="000000"/>
          <w:position w:val="5"/>
          <w:sz w:val="15"/>
          <w:szCs w:val="0"/>
          <w:u w:color="000000"/>
        </w:rPr>
        <w:t>226</w:t>
      </w:r>
      <w:r>
        <w:t>Ra and Mn but loadings for Fe and U are quite small, indicating that the redox conditions might be additionally characterised by a 3</w:t>
      </w:r>
      <w:r w:rsidRPr="00262F99">
        <w:rPr>
          <w:vertAlign w:val="superscript"/>
        </w:rPr>
        <w:t>rd</w:t>
      </w:r>
      <w:r>
        <w:t xml:space="preserve"> principal component, which shows a high loading for Fe and Mn and describes about 16% of the variability in metal concentrations. </w:t>
      </w:r>
    </w:p>
    <w:p w:rsidR="000B1559" w:rsidRDefault="00C220C4" w:rsidP="00C220C4">
      <w:pPr>
        <w:sectPr w:rsidR="000B1559" w:rsidSect="00D1106C">
          <w:pgSz w:w="11906" w:h="16838" w:code="9"/>
          <w:pgMar w:top="993" w:right="1800" w:bottom="1135" w:left="1800" w:header="1080" w:footer="835" w:gutter="0"/>
          <w:cols w:space="360"/>
          <w:noEndnote/>
        </w:sectPr>
      </w:pPr>
      <w:r>
        <w:t>It is concluded that EC is the major influence on metal concentrations in these two bores.</w:t>
      </w:r>
      <w:r w:rsidR="00A553BE">
        <w:t xml:space="preserve"> </w:t>
      </w:r>
      <w:r>
        <w:t>Measurements of groundwater quality in these two bores should continue to monitor long term impacts on groundwater along the Coonjimba Creek aquifer, associated with decommissioning of the TSF and rehabilitation of Ranger mine.</w:t>
      </w:r>
    </w:p>
    <w:p w:rsidR="00C220C4" w:rsidRDefault="000B1559" w:rsidP="000B1559">
      <w:pPr>
        <w:pStyle w:val="Heading1"/>
      </w:pPr>
      <w:bookmarkStart w:id="256" w:name="_Toc398721745"/>
      <w:bookmarkStart w:id="257" w:name="_Toc413230073"/>
      <w:r>
        <w:t>5 Conclusions and recommendation</w:t>
      </w:r>
      <w:bookmarkEnd w:id="256"/>
      <w:r>
        <w:t>s</w:t>
      </w:r>
      <w:bookmarkEnd w:id="257"/>
    </w:p>
    <w:p w:rsidR="000B1559" w:rsidRDefault="000B1559" w:rsidP="000B1559">
      <w:r>
        <w:t xml:space="preserve">Groundwater chemistry and radiochemistry data measured by </w:t>
      </w:r>
      <w:r w:rsidRPr="008B6579">
        <w:rPr>
          <w:b/>
          <w:i/>
          <w:sz w:val="28"/>
          <w:szCs w:val="28"/>
        </w:rPr>
        <w:t>eriss</w:t>
      </w:r>
      <w:r>
        <w:t xml:space="preserve"> over the past three decades are summarised in this report. The report highlights the sparseness of data for some bores, whereas other bores have time series extending over decades. Most of the bores investigated exhibited Ba, Mn and U levels below the Australian Drinking Water Guidelines, with only a few bores, noticeably those located in the immediate vicinity of the TSF, showing levels at or above the guideline values. </w:t>
      </w:r>
    </w:p>
    <w:p w:rsidR="000B1559" w:rsidRDefault="000B1559" w:rsidP="000B1559">
      <w:r>
        <w:t>Ten bores have been identified that have metal and radionuclide time series data (with</w:t>
      </w:r>
      <w:r w:rsidR="00A553BE">
        <w:t xml:space="preserve"> </w:t>
      </w:r>
      <w:r>
        <w:t xml:space="preserve">monitoring records &gt; 7 years) extending to September 2012 and beyond, that are distributed around site at strategically important locations. More data have become available since commencing work on this report, but have not been included. The ten long time series bores are located in various groundwater catchments around the site. </w:t>
      </w:r>
    </w:p>
    <w:p w:rsidR="000B1559" w:rsidRDefault="000B1559" w:rsidP="000B1559">
      <w:r>
        <w:t>Bores RN9329, OB20 (RN22934) and OB21A (RN22935) are located south and west of the TSF in the Gulungul groundwater catchment and sample aquifers 2 and/or 3. They are characterised by equal Ca, Mg and Na+K, whereas OB1A (RN22902) and in particular OB23 (RN22937, which according to ERA (2013) is located at the border of the Coonjimba and Gulungul groundwater catchments and samples deep aquifer 3) are dominated by Na+K and Ca (Figure 42). The PCA (Figure 45) shows that groundwater chemistry in the five bores around the TSF is dominated by variations in EC, and bores OB1A and OB23 generally exhibit more reducing conditions compared to the other three bores. Using the uranium activity ratio (</w:t>
      </w:r>
      <w:r w:rsidRPr="00CD5976">
        <w:rPr>
          <w:snapToGrid w:val="0"/>
          <w:color w:val="000000"/>
          <w:position w:val="5"/>
          <w:sz w:val="15"/>
          <w:szCs w:val="0"/>
          <w:u w:color="000000"/>
        </w:rPr>
        <w:t>234</w:t>
      </w:r>
      <w:r>
        <w:t>U/</w:t>
      </w:r>
      <w:r w:rsidRPr="00CD5976">
        <w:rPr>
          <w:snapToGrid w:val="0"/>
          <w:color w:val="000000"/>
          <w:position w:val="5"/>
          <w:sz w:val="15"/>
          <w:szCs w:val="0"/>
          <w:u w:color="000000"/>
        </w:rPr>
        <w:t>238</w:t>
      </w:r>
      <w:r>
        <w:t xml:space="preserve">U) </w:t>
      </w:r>
      <w:r w:rsidRPr="006A0FA9">
        <w:t>(</w:t>
      </w:r>
      <w:r>
        <w:t>Figure 21b</w:t>
      </w:r>
      <w:r w:rsidRPr="006A0FA9">
        <w:t>)</w:t>
      </w:r>
      <w:r>
        <w:t>,</w:t>
      </w:r>
      <w:r w:rsidRPr="006A0FA9">
        <w:t xml:space="preserve"> bore OB23, located close to one of the major fault zones north of the</w:t>
      </w:r>
      <w:r>
        <w:t xml:space="preserve"> TSF area, has been identified as potentially influenced by seepage from the TSF or by other activities on site, such as the construction of the trial landform and several TSF lifts.</w:t>
      </w:r>
    </w:p>
    <w:p w:rsidR="000B1559" w:rsidRDefault="000B1559" w:rsidP="000B1559">
      <w:r>
        <w:t xml:space="preserve">Bores RN23551 and B11 are located in the Coonjimba groundwater catchment immediately to the North of the TSF along the Coonjimba line. RN23551 samples aquifer 2 and is dominated by Mg, whereas B11 samples aquifers 1a and 1b and is dominated by Na+K (Figure 52). Variability in EC appears to be the dominating factor for metal and radionuclide activity concentrations in the two bores (Figure 3b), but there is no trend of increasing metal or radionuclide activity concentrations in our data. </w:t>
      </w:r>
    </w:p>
    <w:p w:rsidR="000B1559" w:rsidRDefault="000B1559" w:rsidP="000B1559">
      <w:r>
        <w:t>Bore 83_1 is located in the Djalkmara groundwater catchment close to the Magela LAA, and samples all three aquifers. It is characterised by</w:t>
      </w:r>
      <w:r w:rsidRPr="00702E81">
        <w:t xml:space="preserve"> </w:t>
      </w:r>
      <w:r>
        <w:t xml:space="preserve">equal Ca, Mg and Na+K (Figure 42). The bore is located within a sand lens that was previously identified between pit 3 and Magela Creek (ERA 2012). The dominating factor influencing metal and radionuclide activity concentrations in this bore appears to be the EC (Table 16). </w:t>
      </w:r>
      <w:r w:rsidRPr="00C04759">
        <w:rPr>
          <w:snapToGrid w:val="0"/>
          <w:color w:val="000000"/>
          <w:position w:val="5"/>
          <w:sz w:val="15"/>
          <w:szCs w:val="0"/>
          <w:u w:color="000000"/>
        </w:rPr>
        <w:t>226</w:t>
      </w:r>
      <w:r>
        <w:t>Ra and EC in this bore are closely correlated but Ba is negatively correlated to EC (Figure 49). This is potentially due to adsorption/desorption mechanisms in the groundwater aquifer and potential barite formation in the groundwater with increasing salinity, as reported by</w:t>
      </w:r>
      <w:r w:rsidR="00A553BE">
        <w:t xml:space="preserve"> </w:t>
      </w:r>
      <w:r>
        <w:t>Martin &amp; Akber (1996, 1999) for bores north of the TSF. Redox conditions also have a great influence in particular on U and Mn levels in bore 83_1, and U is generally higher when more oxidising conditions persist</w:t>
      </w:r>
    </w:p>
    <w:p w:rsidR="000B1559" w:rsidRDefault="000B1559" w:rsidP="000B1559">
      <w:r>
        <w:t>Groundwater samples from two bores have been collected over an extended period of time within the Corridor groundwater catchment. Bore OB30 (RN22941) targets aquifer 3 close to pit 1 and is dominated by Mg, OB27 (RN22930) targets aquifer 2 and 3</w:t>
      </w:r>
      <w:r w:rsidRPr="00D00AEF">
        <w:t xml:space="preserve"> </w:t>
      </w:r>
      <w:r>
        <w:t>on the western side of the confluence of Corridor Creek and Georgetown Creek and is dominated by Mg and Na+K (Figure 42). Metal and radionuclide activity concentrations in these two bores are governed by redox chemistry, which explained almost 80% of the metal variability observed in the two bores (Table 15, Figure 48). No increases of metal or radionuclide activity concentrations over time were observed in these two bores. Uranium concentration however has declined in OB30 over the past decade.</w:t>
      </w:r>
    </w:p>
    <w:p w:rsidR="000B1559" w:rsidRDefault="000B1559" w:rsidP="000B1559">
      <w:r>
        <w:t xml:space="preserve">This report provides information about data availability and data type, as well as general correlations and characteristics of the bores sampled by </w:t>
      </w:r>
      <w:r w:rsidRPr="008B6579">
        <w:rPr>
          <w:b/>
          <w:i/>
          <w:sz w:val="28"/>
          <w:szCs w:val="28"/>
        </w:rPr>
        <w:t>eriss</w:t>
      </w:r>
      <w:r>
        <w:t xml:space="preserve">. It describes only one small existing dataset, with additional datasets existing from ERA’s and DME’s respective groundwater monitoring programmes. ERA and DME sample a large number of bores quarterly and biannually, respectively. The datasets from the three organisations should be combined and investigated in a GIS, comparing the results obtained by the various organisations taking into account QA/QC procedures in place for populating the various databases. As a first step, the </w:t>
      </w:r>
      <w:r w:rsidRPr="008B6579">
        <w:rPr>
          <w:b/>
          <w:i/>
          <w:sz w:val="28"/>
          <w:szCs w:val="28"/>
        </w:rPr>
        <w:t>eriss</w:t>
      </w:r>
      <w:r>
        <w:t xml:space="preserve"> data are provided in this report.</w:t>
      </w:r>
    </w:p>
    <w:p w:rsidR="000B1559" w:rsidRDefault="000B1559" w:rsidP="000B1559">
      <w:r>
        <w:t>There is also the need to compare the results for the bores to the distribution of faults (Figure 2), hydraulic conductivities, the aquifers sampled (Figure 12 in ERA 2013), lithology, soil type (Figure 41), distance from potential seepage locations etc. It is recommended to include variables such as sampled aquifer, groundwater catchment and lithology in a PCA of all available data, to strengthen outputs and information that can be gleaned from the groundwater monitoring results. This information can then be used to test hydrodynamic models, and thus assist in forward modelling of long-term closure impacts on groundwater quality. Understanding the connectivity between pit 1 and Corridor Creek (and the effectiveness of the barrier), and characterising the existing sand lens between pit 3 and Magela Creek are important in any forward modelling of groundwater quality after closure.</w:t>
      </w:r>
    </w:p>
    <w:p w:rsidR="000B1559" w:rsidRDefault="000B1559" w:rsidP="000B1559">
      <w:r>
        <w:t xml:space="preserve">Whereas </w:t>
      </w:r>
      <w:r w:rsidRPr="008B6579">
        <w:rPr>
          <w:b/>
          <w:i/>
          <w:sz w:val="28"/>
          <w:szCs w:val="28"/>
        </w:rPr>
        <w:t>eriss</w:t>
      </w:r>
      <w:r>
        <w:t xml:space="preserve"> has analysed bore water as they were received from DME in the past ten years, it is now recommended that the long time series bores identified in this report are sampled strategically, by ERA or DME, with samples provided to </w:t>
      </w:r>
      <w:r w:rsidRPr="008B6579">
        <w:rPr>
          <w:b/>
          <w:i/>
          <w:sz w:val="28"/>
          <w:szCs w:val="28"/>
        </w:rPr>
        <w:t>eriss</w:t>
      </w:r>
      <w:r>
        <w:t xml:space="preserve"> for analysis on an annual basis. Samples received from other bores will be stored by </w:t>
      </w:r>
      <w:r w:rsidRPr="008B6579">
        <w:rPr>
          <w:b/>
          <w:i/>
          <w:sz w:val="28"/>
          <w:szCs w:val="28"/>
        </w:rPr>
        <w:t>eriss</w:t>
      </w:r>
      <w:r>
        <w:t xml:space="preserve"> for a period of up to a maximum of </w:t>
      </w:r>
      <w:r w:rsidR="00FA6382">
        <w:t xml:space="preserve">two </w:t>
      </w:r>
      <w:r>
        <w:t xml:space="preserve">years and then disposed off, following procedures and recommendations outlined in Medley (2009). </w:t>
      </w:r>
    </w:p>
    <w:p w:rsidR="000B1559" w:rsidRDefault="000B1559" w:rsidP="000B1559">
      <w:pPr>
        <w:jc w:val="center"/>
        <w:sectPr w:rsidR="000B1559" w:rsidSect="00F17389">
          <w:pgSz w:w="11906" w:h="16838" w:code="9"/>
          <w:pgMar w:top="1276" w:right="1800" w:bottom="1276" w:left="1800" w:header="1080" w:footer="835" w:gutter="0"/>
          <w:cols w:space="360"/>
          <w:noEndnote/>
        </w:sectPr>
      </w:pPr>
    </w:p>
    <w:p w:rsidR="000B1559" w:rsidRDefault="000B1559" w:rsidP="000B1559">
      <w:pPr>
        <w:pStyle w:val="Heading1"/>
      </w:pPr>
      <w:bookmarkStart w:id="258" w:name="_Toc398721746"/>
      <w:bookmarkStart w:id="259" w:name="_Toc413230074"/>
      <w:r>
        <w:t>References</w:t>
      </w:r>
      <w:bookmarkEnd w:id="258"/>
      <w:bookmarkEnd w:id="259"/>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Ahmad M and Green DC 1986.</w:t>
      </w:r>
      <w:proofErr w:type="gramEnd"/>
      <w:r w:rsidR="00A553BE">
        <w:rPr>
          <w:rFonts w:ascii="Garamond" w:hAnsi="Garamond"/>
          <w:sz w:val="24"/>
          <w:szCs w:val="24"/>
          <w:u w:color="000000"/>
        </w:rPr>
        <w:t xml:space="preserve"> </w:t>
      </w:r>
      <w:proofErr w:type="gramStart"/>
      <w:r w:rsidRPr="002E2A12">
        <w:rPr>
          <w:rFonts w:ascii="Garamond" w:hAnsi="Garamond"/>
          <w:sz w:val="24"/>
          <w:szCs w:val="24"/>
          <w:u w:color="000000"/>
        </w:rPr>
        <w:t xml:space="preserve">Groundwater Regimes and isotopic studies, Ranger mine area; Northern Territory, </w:t>
      </w:r>
      <w:r w:rsidR="00DC4556" w:rsidRPr="00DC4556">
        <w:rPr>
          <w:rFonts w:ascii="Garamond" w:hAnsi="Garamond"/>
          <w:i/>
          <w:sz w:val="24"/>
          <w:szCs w:val="24"/>
          <w:u w:color="000000"/>
        </w:rPr>
        <w:t>Australian Journal of Earth Sciences</w:t>
      </w:r>
      <w:r w:rsidRPr="002E2A12">
        <w:rPr>
          <w:rFonts w:ascii="Garamond" w:hAnsi="Garamond"/>
          <w:sz w:val="24"/>
          <w:szCs w:val="24"/>
          <w:u w:color="000000"/>
        </w:rPr>
        <w:t xml:space="preserve"> 33, 391 -399.</w:t>
      </w:r>
      <w:proofErr w:type="gramEnd"/>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Akber R, Lu P &amp; Bollh</w:t>
      </w:r>
      <w:r w:rsidRPr="002E2A12">
        <w:rPr>
          <w:sz w:val="24"/>
          <w:szCs w:val="24"/>
          <w:u w:color="000000"/>
        </w:rPr>
        <w:t>ӧ</w:t>
      </w:r>
      <w:r w:rsidRPr="002E2A12">
        <w:rPr>
          <w:rFonts w:ascii="Garamond" w:hAnsi="Garamond" w:cs="Garamond"/>
          <w:sz w:val="24"/>
          <w:szCs w:val="24"/>
          <w:u w:color="000000"/>
        </w:rPr>
        <w:t xml:space="preserve">fer A 2011a. </w:t>
      </w:r>
      <w:r w:rsidRPr="00406C11">
        <w:rPr>
          <w:rFonts w:ascii="Garamond" w:hAnsi="Garamond" w:cs="Garamond"/>
          <w:sz w:val="24"/>
          <w:szCs w:val="24"/>
          <w:u w:color="000000"/>
        </w:rPr>
        <w:t>Distribution of radioactivity in the land application areas assessed via direct measurement</w:t>
      </w:r>
      <w:r w:rsidRPr="002E2A12">
        <w:rPr>
          <w:rFonts w:ascii="Garamond" w:hAnsi="Garamond" w:cs="Garamond"/>
          <w:sz w:val="24"/>
          <w:szCs w:val="24"/>
          <w:u w:color="000000"/>
        </w:rPr>
        <w:t xml:space="preserve">. </w:t>
      </w:r>
      <w:proofErr w:type="gramStart"/>
      <w:r w:rsidRPr="002E2A12">
        <w:rPr>
          <w:rFonts w:ascii="Garamond" w:hAnsi="Garamond" w:cs="Garamond"/>
          <w:sz w:val="24"/>
          <w:szCs w:val="24"/>
          <w:u w:color="000000"/>
        </w:rPr>
        <w:t>Energy Resources of Australia Ltd, Darwin.</w:t>
      </w:r>
      <w:proofErr w:type="gramEnd"/>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Akber R, Lu P, Bollh</w:t>
      </w:r>
      <w:r w:rsidRPr="002E2A12">
        <w:rPr>
          <w:sz w:val="24"/>
          <w:szCs w:val="24"/>
          <w:u w:color="000000"/>
        </w:rPr>
        <w:t>ӧ</w:t>
      </w:r>
      <w:r w:rsidRPr="002E2A12">
        <w:rPr>
          <w:rFonts w:ascii="Garamond" w:hAnsi="Garamond" w:cs="Garamond"/>
          <w:sz w:val="24"/>
          <w:szCs w:val="24"/>
          <w:u w:color="000000"/>
        </w:rPr>
        <w:t>fer A 2011b</w:t>
      </w:r>
      <w:r w:rsidRPr="002E2A12">
        <w:rPr>
          <w:rFonts w:ascii="Garamond" w:hAnsi="Garamond"/>
          <w:sz w:val="24"/>
          <w:szCs w:val="24"/>
          <w:u w:color="000000"/>
        </w:rPr>
        <w:t xml:space="preserve">. </w:t>
      </w:r>
      <w:proofErr w:type="gramStart"/>
      <w:r w:rsidRPr="00406C11">
        <w:rPr>
          <w:rFonts w:ascii="Garamond" w:hAnsi="Garamond"/>
          <w:sz w:val="24"/>
          <w:szCs w:val="24"/>
          <w:u w:color="000000"/>
        </w:rPr>
        <w:t>External radiation dose in the land application areas</w:t>
      </w:r>
      <w:r w:rsidRPr="002E2A12">
        <w:rPr>
          <w:rFonts w:ascii="Garamond" w:hAnsi="Garamond"/>
          <w:sz w:val="24"/>
          <w:szCs w:val="24"/>
          <w:u w:color="000000"/>
        </w:rPr>
        <w:t>.</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Energy Resources of Australia Ltd, Darwin.</w:t>
      </w:r>
      <w:proofErr w:type="gramEnd"/>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 xml:space="preserve">Akber R, Lu P, Bollhöfer A 2011c. </w:t>
      </w:r>
      <w:proofErr w:type="gramStart"/>
      <w:r w:rsidRPr="00406C11">
        <w:rPr>
          <w:rFonts w:ascii="Garamond" w:hAnsi="Garamond"/>
          <w:snapToGrid w:val="0"/>
          <w:sz w:val="24"/>
          <w:szCs w:val="24"/>
          <w:u w:color="000000"/>
        </w:rPr>
        <w:t>222</w:t>
      </w:r>
      <w:r w:rsidRPr="00406C11">
        <w:rPr>
          <w:rFonts w:ascii="Garamond" w:hAnsi="Garamond"/>
          <w:sz w:val="24"/>
          <w:szCs w:val="24"/>
          <w:u w:color="000000"/>
        </w:rPr>
        <w:t>Rn in the land application areas</w:t>
      </w:r>
      <w:r w:rsidRPr="002E2A12">
        <w:rPr>
          <w:rFonts w:ascii="Garamond" w:hAnsi="Garamond"/>
          <w:sz w:val="24"/>
          <w:szCs w:val="24"/>
          <w:u w:color="000000"/>
        </w:rPr>
        <w:t>.</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Energy Resources of Australia Ltd, Darwin.</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Akber R &amp; Marten R 1991.</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Remobilisation of radionuclides from the land application area at Ranger.</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Internal report 31, Supervising Scientist for the Alligator Rivers Region, Canberra.</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Unpublished paper.</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Akber R &amp; Marten R 1992.</w:t>
      </w:r>
      <w:proofErr w:type="gramEnd"/>
      <w:r w:rsidR="00A553BE">
        <w:rPr>
          <w:rFonts w:ascii="Garamond" w:hAnsi="Garamond"/>
          <w:sz w:val="24"/>
          <w:szCs w:val="24"/>
          <w:u w:color="000000"/>
        </w:rPr>
        <w:t xml:space="preserve"> </w:t>
      </w:r>
      <w:r w:rsidRPr="002E2A12">
        <w:rPr>
          <w:rFonts w:ascii="Garamond" w:hAnsi="Garamond"/>
          <w:sz w:val="24"/>
          <w:szCs w:val="24"/>
          <w:u w:color="000000"/>
        </w:rPr>
        <w:t>Fate of radionuclides applied to soil in the Ranger Uranium Mine land application area – Proceedings of Workshop on Land Application of Effluent Water from Uranium Mines in the Alligator Rivers Region: Supervising Scientist for the Alligators Rivers Region, AGPS Canberra pp 139-165.</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Anderson D &amp; Timms W 2009.</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Modelling of Ranger mine pit #1.</w:t>
      </w:r>
      <w:proofErr w:type="gramEnd"/>
      <w:r w:rsidRPr="002E2A12">
        <w:rPr>
          <w:rFonts w:ascii="Garamond" w:hAnsi="Garamond"/>
          <w:sz w:val="24"/>
          <w:szCs w:val="24"/>
          <w:u w:color="000000"/>
        </w:rPr>
        <w:t xml:space="preserve"> Flow model: Progress Report. </w:t>
      </w:r>
      <w:proofErr w:type="gramStart"/>
      <w:r w:rsidRPr="002E2A12">
        <w:rPr>
          <w:rFonts w:ascii="Garamond" w:hAnsi="Garamond"/>
          <w:sz w:val="24"/>
          <w:szCs w:val="24"/>
          <w:u w:color="000000"/>
        </w:rPr>
        <w:t>Water Research Laboratory of the University</w:t>
      </w:r>
      <w:r w:rsidR="000564B1">
        <w:rPr>
          <w:rFonts w:ascii="Garamond" w:hAnsi="Garamond"/>
          <w:sz w:val="24"/>
          <w:szCs w:val="24"/>
          <w:u w:color="000000"/>
        </w:rPr>
        <w:t xml:space="preserve"> </w:t>
      </w:r>
      <w:r w:rsidRPr="002E2A12">
        <w:rPr>
          <w:rFonts w:ascii="Garamond" w:hAnsi="Garamond"/>
          <w:sz w:val="24"/>
          <w:szCs w:val="24"/>
          <w:u w:color="000000"/>
        </w:rPr>
        <w:t>of New South Wales Report to EWL Sciences.</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Presented at ARRTC meeting #22, 2009.</w:t>
      </w:r>
      <w:proofErr w:type="gramEnd"/>
      <w:r w:rsidRPr="002E2A12">
        <w:rPr>
          <w:rFonts w:ascii="Garamond" w:hAnsi="Garamond"/>
          <w:sz w:val="24"/>
          <w:szCs w:val="24"/>
          <w:u w:color="000000"/>
        </w:rPr>
        <w:t xml:space="preserve"> </w:t>
      </w:r>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Bartolo R, Parker S, van Dam R, Bollhöfer A, Kai-Nielsen K, Erskine W, Humphrey C &amp; Jones D 2013. Conceptual models of stressor pathways for the operational phase of Ranger Uranium Mine. Internal Report 612, January, Supervising Scientist, Darwin.</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Chen K, Jiao JJ, Huang J &amp; Huang R 2007.</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Multivariate statistical evaluation of trace elements in groundwater in a coastal area in Shenzhen, China.</w:t>
      </w:r>
      <w:proofErr w:type="gramEnd"/>
      <w:r w:rsidRPr="002E2A12">
        <w:rPr>
          <w:rFonts w:ascii="Garamond" w:hAnsi="Garamond"/>
          <w:sz w:val="24"/>
          <w:szCs w:val="24"/>
          <w:u w:color="000000"/>
        </w:rPr>
        <w:t xml:space="preserve"> </w:t>
      </w:r>
      <w:r w:rsidR="00DC4556" w:rsidRPr="00DC4556">
        <w:rPr>
          <w:rFonts w:ascii="Garamond" w:hAnsi="Garamond"/>
          <w:i/>
          <w:sz w:val="24"/>
          <w:szCs w:val="24"/>
          <w:u w:color="000000"/>
        </w:rPr>
        <w:t>Environmental Pollution</w:t>
      </w:r>
      <w:r w:rsidRPr="002E2A12">
        <w:rPr>
          <w:rFonts w:ascii="Garamond" w:hAnsi="Garamond"/>
          <w:sz w:val="24"/>
          <w:szCs w:val="24"/>
          <w:u w:color="000000"/>
        </w:rPr>
        <w:t xml:space="preserve"> 147, 771-780.</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ERA 2012.</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2011-12 Ranger Wet Season Groundwater Report.</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Energy Resources of Australia Ltd. Darwin NT.</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ERA 2013.</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ERA Ranger Water Management Plan.</w:t>
      </w:r>
      <w:proofErr w:type="gramEnd"/>
      <w:r w:rsidRPr="002E2A12">
        <w:rPr>
          <w:rFonts w:ascii="Garamond" w:hAnsi="Garamond"/>
          <w:sz w:val="24"/>
          <w:szCs w:val="24"/>
          <w:u w:color="000000"/>
        </w:rPr>
        <w:t xml:space="preserve"> RWMP001. </w:t>
      </w:r>
      <w:proofErr w:type="gramStart"/>
      <w:r w:rsidRPr="002E2A12">
        <w:rPr>
          <w:rFonts w:ascii="Garamond" w:hAnsi="Garamond"/>
          <w:sz w:val="24"/>
          <w:szCs w:val="24"/>
          <w:u w:color="000000"/>
        </w:rPr>
        <w:t>Energy Resources of Australia Ltd. Darwin NT.</w:t>
      </w:r>
      <w:proofErr w:type="gramEnd"/>
      <w:r w:rsidRPr="002E2A12">
        <w:rPr>
          <w:rFonts w:ascii="Garamond" w:hAnsi="Garamond"/>
          <w:sz w:val="24"/>
          <w:szCs w:val="24"/>
          <w:u w:color="000000"/>
        </w:rPr>
        <w:t xml:space="preserve"> </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Gulson BL, Mizon KJ, Korsch MJ, Carr GR, Eames J &amp; Akber RA (1992).</w:t>
      </w:r>
      <w:proofErr w:type="gramEnd"/>
      <w:r w:rsidR="00A553BE">
        <w:rPr>
          <w:rFonts w:ascii="Garamond" w:hAnsi="Garamond"/>
          <w:sz w:val="24"/>
          <w:szCs w:val="24"/>
          <w:u w:color="000000"/>
        </w:rPr>
        <w:t xml:space="preserve"> </w:t>
      </w:r>
      <w:r w:rsidRPr="002E2A12">
        <w:rPr>
          <w:rFonts w:ascii="Garamond" w:hAnsi="Garamond"/>
          <w:sz w:val="24"/>
          <w:szCs w:val="24"/>
          <w:u w:color="000000"/>
        </w:rPr>
        <w:t>Lead isotope results for waters and particulates as seepage indicators around the Ranger tailings dam: A comparison with the 1984 results. Open file record 95, Supervising Scientist for the Alligator Rivers Region, Canberra.</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Haylen ME 1981.</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Uranium Tailings Disposal Ranger Project – A Rationale.</w:t>
      </w:r>
      <w:proofErr w:type="gramEnd"/>
      <w:r w:rsidR="00A553BE">
        <w:rPr>
          <w:rFonts w:ascii="Garamond" w:hAnsi="Garamond"/>
          <w:sz w:val="24"/>
          <w:szCs w:val="24"/>
          <w:u w:color="000000"/>
        </w:rPr>
        <w:t xml:space="preserve"> </w:t>
      </w:r>
      <w:proofErr w:type="gramStart"/>
      <w:r w:rsidRPr="002E2A12">
        <w:rPr>
          <w:rFonts w:ascii="Garamond" w:hAnsi="Garamond"/>
          <w:sz w:val="24"/>
          <w:szCs w:val="24"/>
          <w:u w:color="000000"/>
        </w:rPr>
        <w:t>M.Env.Stud Thesis,</w:t>
      </w:r>
      <w:r w:rsidR="00A553BE">
        <w:rPr>
          <w:rFonts w:ascii="Garamond" w:hAnsi="Garamond"/>
          <w:sz w:val="24"/>
          <w:szCs w:val="24"/>
          <w:u w:color="000000"/>
        </w:rPr>
        <w:t xml:space="preserve"> </w:t>
      </w:r>
      <w:r w:rsidRPr="002E2A12">
        <w:rPr>
          <w:rFonts w:ascii="Garamond" w:hAnsi="Garamond"/>
          <w:sz w:val="24"/>
          <w:szCs w:val="24"/>
          <w:u w:color="000000"/>
        </w:rPr>
        <w:t>Macquarie University, North Ryde, NSW.</w:t>
      </w:r>
      <w:proofErr w:type="gramEnd"/>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 xml:space="preserve">Iles M, Martin P, Ryan B &amp; leGras C 2002. </w:t>
      </w:r>
      <w:proofErr w:type="gramStart"/>
      <w:r w:rsidRPr="002E2A12">
        <w:rPr>
          <w:rFonts w:ascii="Garamond" w:hAnsi="Garamond"/>
          <w:sz w:val="24"/>
          <w:szCs w:val="24"/>
          <w:u w:color="000000"/>
        </w:rPr>
        <w:t>Long-term study of groundwater dispersion of uranium at Ranger Mine.</w:t>
      </w:r>
      <w:proofErr w:type="gramEnd"/>
      <w:r w:rsidRPr="002E2A12">
        <w:rPr>
          <w:rFonts w:ascii="Garamond" w:hAnsi="Garamond"/>
          <w:sz w:val="24"/>
          <w:szCs w:val="24"/>
          <w:u w:color="000000"/>
        </w:rPr>
        <w:t xml:space="preserve"> In Environmental Research Institute of the Supervising Scientist research summary 1995–2000. Supervising Scientist Report 166, Supervising Scientist, Darwin NT, 7–12. </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Hollingsworth I, Overall R &amp; Puhalovich A 2005.</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Status of the Ranger Irrigation Areas – Final Report, EWL Sciences Pty Ltd, Darwin.</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Ivanovich M &amp; Harmon RS 1994.</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Uranium Series Disequilibrium.</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Applications to Environmental Problems.</w:t>
      </w:r>
      <w:proofErr w:type="gramEnd"/>
      <w:r w:rsidRPr="002E2A12">
        <w:rPr>
          <w:rFonts w:ascii="Garamond" w:hAnsi="Garamond"/>
          <w:sz w:val="24"/>
          <w:szCs w:val="24"/>
          <w:u w:color="000000"/>
        </w:rPr>
        <w:t xml:space="preserve"> Clarendon Press, Oxford. </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Johnston A &amp; Milnes AR 2007.</w:t>
      </w:r>
      <w:proofErr w:type="gramEnd"/>
      <w:r w:rsidRPr="002E2A12">
        <w:rPr>
          <w:rFonts w:ascii="Garamond" w:hAnsi="Garamond"/>
          <w:sz w:val="24"/>
          <w:szCs w:val="24"/>
          <w:u w:color="000000"/>
        </w:rPr>
        <w:t xml:space="preserve"> Review of mine-related research in the Alligator Rivers Region 1978–2002: Prepared for ARRTC9 meeting, 25–27 February 2002. Supervising Scientist Report 186, Supervising Scientist, Darwin NT.</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Jolliffe IT 2002.</w:t>
      </w:r>
      <w:proofErr w:type="gramEnd"/>
      <w:r w:rsidRPr="002E2A12">
        <w:rPr>
          <w:rFonts w:ascii="Garamond" w:hAnsi="Garamond"/>
          <w:sz w:val="24"/>
          <w:szCs w:val="24"/>
          <w:u w:color="000000"/>
        </w:rPr>
        <w:t xml:space="preserve"> </w:t>
      </w:r>
      <w:r w:rsidR="00DC4556" w:rsidRPr="00DC4556">
        <w:rPr>
          <w:rFonts w:ascii="Garamond" w:hAnsi="Garamond"/>
          <w:i/>
          <w:sz w:val="24"/>
          <w:szCs w:val="24"/>
          <w:u w:color="000000"/>
        </w:rPr>
        <w:t>Principal Component Analysis</w:t>
      </w:r>
      <w:r w:rsidRPr="002E2A12">
        <w:rPr>
          <w:rFonts w:ascii="Garamond" w:hAnsi="Garamond"/>
          <w:sz w:val="24"/>
          <w:szCs w:val="24"/>
          <w:u w:color="000000"/>
        </w:rPr>
        <w:t xml:space="preserve">. </w:t>
      </w:r>
      <w:proofErr w:type="gramStart"/>
      <w:r w:rsidRPr="002E2A12">
        <w:rPr>
          <w:rFonts w:ascii="Garamond" w:hAnsi="Garamond"/>
          <w:sz w:val="24"/>
          <w:szCs w:val="24"/>
          <w:u w:color="000000"/>
        </w:rPr>
        <w:t>2nd Edition.</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Springer Verlag New York.</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Kalf FRP &amp; Dudgeon CR 1999.</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Analysis of long-term groundwater dispersal of contaminants from proposed Jabiluka Mine tailings repositories.</w:t>
      </w:r>
      <w:proofErr w:type="gramEnd"/>
      <w:r w:rsidRPr="002E2A12">
        <w:rPr>
          <w:rFonts w:ascii="Garamond" w:hAnsi="Garamond"/>
          <w:sz w:val="24"/>
          <w:szCs w:val="24"/>
          <w:u w:color="000000"/>
        </w:rPr>
        <w:t xml:space="preserve"> Supervising Scientist Report 143, Supervising Scientist, Canberra.</w:t>
      </w:r>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Kalf &amp; Associates Pty Ltd, 2004. Ranger Pit No. 1 Closure, Three-Dimensional Regional Numerical Flow and Solute Transport, Model Analysis. Volume 1 (Executive Summary and Phases 1, 2, 3 and 4 Report) &amp; Volume 2 (Report Figures). 30 November 2004.</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Klessa DA 2001.</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A review of groundwater chemistry monitoring data at Ranger.</w:t>
      </w:r>
      <w:proofErr w:type="gramEnd"/>
      <w:r w:rsidRPr="002E2A12">
        <w:rPr>
          <w:rFonts w:ascii="Garamond" w:hAnsi="Garamond"/>
          <w:sz w:val="24"/>
          <w:szCs w:val="24"/>
          <w:u w:color="000000"/>
        </w:rPr>
        <w:t xml:space="preserve"> </w:t>
      </w:r>
      <w:r w:rsidRPr="002E2A12">
        <w:rPr>
          <w:rFonts w:ascii="Garamond" w:hAnsi="Garamond"/>
          <w:snapToGrid w:val="0"/>
          <w:sz w:val="24"/>
          <w:szCs w:val="24"/>
          <w:u w:color="000000"/>
        </w:rPr>
        <w:t xml:space="preserve">Internal Report 363, Supervising Scientist, Darwin. </w:t>
      </w:r>
      <w:proofErr w:type="gramStart"/>
      <w:r w:rsidRPr="002E2A12">
        <w:rPr>
          <w:rFonts w:ascii="Garamond" w:hAnsi="Garamond"/>
          <w:snapToGrid w:val="0"/>
          <w:sz w:val="24"/>
          <w:szCs w:val="24"/>
          <w:u w:color="000000"/>
        </w:rPr>
        <w:t>Unpublished paper.</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leGras</w:t>
      </w:r>
      <w:proofErr w:type="gramEnd"/>
      <w:r w:rsidRPr="002E2A12">
        <w:rPr>
          <w:rFonts w:ascii="Garamond" w:hAnsi="Garamond"/>
          <w:sz w:val="24"/>
          <w:szCs w:val="24"/>
          <w:u w:color="000000"/>
        </w:rPr>
        <w:t xml:space="preserve"> C 1992. Vertical gradients in the chemical and sulfur-isotope composition of Ranger tailings </w:t>
      </w:r>
      <w:proofErr w:type="gramStart"/>
      <w:r w:rsidRPr="002E2A12">
        <w:rPr>
          <w:rFonts w:ascii="Garamond" w:hAnsi="Garamond"/>
          <w:sz w:val="24"/>
          <w:szCs w:val="24"/>
          <w:u w:color="000000"/>
        </w:rPr>
        <w:t>pore</w:t>
      </w:r>
      <w:proofErr w:type="gramEnd"/>
      <w:r w:rsidRPr="002E2A12">
        <w:rPr>
          <w:rFonts w:ascii="Garamond" w:hAnsi="Garamond"/>
          <w:sz w:val="24"/>
          <w:szCs w:val="24"/>
          <w:u w:color="000000"/>
        </w:rPr>
        <w:t xml:space="preserve"> water. Part 1: Gradients in non-radioactive chemical species. </w:t>
      </w:r>
      <w:proofErr w:type="gramStart"/>
      <w:r w:rsidRPr="002E2A12">
        <w:rPr>
          <w:rFonts w:ascii="Garamond" w:hAnsi="Garamond"/>
          <w:sz w:val="24"/>
          <w:szCs w:val="24"/>
          <w:u w:color="000000"/>
        </w:rPr>
        <w:t>Internal report 70, Supervising Scientist for the Alligator Rivers Region, Canberra.</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Unpublished paper.</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leGras</w:t>
      </w:r>
      <w:proofErr w:type="gramEnd"/>
      <w:r w:rsidRPr="002E2A12">
        <w:rPr>
          <w:rFonts w:ascii="Garamond" w:hAnsi="Garamond"/>
          <w:sz w:val="24"/>
          <w:szCs w:val="24"/>
          <w:u w:color="000000"/>
        </w:rPr>
        <w:t xml:space="preserve"> C, Akber RA &amp; Andrew A 1993. The sulfur-isotope composition of pore water, seepage and infiltration samples from the tailings dam, Ranger Uranium Mine, Northern Territory. </w:t>
      </w:r>
      <w:proofErr w:type="gramStart"/>
      <w:r w:rsidRPr="002E2A12">
        <w:rPr>
          <w:rFonts w:ascii="Garamond" w:hAnsi="Garamond"/>
          <w:sz w:val="24"/>
          <w:szCs w:val="24"/>
          <w:u w:color="000000"/>
        </w:rPr>
        <w:t>Internal report 126, Supervising Scientist for the Alligator Rivers Region, Canberra.</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Unpublished paper.</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leGras</w:t>
      </w:r>
      <w:proofErr w:type="gramEnd"/>
      <w:r w:rsidRPr="002E2A12">
        <w:rPr>
          <w:rFonts w:ascii="Garamond" w:hAnsi="Garamond"/>
          <w:sz w:val="24"/>
          <w:szCs w:val="24"/>
          <w:u w:color="000000"/>
        </w:rPr>
        <w:t xml:space="preserve"> CAA, Akber RA &amp; Andrew A 1991. </w:t>
      </w:r>
      <w:proofErr w:type="gramStart"/>
      <w:r w:rsidRPr="002E2A12">
        <w:rPr>
          <w:rFonts w:ascii="Garamond" w:hAnsi="Garamond"/>
          <w:sz w:val="24"/>
          <w:szCs w:val="24"/>
          <w:u w:color="000000"/>
        </w:rPr>
        <w:t>The sulfur-isotope composition of mineral, surface and groundwater samples from the Ranger uranium mine, Northern Territory.</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Internal report 44, Supervising Scientist for the Alligator Rivers Region, Canberra.</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Unpublished paper.</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Martin P &amp; Akber RA 1994.</w:t>
      </w:r>
      <w:proofErr w:type="gramEnd"/>
      <w:r w:rsidR="00A553BE">
        <w:rPr>
          <w:rFonts w:ascii="Garamond" w:hAnsi="Garamond"/>
          <w:sz w:val="24"/>
          <w:szCs w:val="24"/>
          <w:u w:color="000000"/>
        </w:rPr>
        <w:t xml:space="preserve"> </w:t>
      </w:r>
      <w:proofErr w:type="gramStart"/>
      <w:r w:rsidRPr="002E2A12">
        <w:rPr>
          <w:rFonts w:ascii="Garamond" w:hAnsi="Garamond"/>
          <w:sz w:val="24"/>
          <w:szCs w:val="24"/>
          <w:u w:color="000000"/>
        </w:rPr>
        <w:t>Radium isotopes as seepage indicators in the vicinity of a uranium tailings dam.</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in</w:t>
      </w:r>
      <w:proofErr w:type="gramEnd"/>
      <w:r w:rsidRPr="002E2A12">
        <w:rPr>
          <w:rFonts w:ascii="Garamond" w:hAnsi="Garamond"/>
          <w:sz w:val="24"/>
          <w:szCs w:val="24"/>
          <w:u w:color="000000"/>
        </w:rPr>
        <w:t xml:space="preserve">: Techniques for the analysis of radionuclides in the environment and their application: Part 1. </w:t>
      </w:r>
      <w:proofErr w:type="gramStart"/>
      <w:r w:rsidRPr="002E2A12">
        <w:rPr>
          <w:rFonts w:ascii="Garamond" w:hAnsi="Garamond"/>
          <w:sz w:val="24"/>
          <w:szCs w:val="24"/>
          <w:u w:color="000000"/>
        </w:rPr>
        <w:t>Technical memorandum 47, Supervising Scientist for the Alligator Rivers Region, AGPS, Canberra.</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Martin P &amp; Akber RA 1996.</w:t>
      </w:r>
      <w:proofErr w:type="gramEnd"/>
      <w:r w:rsidRPr="002E2A12">
        <w:rPr>
          <w:rFonts w:ascii="Garamond" w:hAnsi="Garamond"/>
          <w:sz w:val="24"/>
          <w:szCs w:val="24"/>
          <w:u w:color="000000"/>
        </w:rPr>
        <w:t xml:space="preserve"> Groundwater seepage from the Ranger uranium mine tailings dam: Radioisotopes of radium, thorium and actinium. Supervising Scientist Report 106, Supervising Scientist, Canberra.</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Martin P &amp; Akber RA 1999.</w:t>
      </w:r>
      <w:proofErr w:type="gramEnd"/>
      <w:r w:rsidRPr="002E2A12">
        <w:rPr>
          <w:rFonts w:ascii="Garamond" w:hAnsi="Garamond"/>
          <w:sz w:val="24"/>
          <w:szCs w:val="24"/>
          <w:u w:color="000000"/>
        </w:rPr>
        <w:t xml:space="preserve"> Radium isotopes as indicators of adsorption-desorption interactions and barite formation in groundwater. </w:t>
      </w:r>
      <w:r w:rsidR="00DC4556" w:rsidRPr="00DC4556">
        <w:rPr>
          <w:rFonts w:ascii="Garamond" w:hAnsi="Garamond"/>
          <w:i/>
          <w:sz w:val="24"/>
          <w:szCs w:val="24"/>
          <w:u w:color="000000"/>
        </w:rPr>
        <w:t>Journal of Environmental Radioactivity</w:t>
      </w:r>
      <w:r w:rsidRPr="002E2A12">
        <w:rPr>
          <w:rFonts w:ascii="Garamond" w:hAnsi="Garamond"/>
          <w:sz w:val="24"/>
          <w:szCs w:val="24"/>
          <w:u w:color="000000"/>
        </w:rPr>
        <w:t xml:space="preserve"> 46, 271–286.</w:t>
      </w:r>
    </w:p>
    <w:p w:rsidR="000B1559" w:rsidRPr="002E2A12" w:rsidRDefault="000B1559" w:rsidP="002E2A12">
      <w:pPr>
        <w:pStyle w:val="referencelist1"/>
        <w:rPr>
          <w:rFonts w:ascii="Garamond" w:hAnsi="Garamond"/>
          <w:sz w:val="24"/>
          <w:szCs w:val="24"/>
          <w:u w:color="000000"/>
        </w:rPr>
      </w:pPr>
      <w:bookmarkStart w:id="260" w:name="_ENREF_24"/>
      <w:proofErr w:type="gramStart"/>
      <w:r w:rsidRPr="002E2A12">
        <w:rPr>
          <w:rFonts w:ascii="Garamond" w:hAnsi="Garamond"/>
          <w:sz w:val="24"/>
          <w:szCs w:val="24"/>
          <w:u w:color="000000"/>
        </w:rPr>
        <w:t>Martin P &amp; Hancock GJ 2004.</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Routine analysis of naturally occurring radionuclides in environmental samples by alpha-particle spectrometry.</w:t>
      </w:r>
      <w:proofErr w:type="gramEnd"/>
      <w:r w:rsidRPr="002E2A12">
        <w:rPr>
          <w:rFonts w:ascii="Garamond" w:hAnsi="Garamond"/>
          <w:sz w:val="24"/>
          <w:szCs w:val="24"/>
          <w:u w:color="000000"/>
        </w:rPr>
        <w:t xml:space="preserve"> Supervising Scientist Report 180, Supervising Scientist, Darwin NT.</w:t>
      </w:r>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 xml:space="preserve">McBride TP 1992. Fate of solutes applied to land application areas. In: Proceedings of the Workshop on Land Application of Effluent Water from Uranium Mines in the Alligator Rivers Region. </w:t>
      </w:r>
      <w:proofErr w:type="gramStart"/>
      <w:r w:rsidRPr="002E2A12">
        <w:rPr>
          <w:rFonts w:ascii="Garamond" w:hAnsi="Garamond"/>
          <w:sz w:val="24"/>
          <w:szCs w:val="24"/>
          <w:u w:color="000000"/>
        </w:rPr>
        <w:t>Supervising Scientist for the Alligators Rivers Region, AGPS Canberra pp 181-186.</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Medley P, Bollhöfer A, Iles M, Ryan B &amp; Martin P 2005.</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 xml:space="preserve">Barium </w:t>
      </w:r>
      <w:r w:rsidR="00D24DD5">
        <w:rPr>
          <w:rFonts w:ascii="Garamond" w:hAnsi="Garamond"/>
          <w:sz w:val="24"/>
          <w:szCs w:val="24"/>
          <w:u w:color="000000"/>
        </w:rPr>
        <w:t>sulfate</w:t>
      </w:r>
      <w:r w:rsidRPr="002E2A12">
        <w:rPr>
          <w:rFonts w:ascii="Garamond" w:hAnsi="Garamond"/>
          <w:sz w:val="24"/>
          <w:szCs w:val="24"/>
          <w:u w:color="000000"/>
        </w:rPr>
        <w:t xml:space="preserve"> method for radium-226 analysis by alpha spectrometry.</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lang w:val="en-US"/>
        </w:rPr>
        <w:t xml:space="preserve">Internal Report 501, June, </w:t>
      </w:r>
      <w:r w:rsidRPr="002E2A12">
        <w:rPr>
          <w:rFonts w:ascii="Garamond" w:hAnsi="Garamond"/>
          <w:sz w:val="24"/>
          <w:szCs w:val="24"/>
          <w:u w:color="000000"/>
        </w:rPr>
        <w:t>Supervising Scientist, Darwin.</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Unpublished paper.</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Medley P 2009.</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 xml:space="preserve">A review of chemical storage and handling protocols in the Environmental Radioactivity laboratories of </w:t>
      </w:r>
      <w:r w:rsidRPr="008B6579">
        <w:rPr>
          <w:rFonts w:ascii="Garamond" w:hAnsi="Garamond"/>
          <w:b/>
          <w:i/>
          <w:sz w:val="28"/>
          <w:szCs w:val="28"/>
          <w:u w:color="000000"/>
        </w:rPr>
        <w:t>eriss</w:t>
      </w:r>
      <w:r w:rsidRPr="002E2A12">
        <w:rPr>
          <w:rFonts w:ascii="Garamond" w:hAnsi="Garamond"/>
          <w:sz w:val="24"/>
          <w:szCs w:val="24"/>
          <w:u w:color="000000"/>
        </w:rPr>
        <w:t>.</w:t>
      </w:r>
      <w:proofErr w:type="gramEnd"/>
      <w:r w:rsidRPr="002E2A12">
        <w:rPr>
          <w:rFonts w:ascii="Garamond" w:hAnsi="Garamond"/>
          <w:sz w:val="24"/>
          <w:szCs w:val="24"/>
          <w:u w:color="000000"/>
        </w:rPr>
        <w:t xml:space="preserve"> Internal Report 548, September, Supervising Scientist, Darwin. Unpublished Paper</w:t>
      </w:r>
    </w:p>
    <w:p w:rsidR="000B1559" w:rsidRPr="002E2A12" w:rsidRDefault="000B1559" w:rsidP="002E2A12">
      <w:pPr>
        <w:pStyle w:val="referencelist1"/>
        <w:rPr>
          <w:rFonts w:ascii="Garamond" w:hAnsi="Garamond"/>
          <w:noProof/>
          <w:sz w:val="24"/>
          <w:szCs w:val="24"/>
          <w:u w:color="000000"/>
        </w:rPr>
      </w:pPr>
      <w:r w:rsidRPr="002E2A12">
        <w:rPr>
          <w:rFonts w:ascii="Garamond" w:hAnsi="Garamond"/>
          <w:noProof/>
          <w:sz w:val="24"/>
          <w:szCs w:val="24"/>
          <w:u w:color="000000"/>
        </w:rPr>
        <w:t>Mudd G 2002. Uranium mill tailings in the Pine Creek Geosyncline, northern Australia: past, present and future hydrogeological impacts. In: Uranium in the Aquatic Environment. Proceedings of the International Conference uranium Mining and Hydrogeology III, Merkel BJ, Planer-Friedrich B, Wolkersdorfer C (Eds), 831-840.</w:t>
      </w:r>
    </w:p>
    <w:p w:rsidR="000B1559" w:rsidRPr="002E2A12" w:rsidRDefault="000B1559" w:rsidP="002E2A12">
      <w:pPr>
        <w:pStyle w:val="referencelist1"/>
        <w:rPr>
          <w:rFonts w:ascii="Garamond" w:hAnsi="Garamond"/>
          <w:noProof/>
          <w:sz w:val="24"/>
          <w:szCs w:val="24"/>
          <w:u w:color="000000"/>
        </w:rPr>
      </w:pPr>
      <w:r w:rsidRPr="002E2A12">
        <w:rPr>
          <w:rFonts w:ascii="Garamond" w:hAnsi="Garamond"/>
          <w:noProof/>
          <w:sz w:val="24"/>
          <w:szCs w:val="24"/>
          <w:u w:color="000000"/>
        </w:rPr>
        <w:t xml:space="preserve">NHMRC 2011. </w:t>
      </w:r>
      <w:r w:rsidRPr="002E2A12">
        <w:rPr>
          <w:rFonts w:ascii="Garamond" w:hAnsi="Garamond"/>
          <w:noProof/>
          <w:snapToGrid w:val="0"/>
          <w:sz w:val="24"/>
          <w:szCs w:val="24"/>
          <w:u w:color="000000"/>
          <w:lang w:val="en-US"/>
        </w:rPr>
        <w:t xml:space="preserve">Council Australian Drinking Water Quality Guidelines 6. National Health and Medical Research/National Resource Management Ministerial Council. </w:t>
      </w:r>
    </w:p>
    <w:p w:rsidR="000B1559" w:rsidRPr="002E2A12" w:rsidRDefault="000B1559" w:rsidP="002E2A12">
      <w:pPr>
        <w:pStyle w:val="referencelist1"/>
        <w:rPr>
          <w:rFonts w:ascii="Garamond" w:hAnsi="Garamond"/>
          <w:noProof/>
          <w:sz w:val="24"/>
          <w:szCs w:val="24"/>
          <w:u w:color="000000"/>
        </w:rPr>
      </w:pPr>
      <w:r w:rsidRPr="002E2A12">
        <w:rPr>
          <w:rFonts w:ascii="Garamond" w:hAnsi="Garamond"/>
          <w:noProof/>
          <w:sz w:val="24"/>
          <w:szCs w:val="24"/>
          <w:u w:color="000000"/>
        </w:rPr>
        <w:t>Noller, B. N. 1991, 'Non-radiological contaminants from uranium mining and milling at Ranger, Jabiru, Northern Territory, Australia, Environmental Monitoring and Assessment 19, pp 383-400.</w:t>
      </w:r>
      <w:bookmarkEnd w:id="260"/>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lang w:eastAsia="en-AU"/>
        </w:rPr>
        <w:t>The Office of the Supervising Scientist 1989.</w:t>
      </w:r>
      <w:proofErr w:type="gramEnd"/>
      <w:r w:rsidRPr="002E2A12">
        <w:rPr>
          <w:rFonts w:ascii="Garamond" w:hAnsi="Garamond"/>
          <w:sz w:val="24"/>
          <w:szCs w:val="24"/>
          <w:u w:color="000000"/>
          <w:lang w:eastAsia="en-AU"/>
        </w:rPr>
        <w:t xml:space="preserve"> </w:t>
      </w:r>
      <w:proofErr w:type="gramStart"/>
      <w:r w:rsidRPr="002E2A12">
        <w:rPr>
          <w:rFonts w:ascii="Garamond" w:hAnsi="Garamond"/>
          <w:sz w:val="24"/>
          <w:szCs w:val="24"/>
          <w:u w:color="000000"/>
          <w:lang w:eastAsia="en-AU"/>
        </w:rPr>
        <w:t>Submission to Review of the Office of the Supervising Scientist for the Alligator Rivers Region.</w:t>
      </w:r>
      <w:proofErr w:type="gramEnd"/>
      <w:r w:rsidRPr="002E2A12">
        <w:rPr>
          <w:rFonts w:ascii="Garamond" w:hAnsi="Garamond"/>
          <w:sz w:val="24"/>
          <w:szCs w:val="24"/>
          <w:u w:color="000000"/>
          <w:lang w:eastAsia="en-AU"/>
        </w:rPr>
        <w:t xml:space="preserve"> </w:t>
      </w:r>
      <w:proofErr w:type="gramStart"/>
      <w:r w:rsidRPr="002E2A12">
        <w:rPr>
          <w:rFonts w:ascii="Garamond" w:hAnsi="Garamond"/>
          <w:sz w:val="24"/>
          <w:szCs w:val="24"/>
          <w:u w:color="000000"/>
          <w:lang w:eastAsia="en-AU"/>
        </w:rPr>
        <w:t>Vol 2.</w:t>
      </w:r>
      <w:proofErr w:type="gramEnd"/>
      <w:r w:rsidRPr="002E2A12">
        <w:rPr>
          <w:rFonts w:ascii="Garamond" w:hAnsi="Garamond"/>
          <w:sz w:val="24"/>
          <w:szCs w:val="24"/>
          <w:u w:color="000000"/>
          <w:lang w:eastAsia="en-AU"/>
        </w:rPr>
        <w:t xml:space="preserve"> Alligator Rivers Region Research Institute Review of Research 1978–1989.</w:t>
      </w:r>
      <w:r w:rsidRPr="002E2A12">
        <w:rPr>
          <w:rFonts w:ascii="Garamond" w:hAnsi="Garamond"/>
          <w:sz w:val="24"/>
          <w:szCs w:val="24"/>
          <w:u w:color="000000"/>
        </w:rPr>
        <w:t xml:space="preserve"> </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Osmond JK and Cowart JB 1982.</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Ground water.</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in</w:t>
      </w:r>
      <w:proofErr w:type="gramEnd"/>
      <w:r w:rsidRPr="002E2A12">
        <w:rPr>
          <w:rFonts w:ascii="Garamond" w:hAnsi="Garamond"/>
          <w:sz w:val="24"/>
          <w:szCs w:val="24"/>
          <w:u w:color="000000"/>
        </w:rPr>
        <w:t xml:space="preserve">: </w:t>
      </w:r>
      <w:r w:rsidRPr="008B6579">
        <w:rPr>
          <w:rFonts w:ascii="Garamond" w:hAnsi="Garamond"/>
          <w:i/>
          <w:sz w:val="24"/>
          <w:szCs w:val="24"/>
          <w:u w:color="000000"/>
        </w:rPr>
        <w:t>Uranium series disequilibrium: Applications to environmental problems</w:t>
      </w:r>
      <w:r w:rsidRPr="002E2A12">
        <w:rPr>
          <w:rFonts w:ascii="Garamond" w:hAnsi="Garamond"/>
          <w:sz w:val="24"/>
          <w:szCs w:val="24"/>
          <w:u w:color="000000"/>
        </w:rPr>
        <w:t xml:space="preserve">. </w:t>
      </w:r>
      <w:proofErr w:type="gramStart"/>
      <w:r w:rsidRPr="002E2A12">
        <w:rPr>
          <w:rFonts w:ascii="Garamond" w:hAnsi="Garamond"/>
          <w:sz w:val="24"/>
          <w:szCs w:val="24"/>
          <w:u w:color="000000"/>
        </w:rPr>
        <w:t>ed</w:t>
      </w:r>
      <w:proofErr w:type="gramEnd"/>
      <w:r w:rsidRPr="002E2A12">
        <w:rPr>
          <w:rFonts w:ascii="Garamond" w:hAnsi="Garamond"/>
          <w:sz w:val="24"/>
          <w:szCs w:val="24"/>
          <w:u w:color="000000"/>
        </w:rPr>
        <w:t>. M. Ivanovich and R.S. Harmon. Clarendon Press, Oxford.</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Parker G 2001.</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Nabarlek chemistry issues.</w:t>
      </w:r>
      <w:proofErr w:type="gramEnd"/>
      <w:r w:rsidRPr="002E2A12">
        <w:rPr>
          <w:rFonts w:ascii="Garamond" w:hAnsi="Garamond"/>
          <w:sz w:val="24"/>
          <w:szCs w:val="24"/>
          <w:u w:color="000000"/>
        </w:rPr>
        <w:t xml:space="preserve"> In Proceedings of Workshop, Darwin NT, Australia, 18 –19 April 2000, </w:t>
      </w:r>
      <w:proofErr w:type="gramStart"/>
      <w:r w:rsidRPr="002E2A12">
        <w:rPr>
          <w:rFonts w:ascii="Garamond" w:hAnsi="Garamond"/>
          <w:sz w:val="24"/>
          <w:szCs w:val="24"/>
          <w:u w:color="000000"/>
        </w:rPr>
        <w:t>ed</w:t>
      </w:r>
      <w:proofErr w:type="gramEnd"/>
      <w:r w:rsidRPr="002E2A12">
        <w:rPr>
          <w:rFonts w:ascii="Garamond" w:hAnsi="Garamond"/>
          <w:sz w:val="24"/>
          <w:szCs w:val="24"/>
          <w:u w:color="000000"/>
        </w:rPr>
        <w:t xml:space="preserve"> D Klessa, Supervising Scientist Report 160, Supervising Scientist, Darwin, 53–75.</w:t>
      </w:r>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 xml:space="preserve">Puhalovich A, Mundle K, Pol R &amp; Toll N 2012b. One- and three-dimensional sub-surface solute transport processes in the region of Ranger uranium mine’s tailings storage facility, Northern Territory, Australia. In: McCullough, Lund &amp; Wyse (Ed). </w:t>
      </w:r>
      <w:proofErr w:type="gramStart"/>
      <w:r w:rsidRPr="002E2A12">
        <w:rPr>
          <w:rFonts w:ascii="Garamond" w:hAnsi="Garamond"/>
          <w:sz w:val="24"/>
          <w:szCs w:val="24"/>
          <w:u w:color="000000"/>
        </w:rPr>
        <w:t>Proceedings of the International Mine Water Symposium, Bunburry, Australia 2012.</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107-112.</w:t>
      </w:r>
      <w:proofErr w:type="gramEnd"/>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 xml:space="preserve">Puhalovich A, Thomas A, Toll N, Puig P &amp; O’Neill </w:t>
      </w:r>
      <w:proofErr w:type="gramStart"/>
      <w:r w:rsidRPr="002E2A12">
        <w:rPr>
          <w:rFonts w:ascii="Garamond" w:hAnsi="Garamond"/>
          <w:sz w:val="24"/>
          <w:szCs w:val="24"/>
          <w:u w:color="000000"/>
        </w:rPr>
        <w:t>A</w:t>
      </w:r>
      <w:proofErr w:type="gramEnd"/>
      <w:r w:rsidRPr="002E2A12">
        <w:rPr>
          <w:rFonts w:ascii="Garamond" w:hAnsi="Garamond"/>
          <w:sz w:val="24"/>
          <w:szCs w:val="24"/>
          <w:u w:color="000000"/>
        </w:rPr>
        <w:t xml:space="preserve"> 2012a.</w:t>
      </w:r>
      <w:r w:rsidR="00A553BE">
        <w:rPr>
          <w:rFonts w:ascii="Garamond" w:hAnsi="Garamond"/>
          <w:sz w:val="24"/>
          <w:szCs w:val="24"/>
          <w:u w:color="000000"/>
        </w:rPr>
        <w:t xml:space="preserve"> </w:t>
      </w:r>
      <w:r w:rsidRPr="002E2A12">
        <w:rPr>
          <w:rFonts w:ascii="Garamond" w:hAnsi="Garamond"/>
          <w:sz w:val="24"/>
          <w:szCs w:val="24"/>
          <w:u w:color="000000"/>
        </w:rPr>
        <w:t xml:space="preserve">Characterisation of hydrogeological conditions and solute transport pathways in the region of the Ranger uranium mine tailings storage facility, Northern Territory, Australia. In: McCullough, Lund &amp; Wyse (Ed). </w:t>
      </w:r>
      <w:proofErr w:type="gramStart"/>
      <w:r w:rsidRPr="002E2A12">
        <w:rPr>
          <w:rFonts w:ascii="Garamond" w:hAnsi="Garamond"/>
          <w:sz w:val="24"/>
          <w:szCs w:val="24"/>
          <w:u w:color="000000"/>
        </w:rPr>
        <w:t>Proceedings of the International Mine Water Symposium, Bunburry, Australia 2012.</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101-105.</w:t>
      </w:r>
      <w:proofErr w:type="gramEnd"/>
    </w:p>
    <w:p w:rsidR="000B1559" w:rsidRPr="002E2A12" w:rsidRDefault="000B1559" w:rsidP="002E2A12">
      <w:pPr>
        <w:pStyle w:val="referencelist1"/>
        <w:rPr>
          <w:rFonts w:ascii="Garamond" w:hAnsi="Garamond"/>
          <w:sz w:val="24"/>
          <w:szCs w:val="24"/>
          <w:u w:color="000000"/>
        </w:rPr>
      </w:pPr>
      <w:bookmarkStart w:id="261" w:name="_Toc144631674"/>
      <w:proofErr w:type="gramStart"/>
      <w:r w:rsidRPr="002E2A12">
        <w:rPr>
          <w:rFonts w:ascii="Garamond" w:hAnsi="Garamond"/>
          <w:sz w:val="24"/>
          <w:szCs w:val="24"/>
          <w:u w:color="000000"/>
        </w:rPr>
        <w:t>Ranger Uranium Environmental Inquiry (RUEI) 1977.</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2nd report.</w:t>
      </w:r>
      <w:proofErr w:type="gramEnd"/>
      <w:r w:rsidRPr="002E2A12">
        <w:rPr>
          <w:rFonts w:ascii="Garamond" w:hAnsi="Garamond"/>
          <w:sz w:val="24"/>
          <w:szCs w:val="24"/>
          <w:u w:color="000000"/>
        </w:rPr>
        <w:t xml:space="preserve"> Canberra, Australian Government Publishing Service. </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Ryan B &amp; Bollhöfer A 2007.</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A summary of radionuclide activity and dissolved metal concentrations in Nabarlek borewaters from 1996 to 2005</w:t>
      </w:r>
      <w:bookmarkEnd w:id="261"/>
      <w:r w:rsidRPr="002E2A12">
        <w:rPr>
          <w:rFonts w:ascii="Garamond" w:hAnsi="Garamond"/>
          <w:sz w:val="24"/>
          <w:szCs w:val="24"/>
          <w:u w:color="000000"/>
        </w:rPr>
        <w:t>.</w:t>
      </w:r>
      <w:proofErr w:type="gramEnd"/>
      <w:r w:rsidRPr="002E2A12">
        <w:rPr>
          <w:rFonts w:ascii="Garamond" w:hAnsi="Garamond"/>
          <w:sz w:val="24"/>
          <w:szCs w:val="24"/>
          <w:u w:color="000000"/>
        </w:rPr>
        <w:t xml:space="preserve"> </w:t>
      </w:r>
      <w:r w:rsidRPr="002E2A12">
        <w:rPr>
          <w:rFonts w:ascii="Garamond" w:hAnsi="Garamond"/>
          <w:sz w:val="24"/>
          <w:szCs w:val="24"/>
          <w:u w:color="000000"/>
          <w:lang w:val="en-US"/>
        </w:rPr>
        <w:t xml:space="preserve">Internal Report 530, September, </w:t>
      </w:r>
      <w:r w:rsidRPr="002E2A12">
        <w:rPr>
          <w:rFonts w:ascii="Garamond" w:hAnsi="Garamond"/>
          <w:sz w:val="24"/>
          <w:szCs w:val="24"/>
          <w:u w:color="000000"/>
        </w:rPr>
        <w:t xml:space="preserve">Supervising Scientist, Darwin. </w:t>
      </w:r>
      <w:proofErr w:type="gramStart"/>
      <w:r w:rsidRPr="002E2A12">
        <w:rPr>
          <w:rFonts w:ascii="Garamond" w:hAnsi="Garamond"/>
          <w:sz w:val="24"/>
          <w:szCs w:val="24"/>
          <w:u w:color="000000"/>
        </w:rPr>
        <w:t>Unpublished paper.</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Ryan B, Bollhöfer A &amp; Martin P 2007.</w:t>
      </w:r>
      <w:proofErr w:type="gramEnd"/>
      <w:r w:rsidRPr="002E2A12">
        <w:rPr>
          <w:rFonts w:ascii="Garamond" w:hAnsi="Garamond"/>
          <w:sz w:val="24"/>
          <w:szCs w:val="24"/>
          <w:u w:color="000000"/>
        </w:rPr>
        <w:t xml:space="preserve"> Uranium in groundwater at a rehabilitated Uranium mine in Western Arnhem Land, Australia. International Atomic Energy Agency (IAEA) conference, Environmental Radioactivity: From measurement and Assessment to Regulation. </w:t>
      </w:r>
      <w:proofErr w:type="gramStart"/>
      <w:r w:rsidRPr="002E2A12">
        <w:rPr>
          <w:rFonts w:ascii="Garamond" w:hAnsi="Garamond"/>
          <w:sz w:val="24"/>
          <w:szCs w:val="24"/>
          <w:u w:color="000000"/>
        </w:rPr>
        <w:t>23–27 April 2007, Vienna, Austria.</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Salama R &amp; Foley GA 1997.</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Ranger regional hydrology conceptual model.</w:t>
      </w:r>
      <w:proofErr w:type="gramEnd"/>
      <w:r w:rsidRPr="002E2A12">
        <w:rPr>
          <w:rFonts w:ascii="Garamond" w:hAnsi="Garamond"/>
          <w:sz w:val="24"/>
          <w:szCs w:val="24"/>
          <w:u w:color="000000"/>
        </w:rPr>
        <w:t xml:space="preserve"> CSIRO Land &amp; Water, October 1997.</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Salama R, Kin P &amp; Pollock DW 1999.</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Assessment of potential solutes migration from Pit #3 under different capping and treatment scenarios.</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Consultancy report for ERA Ranger Mine.</w:t>
      </w:r>
      <w:proofErr w:type="gramEnd"/>
      <w:r w:rsidRPr="002E2A12">
        <w:rPr>
          <w:rFonts w:ascii="Garamond" w:hAnsi="Garamond"/>
          <w:sz w:val="24"/>
          <w:szCs w:val="24"/>
          <w:u w:color="000000"/>
        </w:rPr>
        <w:t xml:space="preserve"> CSIRO Land and Water Consultancy Report no 99/57, October 1999.</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Salama R, Pollock D &amp; Foley G 1998a.</w:t>
      </w:r>
      <w:proofErr w:type="gramEnd"/>
      <w:r w:rsidRPr="002E2A12">
        <w:rPr>
          <w:rFonts w:ascii="Garamond" w:hAnsi="Garamond"/>
          <w:sz w:val="24"/>
          <w:szCs w:val="24"/>
          <w:u w:color="000000"/>
        </w:rPr>
        <w:t xml:space="preserve"> The impacts of final landform scenarios on the groundwater systems of Ranger Minesite: A GIS-Hydrogeomorphic approach. CSIRO Land and Water report no 98/17, May 1998.</w:t>
      </w:r>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 xml:space="preserve">Salama R, Kin P, Foley GA, Pollock D &amp; Ellerbroek D 1998b. </w:t>
      </w:r>
      <w:proofErr w:type="gramStart"/>
      <w:r w:rsidRPr="002E2A12">
        <w:rPr>
          <w:rFonts w:ascii="Garamond" w:hAnsi="Garamond"/>
          <w:sz w:val="24"/>
          <w:szCs w:val="24"/>
          <w:u w:color="000000"/>
        </w:rPr>
        <w:t>Groundwater interaction with Magela Creek.</w:t>
      </w:r>
      <w:proofErr w:type="gramEnd"/>
      <w:r w:rsidRPr="002E2A12">
        <w:rPr>
          <w:rFonts w:ascii="Garamond" w:hAnsi="Garamond"/>
          <w:sz w:val="24"/>
          <w:szCs w:val="24"/>
          <w:u w:color="000000"/>
        </w:rPr>
        <w:t xml:space="preserve"> CSIRO Land and Water Report no 98/18, April 1998. </w:t>
      </w:r>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 xml:space="preserve">Salama R, Kin P, Pollock D &amp; Foley GA 1998c. </w:t>
      </w:r>
      <w:proofErr w:type="gramStart"/>
      <w:r w:rsidRPr="002E2A12">
        <w:rPr>
          <w:rFonts w:ascii="Garamond" w:hAnsi="Garamond"/>
          <w:sz w:val="24"/>
          <w:szCs w:val="24"/>
          <w:u w:color="000000"/>
        </w:rPr>
        <w:t>Assessment of final tailings repositories in Ranger minesite, tailings dam and Pit #3.</w:t>
      </w:r>
      <w:proofErr w:type="gramEnd"/>
      <w:r w:rsidRPr="002E2A12">
        <w:rPr>
          <w:rFonts w:ascii="Garamond" w:hAnsi="Garamond"/>
          <w:sz w:val="24"/>
          <w:szCs w:val="24"/>
          <w:u w:color="000000"/>
        </w:rPr>
        <w:t xml:space="preserve"> Report for ERA Ranger Mine. CSIRO Land &amp; Water Report no 98/19, May 1998.</w:t>
      </w:r>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lang w:eastAsia="en-AU"/>
        </w:rPr>
        <w:t>Timms W, Wasko C, Pells S &amp; Miller B 2010.</w:t>
      </w:r>
      <w:proofErr w:type="gramEnd"/>
      <w:r w:rsidRPr="002E2A12">
        <w:rPr>
          <w:rFonts w:ascii="Garamond" w:hAnsi="Garamond"/>
          <w:sz w:val="24"/>
          <w:szCs w:val="24"/>
          <w:u w:color="000000"/>
          <w:lang w:eastAsia="en-AU"/>
        </w:rPr>
        <w:t xml:space="preserve"> </w:t>
      </w:r>
      <w:proofErr w:type="gramStart"/>
      <w:r w:rsidRPr="002E2A12">
        <w:rPr>
          <w:rFonts w:ascii="Garamond" w:hAnsi="Garamond"/>
          <w:sz w:val="24"/>
          <w:szCs w:val="24"/>
          <w:u w:color="000000"/>
          <w:lang w:eastAsia="en-AU"/>
        </w:rPr>
        <w:t>Ranger Pit No.1 - Groundwater Flow Modelling of Post-Closure Conditions.</w:t>
      </w:r>
      <w:proofErr w:type="gramEnd"/>
      <w:r w:rsidRPr="002E2A12">
        <w:rPr>
          <w:rFonts w:ascii="Garamond" w:hAnsi="Garamond"/>
          <w:sz w:val="24"/>
          <w:szCs w:val="24"/>
          <w:u w:color="000000"/>
          <w:lang w:eastAsia="en-AU"/>
        </w:rPr>
        <w:t xml:space="preserve"> </w:t>
      </w:r>
      <w:proofErr w:type="gramStart"/>
      <w:r w:rsidRPr="002E2A12">
        <w:rPr>
          <w:rFonts w:ascii="Garamond" w:hAnsi="Garamond"/>
          <w:sz w:val="24"/>
          <w:szCs w:val="24"/>
          <w:u w:color="000000"/>
          <w:lang w:eastAsia="en-AU"/>
        </w:rPr>
        <w:t xml:space="preserve">Water Research Laboratory, University of New South Wales, Report </w:t>
      </w:r>
      <w:r w:rsidRPr="002E2A12">
        <w:rPr>
          <w:rFonts w:ascii="Garamond" w:hAnsi="Garamond"/>
          <w:sz w:val="24"/>
          <w:szCs w:val="24"/>
          <w:u w:color="000000"/>
        </w:rPr>
        <w:t>2010/15.</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Turner K &amp; Jones D 2010.</w:t>
      </w:r>
      <w:proofErr w:type="gramEnd"/>
      <w:r w:rsidRPr="002E2A12">
        <w:rPr>
          <w:rFonts w:ascii="Garamond" w:hAnsi="Garamond"/>
          <w:sz w:val="24"/>
          <w:szCs w:val="24"/>
          <w:u w:color="000000"/>
        </w:rPr>
        <w:t xml:space="preserve"> Review of solute selection for water quality and bioaccumulation monitoring. In </w:t>
      </w:r>
      <w:r w:rsidRPr="008B6579">
        <w:rPr>
          <w:rFonts w:ascii="Garamond" w:hAnsi="Garamond"/>
          <w:b/>
          <w:i/>
          <w:sz w:val="24"/>
          <w:szCs w:val="24"/>
          <w:u w:color="000000"/>
        </w:rPr>
        <w:t>eriss</w:t>
      </w:r>
      <w:r w:rsidRPr="002E2A12">
        <w:rPr>
          <w:rFonts w:ascii="Garamond" w:hAnsi="Garamond"/>
          <w:sz w:val="24"/>
          <w:szCs w:val="24"/>
          <w:u w:color="000000"/>
        </w:rPr>
        <w:t xml:space="preserve"> research summary 2008–2009, eds Jones DR &amp; Webb A, Supervising Scientist Report 201, Supervising Scientist, Darwin NT, 66-72.</w:t>
      </w:r>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 xml:space="preserve">Verma M &amp; Salama R (1986) Preliminary Groundwater Studies in the Ranger Area. Northern Territory. </w:t>
      </w:r>
      <w:proofErr w:type="gramStart"/>
      <w:r w:rsidRPr="002E2A12">
        <w:rPr>
          <w:rFonts w:ascii="Garamond" w:hAnsi="Garamond"/>
          <w:sz w:val="24"/>
          <w:szCs w:val="24"/>
          <w:u w:color="000000"/>
        </w:rPr>
        <w:t>Department of Mines and Energy.</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Report31/1986.</w:t>
      </w:r>
      <w:proofErr w:type="gramEnd"/>
    </w:p>
    <w:p w:rsidR="000B1559" w:rsidRPr="002E2A12" w:rsidRDefault="000B1559" w:rsidP="002E2A12">
      <w:pPr>
        <w:pStyle w:val="referencelist1"/>
        <w:rPr>
          <w:rFonts w:ascii="Garamond" w:hAnsi="Garamond"/>
          <w:sz w:val="24"/>
          <w:szCs w:val="24"/>
          <w:u w:color="000000"/>
        </w:rPr>
      </w:pPr>
      <w:proofErr w:type="gramStart"/>
      <w:r w:rsidRPr="002E2A12">
        <w:rPr>
          <w:rFonts w:ascii="Garamond" w:hAnsi="Garamond"/>
          <w:sz w:val="24"/>
          <w:szCs w:val="24"/>
          <w:u w:color="000000"/>
        </w:rPr>
        <w:t>Willett IR, Akber R &amp; Bond WJ 1991.</w:t>
      </w:r>
      <w:proofErr w:type="gramEnd"/>
      <w:r w:rsidRPr="002E2A12">
        <w:rPr>
          <w:rFonts w:ascii="Garamond" w:hAnsi="Garamond"/>
          <w:sz w:val="24"/>
          <w:szCs w:val="24"/>
          <w:u w:color="000000"/>
        </w:rPr>
        <w:t xml:space="preserve"> The fate of water and solutes following irrigation with Retention Pond 2 water at the Ranger Uranium Mine: Summary of the final report. </w:t>
      </w:r>
      <w:proofErr w:type="gramStart"/>
      <w:r w:rsidRPr="002E2A12">
        <w:rPr>
          <w:rFonts w:ascii="Garamond" w:hAnsi="Garamond"/>
          <w:sz w:val="24"/>
          <w:szCs w:val="24"/>
          <w:u w:color="000000"/>
        </w:rPr>
        <w:t>Internal report 26, Supervising Scientist for the Alligator Rivers Region, Canberra.</w:t>
      </w:r>
      <w:proofErr w:type="gramEnd"/>
      <w:r w:rsidRPr="002E2A12">
        <w:rPr>
          <w:rFonts w:ascii="Garamond" w:hAnsi="Garamond"/>
          <w:sz w:val="24"/>
          <w:szCs w:val="24"/>
          <w:u w:color="000000"/>
        </w:rPr>
        <w:t xml:space="preserve"> </w:t>
      </w:r>
      <w:proofErr w:type="gramStart"/>
      <w:r w:rsidRPr="002E2A12">
        <w:rPr>
          <w:rFonts w:ascii="Garamond" w:hAnsi="Garamond"/>
          <w:sz w:val="24"/>
          <w:szCs w:val="24"/>
          <w:u w:color="000000"/>
        </w:rPr>
        <w:t>Unpublished paper.</w:t>
      </w:r>
      <w:proofErr w:type="gramEnd"/>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rPr>
        <w:t>Willett IR &amp; Bond WJ 1992.</w:t>
      </w:r>
      <w:r w:rsidR="00A553BE">
        <w:rPr>
          <w:rFonts w:ascii="Garamond" w:hAnsi="Garamond"/>
          <w:sz w:val="24"/>
          <w:szCs w:val="24"/>
          <w:u w:color="000000"/>
        </w:rPr>
        <w:t xml:space="preserve"> </w:t>
      </w:r>
      <w:r w:rsidRPr="002E2A12">
        <w:rPr>
          <w:rFonts w:ascii="Garamond" w:hAnsi="Garamond"/>
          <w:sz w:val="24"/>
          <w:szCs w:val="24"/>
          <w:u w:color="000000"/>
        </w:rPr>
        <w:t xml:space="preserve">Adsorption properties of the soils of the Ranger Uranium Mine land application area for solutes in water from Retention Pond 2. In: Proceedings of the Workshop on Land Application of Effluent Water from Uranium Mines in the Alligator Rivers Region. </w:t>
      </w:r>
      <w:proofErr w:type="gramStart"/>
      <w:r w:rsidRPr="002E2A12">
        <w:rPr>
          <w:rFonts w:ascii="Garamond" w:hAnsi="Garamond"/>
          <w:sz w:val="24"/>
          <w:szCs w:val="24"/>
          <w:u w:color="000000"/>
        </w:rPr>
        <w:t>Supervising Scientist for the Alligators Rivers Region, AGPS Canberra pp 113-138.</w:t>
      </w:r>
      <w:proofErr w:type="gramEnd"/>
    </w:p>
    <w:p w:rsidR="000B1559" w:rsidRPr="002E2A12" w:rsidRDefault="000B1559" w:rsidP="002E2A12">
      <w:pPr>
        <w:pStyle w:val="referencelist1"/>
        <w:rPr>
          <w:rFonts w:ascii="Garamond" w:hAnsi="Garamond"/>
          <w:sz w:val="24"/>
          <w:szCs w:val="24"/>
          <w:u w:color="000000"/>
        </w:rPr>
      </w:pPr>
      <w:r w:rsidRPr="002E2A12">
        <w:rPr>
          <w:rFonts w:ascii="Garamond" w:hAnsi="Garamond"/>
          <w:sz w:val="24"/>
          <w:szCs w:val="24"/>
          <w:u w:color="000000"/>
          <w:lang w:val="fr-FR"/>
        </w:rPr>
        <w:t xml:space="preserve">Zielinski RA, Chafin DT, Banta ER &amp; Szabo BJ 1997. </w:t>
      </w:r>
      <w:r w:rsidRPr="002E2A12">
        <w:rPr>
          <w:rFonts w:ascii="Garamond" w:hAnsi="Garamond"/>
          <w:sz w:val="24"/>
          <w:szCs w:val="24"/>
          <w:u w:color="000000"/>
        </w:rPr>
        <w:t xml:space="preserve">Use of </w:t>
      </w:r>
      <w:r w:rsidRPr="002E2A12">
        <w:rPr>
          <w:rFonts w:ascii="Garamond" w:hAnsi="Garamond"/>
          <w:snapToGrid w:val="0"/>
          <w:sz w:val="24"/>
          <w:szCs w:val="24"/>
          <w:u w:color="000000"/>
        </w:rPr>
        <w:t>234</w:t>
      </w:r>
      <w:r w:rsidRPr="002E2A12">
        <w:rPr>
          <w:rFonts w:ascii="Garamond" w:hAnsi="Garamond"/>
          <w:sz w:val="24"/>
          <w:szCs w:val="24"/>
          <w:u w:color="000000"/>
        </w:rPr>
        <w:t xml:space="preserve">U and </w:t>
      </w:r>
      <w:r w:rsidRPr="002E2A12">
        <w:rPr>
          <w:rFonts w:ascii="Garamond" w:hAnsi="Garamond"/>
          <w:snapToGrid w:val="0"/>
          <w:sz w:val="24"/>
          <w:szCs w:val="24"/>
          <w:u w:color="000000"/>
        </w:rPr>
        <w:t>238</w:t>
      </w:r>
      <w:r w:rsidRPr="002E2A12">
        <w:rPr>
          <w:rFonts w:ascii="Garamond" w:hAnsi="Garamond"/>
          <w:sz w:val="24"/>
          <w:szCs w:val="24"/>
          <w:u w:color="000000"/>
        </w:rPr>
        <w:t>U isotopes to evaluate contamination of near-surface groundwater with uranium-mill effluent: a case study in south-central Colorado, U.S.A. Environmental Geology, 32, 2, 124–136.</w:t>
      </w:r>
    </w:p>
    <w:p w:rsidR="000B1559" w:rsidRDefault="000B1559" w:rsidP="000B1559">
      <w:pPr>
        <w:jc w:val="center"/>
        <w:sectPr w:rsidR="000B1559" w:rsidSect="00F17389">
          <w:pgSz w:w="11906" w:h="16838" w:code="9"/>
          <w:pgMar w:top="1276" w:right="1800" w:bottom="1276" w:left="1800" w:header="1080" w:footer="835" w:gutter="0"/>
          <w:cols w:space="360"/>
          <w:noEndnote/>
        </w:sectPr>
      </w:pPr>
    </w:p>
    <w:p w:rsidR="00EC47D5" w:rsidRDefault="008A719E" w:rsidP="009D3D38">
      <w:pPr>
        <w:pStyle w:val="Heading1"/>
      </w:pPr>
      <w:bookmarkStart w:id="262" w:name="_Toc413230075"/>
      <w:r>
        <w:t>Appendix 1</w:t>
      </w:r>
      <w:bookmarkEnd w:id="262"/>
    </w:p>
    <w:p w:rsidR="00B57923" w:rsidRPr="002A37A6" w:rsidRDefault="00755EEA" w:rsidP="0069034A">
      <w:pPr>
        <w:pStyle w:val="Heading2"/>
      </w:pPr>
      <w:bookmarkStart w:id="263" w:name="_Toc413230076"/>
      <w:r>
        <w:t>Individual b</w:t>
      </w:r>
      <w:r w:rsidR="002A37A6" w:rsidRPr="002A37A6">
        <w:t>ore</w:t>
      </w:r>
      <w:r w:rsidR="002A37A6">
        <w:t xml:space="preserve"> chemistry and radiochemistry</w:t>
      </w:r>
      <w:r w:rsidR="002A37A6" w:rsidRPr="002A37A6">
        <w:t xml:space="preserve"> data</w:t>
      </w:r>
      <w:bookmarkEnd w:id="263"/>
    </w:p>
    <w:p w:rsidR="007421B0" w:rsidRDefault="007421B0" w:rsidP="007421B0">
      <w:pPr>
        <w:pStyle w:val="Heading3"/>
      </w:pPr>
      <w:bookmarkStart w:id="264" w:name="_Toc398721748"/>
      <w:bookmarkStart w:id="265" w:name="_Toc413230077"/>
      <w:r>
        <w:t>Bore ID - RN23931</w:t>
      </w:r>
      <w:bookmarkEnd w:id="264"/>
      <w:bookmarkEnd w:id="265"/>
    </w:p>
    <w:p w:rsidR="007421B0" w:rsidRPr="007421B0" w:rsidRDefault="007421B0" w:rsidP="007421B0"/>
    <w:p w:rsidR="009D3D38" w:rsidRDefault="009D3D38" w:rsidP="009D3D38">
      <w:r>
        <w:rPr>
          <w:noProof/>
          <w:lang w:eastAsia="en-AU"/>
        </w:rPr>
        <w:drawing>
          <wp:inline distT="0" distB="0" distL="0" distR="0">
            <wp:extent cx="5422900" cy="7267575"/>
            <wp:effectExtent l="1905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3" cstate="email"/>
                    <a:srcRect/>
                    <a:stretch>
                      <a:fillRect/>
                    </a:stretch>
                  </pic:blipFill>
                  <pic:spPr bwMode="auto">
                    <a:xfrm>
                      <a:off x="0" y="0"/>
                      <a:ext cx="5422900" cy="726757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7473950"/>
            <wp:effectExtent l="19050" t="0" r="635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4" cstate="email"/>
                    <a:srcRect/>
                    <a:stretch>
                      <a:fillRect/>
                    </a:stretch>
                  </pic:blipFill>
                  <pic:spPr bwMode="auto">
                    <a:xfrm>
                      <a:off x="0" y="0"/>
                      <a:ext cx="5422900" cy="7473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5144770"/>
            <wp:effectExtent l="1905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cstate="email"/>
                    <a:srcRect l="21022"/>
                    <a:stretch>
                      <a:fillRect/>
                    </a:stretch>
                  </pic:blipFill>
                  <pic:spPr bwMode="auto">
                    <a:xfrm>
                      <a:off x="0" y="0"/>
                      <a:ext cx="5422900" cy="5144770"/>
                    </a:xfrm>
                    <a:prstGeom prst="rect">
                      <a:avLst/>
                    </a:prstGeom>
                    <a:noFill/>
                    <a:ln w="9525">
                      <a:noFill/>
                      <a:miter lim="800000"/>
                      <a:headEnd/>
                      <a:tailEnd/>
                    </a:ln>
                  </pic:spPr>
                </pic:pic>
              </a:graphicData>
            </a:graphic>
          </wp:inline>
        </w:drawing>
      </w:r>
    </w:p>
    <w:p w:rsidR="009D3D38" w:rsidRDefault="009D3D38" w:rsidP="009D3D38">
      <w:pPr>
        <w:pStyle w:val="Heading3"/>
      </w:pPr>
      <w:bookmarkStart w:id="266" w:name="_Toc398721749"/>
      <w:bookmarkStart w:id="267" w:name="_Toc411850575"/>
      <w:bookmarkStart w:id="268" w:name="_Toc411850680"/>
      <w:bookmarkStart w:id="269" w:name="_Toc411850924"/>
      <w:bookmarkStart w:id="270" w:name="_Toc413230078"/>
      <w:r>
        <w:t>Bore ID – R.P. 79/ 1 Ranger</w:t>
      </w:r>
      <w:bookmarkEnd w:id="266"/>
      <w:bookmarkEnd w:id="267"/>
      <w:bookmarkEnd w:id="268"/>
      <w:bookmarkEnd w:id="269"/>
      <w:bookmarkEnd w:id="270"/>
    </w:p>
    <w:p w:rsidR="009D3D38" w:rsidRDefault="009D3D38" w:rsidP="009D3D38">
      <w:r>
        <w:rPr>
          <w:noProof/>
          <w:lang w:eastAsia="en-AU"/>
        </w:rPr>
        <w:drawing>
          <wp:inline distT="0" distB="0" distL="0" distR="0">
            <wp:extent cx="5422900" cy="5104765"/>
            <wp:effectExtent l="1905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6" cstate="email"/>
                    <a:srcRect l="20470"/>
                    <a:stretch>
                      <a:fillRect/>
                    </a:stretch>
                  </pic:blipFill>
                  <pic:spPr bwMode="auto">
                    <a:xfrm>
                      <a:off x="0" y="0"/>
                      <a:ext cx="5422900" cy="5104765"/>
                    </a:xfrm>
                    <a:prstGeom prst="rect">
                      <a:avLst/>
                    </a:prstGeom>
                    <a:noFill/>
                    <a:ln w="9525">
                      <a:noFill/>
                      <a:miter lim="800000"/>
                      <a:headEnd/>
                      <a:tailEnd/>
                    </a:ln>
                  </pic:spPr>
                </pic:pic>
              </a:graphicData>
            </a:graphic>
          </wp:inline>
        </w:drawing>
      </w:r>
    </w:p>
    <w:p w:rsidR="009D3D38" w:rsidRDefault="009D3D38" w:rsidP="009D3D38">
      <w:pPr>
        <w:pStyle w:val="Heading3"/>
      </w:pPr>
      <w:bookmarkStart w:id="271" w:name="_Toc398721750"/>
      <w:bookmarkStart w:id="272" w:name="_Toc411850576"/>
      <w:bookmarkStart w:id="273" w:name="_Toc411850681"/>
      <w:bookmarkStart w:id="274" w:name="_Toc411850925"/>
      <w:bookmarkStart w:id="275" w:name="_Toc413230079"/>
      <w:r>
        <w:t>Bore ID – R.P. 79/ 2 Ranger</w:t>
      </w:r>
      <w:bookmarkEnd w:id="271"/>
      <w:bookmarkEnd w:id="272"/>
      <w:bookmarkEnd w:id="273"/>
      <w:bookmarkEnd w:id="274"/>
      <w:bookmarkEnd w:id="275"/>
    </w:p>
    <w:p w:rsidR="009D3D38" w:rsidRDefault="009D3D38" w:rsidP="009D3D38">
      <w:r>
        <w:rPr>
          <w:noProof/>
          <w:lang w:eastAsia="en-AU"/>
        </w:rPr>
        <w:drawing>
          <wp:inline distT="0" distB="0" distL="0" distR="0">
            <wp:extent cx="5422900" cy="5176520"/>
            <wp:effectExtent l="1905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7" cstate="email"/>
                    <a:srcRect l="21516"/>
                    <a:stretch>
                      <a:fillRect/>
                    </a:stretch>
                  </pic:blipFill>
                  <pic:spPr bwMode="auto">
                    <a:xfrm>
                      <a:off x="0" y="0"/>
                      <a:ext cx="5422900" cy="5176520"/>
                    </a:xfrm>
                    <a:prstGeom prst="rect">
                      <a:avLst/>
                    </a:prstGeom>
                    <a:noFill/>
                    <a:ln w="9525">
                      <a:noFill/>
                      <a:miter lim="800000"/>
                      <a:headEnd/>
                      <a:tailEnd/>
                    </a:ln>
                  </pic:spPr>
                </pic:pic>
              </a:graphicData>
            </a:graphic>
          </wp:inline>
        </w:drawing>
      </w:r>
    </w:p>
    <w:p w:rsidR="009D3D38" w:rsidRDefault="009D3D38" w:rsidP="009D3D38">
      <w:pPr>
        <w:pStyle w:val="Heading3"/>
      </w:pPr>
      <w:bookmarkStart w:id="276" w:name="_Toc398721751"/>
      <w:bookmarkStart w:id="277" w:name="_Toc411850577"/>
      <w:bookmarkStart w:id="278" w:name="_Toc411850682"/>
      <w:bookmarkStart w:id="279" w:name="_Toc411850926"/>
      <w:bookmarkStart w:id="280" w:name="_Toc413230080"/>
      <w:r>
        <w:t>Bore ID – 79/6</w:t>
      </w:r>
      <w:bookmarkEnd w:id="276"/>
      <w:bookmarkEnd w:id="277"/>
      <w:bookmarkEnd w:id="278"/>
      <w:bookmarkEnd w:id="279"/>
      <w:bookmarkEnd w:id="280"/>
    </w:p>
    <w:p w:rsidR="009D3D38" w:rsidRDefault="009D3D38" w:rsidP="009D3D38">
      <w:r>
        <w:rPr>
          <w:noProof/>
          <w:lang w:eastAsia="en-AU"/>
        </w:rPr>
        <w:drawing>
          <wp:inline distT="0" distB="0" distL="0" distR="0">
            <wp:extent cx="5422900" cy="5160645"/>
            <wp:effectExtent l="1905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8" cstate="email"/>
                    <a:srcRect l="21143"/>
                    <a:stretch>
                      <a:fillRect/>
                    </a:stretch>
                  </pic:blipFill>
                  <pic:spPr bwMode="auto">
                    <a:xfrm>
                      <a:off x="0" y="0"/>
                      <a:ext cx="5422900" cy="5160645"/>
                    </a:xfrm>
                    <a:prstGeom prst="rect">
                      <a:avLst/>
                    </a:prstGeom>
                    <a:noFill/>
                    <a:ln w="9525">
                      <a:noFill/>
                      <a:miter lim="800000"/>
                      <a:headEnd/>
                      <a:tailEnd/>
                    </a:ln>
                  </pic:spPr>
                </pic:pic>
              </a:graphicData>
            </a:graphic>
          </wp:inline>
        </w:drawing>
      </w:r>
    </w:p>
    <w:p w:rsidR="009D3D38" w:rsidRDefault="009D3D38" w:rsidP="009D3D38">
      <w:pPr>
        <w:pStyle w:val="Heading3"/>
      </w:pPr>
      <w:bookmarkStart w:id="281" w:name="_Toc398721752"/>
      <w:bookmarkStart w:id="282" w:name="_Toc411850578"/>
      <w:bookmarkStart w:id="283" w:name="_Toc411850683"/>
      <w:bookmarkStart w:id="284" w:name="_Toc411850927"/>
      <w:bookmarkStart w:id="285" w:name="_Toc413230081"/>
      <w:r>
        <w:t>Bore ID – 79/9</w:t>
      </w:r>
      <w:bookmarkEnd w:id="281"/>
      <w:bookmarkEnd w:id="282"/>
      <w:bookmarkEnd w:id="283"/>
      <w:bookmarkEnd w:id="284"/>
      <w:bookmarkEnd w:id="285"/>
    </w:p>
    <w:p w:rsidR="009D3D38" w:rsidRDefault="009D3D38" w:rsidP="009D3D38">
      <w:r>
        <w:rPr>
          <w:noProof/>
          <w:lang w:eastAsia="en-AU"/>
        </w:rPr>
        <w:drawing>
          <wp:inline distT="0" distB="0" distL="0" distR="0">
            <wp:extent cx="5422900" cy="5200015"/>
            <wp:effectExtent l="1905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9" cstate="email"/>
                    <a:srcRect l="22017"/>
                    <a:stretch>
                      <a:fillRect/>
                    </a:stretch>
                  </pic:blipFill>
                  <pic:spPr bwMode="auto">
                    <a:xfrm>
                      <a:off x="0" y="0"/>
                      <a:ext cx="5422900" cy="5200015"/>
                    </a:xfrm>
                    <a:prstGeom prst="rect">
                      <a:avLst/>
                    </a:prstGeom>
                    <a:noFill/>
                    <a:ln w="9525">
                      <a:noFill/>
                      <a:miter lim="800000"/>
                      <a:headEnd/>
                      <a:tailEnd/>
                    </a:ln>
                  </pic:spPr>
                </pic:pic>
              </a:graphicData>
            </a:graphic>
          </wp:inline>
        </w:drawing>
      </w:r>
    </w:p>
    <w:p w:rsidR="009D3D38" w:rsidRDefault="009D3D38" w:rsidP="009D3D38">
      <w:pPr>
        <w:pStyle w:val="Heading3"/>
      </w:pPr>
      <w:bookmarkStart w:id="286" w:name="_Toc398721753"/>
      <w:bookmarkStart w:id="287" w:name="_Toc411850579"/>
      <w:bookmarkStart w:id="288" w:name="_Toc411850684"/>
      <w:bookmarkStart w:id="289" w:name="_Toc411850928"/>
      <w:bookmarkStart w:id="290" w:name="_Toc413230082"/>
      <w:r>
        <w:t>Bore ID – 83_1</w:t>
      </w:r>
      <w:bookmarkEnd w:id="286"/>
      <w:bookmarkEnd w:id="287"/>
      <w:bookmarkEnd w:id="288"/>
      <w:bookmarkEnd w:id="289"/>
      <w:bookmarkEnd w:id="290"/>
    </w:p>
    <w:p w:rsidR="009D3D38" w:rsidRDefault="009D3D38" w:rsidP="009D3D38">
      <w:r>
        <w:rPr>
          <w:noProof/>
          <w:lang w:eastAsia="en-AU"/>
        </w:rPr>
        <w:drawing>
          <wp:inline distT="0" distB="0" distL="0" distR="0">
            <wp:extent cx="5263515" cy="715645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0" cstate="email"/>
                    <a:srcRect/>
                    <a:stretch>
                      <a:fillRect/>
                    </a:stretch>
                  </pic:blipFill>
                  <pic:spPr bwMode="auto">
                    <a:xfrm>
                      <a:off x="0" y="0"/>
                      <a:ext cx="5263515" cy="71564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7442200"/>
            <wp:effectExtent l="1905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1" cstate="email"/>
                    <a:srcRect/>
                    <a:stretch>
                      <a:fillRect/>
                    </a:stretch>
                  </pic:blipFill>
                  <pic:spPr bwMode="auto">
                    <a:xfrm>
                      <a:off x="0" y="0"/>
                      <a:ext cx="5422900" cy="744220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5128895"/>
            <wp:effectExtent l="1905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2" cstate="email"/>
                    <a:srcRect l="20880"/>
                    <a:stretch>
                      <a:fillRect/>
                    </a:stretch>
                  </pic:blipFill>
                  <pic:spPr bwMode="auto">
                    <a:xfrm>
                      <a:off x="0" y="0"/>
                      <a:ext cx="5422900" cy="512889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291" w:name="_Toc398721754"/>
      <w:bookmarkStart w:id="292" w:name="_Toc411850580"/>
      <w:bookmarkStart w:id="293" w:name="_Toc411850685"/>
      <w:bookmarkStart w:id="294" w:name="_Toc411850929"/>
      <w:r>
        <w:t xml:space="preserve"> </w:t>
      </w:r>
      <w:bookmarkStart w:id="295" w:name="_Toc413230083"/>
      <w:r>
        <w:t>Bore ID – B11</w:t>
      </w:r>
      <w:bookmarkEnd w:id="291"/>
      <w:bookmarkEnd w:id="292"/>
      <w:bookmarkEnd w:id="293"/>
      <w:bookmarkEnd w:id="294"/>
      <w:bookmarkEnd w:id="295"/>
    </w:p>
    <w:p w:rsidR="009D3D38" w:rsidRDefault="009D3D38" w:rsidP="009D3D38">
      <w:r>
        <w:rPr>
          <w:noProof/>
          <w:lang w:eastAsia="en-AU"/>
        </w:rPr>
        <w:drawing>
          <wp:inline distT="0" distB="0" distL="0" distR="0">
            <wp:extent cx="5422900" cy="7346950"/>
            <wp:effectExtent l="1905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3" cstate="email"/>
                    <a:srcRect/>
                    <a:stretch>
                      <a:fillRect/>
                    </a:stretch>
                  </pic:blipFill>
                  <pic:spPr bwMode="auto">
                    <a:xfrm>
                      <a:off x="0" y="0"/>
                      <a:ext cx="5422900" cy="7346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7299325"/>
            <wp:effectExtent l="1905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4" cstate="email"/>
                    <a:srcRect/>
                    <a:stretch>
                      <a:fillRect/>
                    </a:stretch>
                  </pic:blipFill>
                  <pic:spPr bwMode="auto">
                    <a:xfrm>
                      <a:off x="0" y="0"/>
                      <a:ext cx="5422900" cy="729932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5041265"/>
            <wp:effectExtent l="1905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5" cstate="email"/>
                    <a:srcRect l="19908"/>
                    <a:stretch>
                      <a:fillRect/>
                    </a:stretch>
                  </pic:blipFill>
                  <pic:spPr bwMode="auto">
                    <a:xfrm>
                      <a:off x="0" y="0"/>
                      <a:ext cx="5422900" cy="504126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296" w:name="_Toc398721755"/>
      <w:bookmarkStart w:id="297" w:name="_Toc411850581"/>
      <w:bookmarkStart w:id="298" w:name="_Toc411850686"/>
      <w:bookmarkStart w:id="299" w:name="_Toc411850930"/>
      <w:bookmarkStart w:id="300" w:name="_Toc413230084"/>
      <w:r>
        <w:t>Bore ID – C12</w:t>
      </w:r>
      <w:bookmarkEnd w:id="296"/>
      <w:bookmarkEnd w:id="297"/>
      <w:bookmarkEnd w:id="298"/>
      <w:bookmarkEnd w:id="299"/>
      <w:bookmarkEnd w:id="300"/>
    </w:p>
    <w:p w:rsidR="009D3D38" w:rsidRDefault="009D3D38" w:rsidP="009D3D38">
      <w:r>
        <w:rPr>
          <w:noProof/>
          <w:lang w:eastAsia="en-AU"/>
        </w:rPr>
        <w:drawing>
          <wp:inline distT="0" distB="0" distL="0" distR="0">
            <wp:extent cx="5422900" cy="7378700"/>
            <wp:effectExtent l="1905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6" cstate="email"/>
                    <a:srcRect/>
                    <a:stretch>
                      <a:fillRect/>
                    </a:stretch>
                  </pic:blipFill>
                  <pic:spPr bwMode="auto">
                    <a:xfrm>
                      <a:off x="0" y="0"/>
                      <a:ext cx="5422900" cy="737870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7402830"/>
            <wp:effectExtent l="1905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 cstate="email"/>
                    <a:srcRect/>
                    <a:stretch>
                      <a:fillRect/>
                    </a:stretch>
                  </pic:blipFill>
                  <pic:spPr bwMode="auto">
                    <a:xfrm>
                      <a:off x="0" y="0"/>
                      <a:ext cx="5422900" cy="740283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5088890"/>
            <wp:effectExtent l="1905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8" cstate="email"/>
                    <a:srcRect l="20245"/>
                    <a:stretch>
                      <a:fillRect/>
                    </a:stretch>
                  </pic:blipFill>
                  <pic:spPr bwMode="auto">
                    <a:xfrm>
                      <a:off x="0" y="0"/>
                      <a:ext cx="5422900" cy="50888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01" w:name="_Toc398721756"/>
      <w:bookmarkStart w:id="302" w:name="_Toc411850582"/>
      <w:bookmarkStart w:id="303" w:name="_Toc411850687"/>
      <w:bookmarkStart w:id="304" w:name="_Toc411850931"/>
      <w:r>
        <w:t xml:space="preserve"> </w:t>
      </w:r>
      <w:bookmarkStart w:id="305" w:name="_Toc413230085"/>
      <w:r>
        <w:t>Bore ID – C1_Shallow</w:t>
      </w:r>
      <w:bookmarkEnd w:id="301"/>
      <w:bookmarkEnd w:id="302"/>
      <w:bookmarkEnd w:id="303"/>
      <w:bookmarkEnd w:id="304"/>
      <w:bookmarkEnd w:id="305"/>
    </w:p>
    <w:p w:rsidR="009D3D38" w:rsidRDefault="009D3D38" w:rsidP="009D3D38"/>
    <w:p w:rsidR="009D3D38" w:rsidRPr="009932E9" w:rsidRDefault="009D3D38" w:rsidP="009D3D38">
      <w:r>
        <w:rPr>
          <w:noProof/>
          <w:lang w:eastAsia="en-AU"/>
        </w:rPr>
        <w:drawing>
          <wp:inline distT="0" distB="0" distL="0" distR="0">
            <wp:extent cx="5422900" cy="5144770"/>
            <wp:effectExtent l="1905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9" cstate="email"/>
                    <a:srcRect l="21143"/>
                    <a:stretch>
                      <a:fillRect/>
                    </a:stretch>
                  </pic:blipFill>
                  <pic:spPr bwMode="auto">
                    <a:xfrm>
                      <a:off x="0" y="0"/>
                      <a:ext cx="5422900" cy="514477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06" w:name="_Toc398721757"/>
      <w:bookmarkStart w:id="307" w:name="_Toc411850583"/>
      <w:bookmarkStart w:id="308" w:name="_Toc411850688"/>
      <w:bookmarkStart w:id="309" w:name="_Toc411850932"/>
      <w:bookmarkStart w:id="310" w:name="_Toc413230086"/>
      <w:r>
        <w:t>Bore ID – Magela Ck 11/80</w:t>
      </w:r>
      <w:bookmarkEnd w:id="306"/>
      <w:bookmarkEnd w:id="307"/>
      <w:bookmarkEnd w:id="308"/>
      <w:bookmarkEnd w:id="309"/>
      <w:bookmarkEnd w:id="310"/>
    </w:p>
    <w:p w:rsidR="009D3D38" w:rsidRDefault="009D3D38" w:rsidP="009D3D38">
      <w:r>
        <w:rPr>
          <w:noProof/>
          <w:lang w:eastAsia="en-AU"/>
        </w:rPr>
        <w:drawing>
          <wp:inline distT="0" distB="0" distL="0" distR="0">
            <wp:extent cx="5351145" cy="7283450"/>
            <wp:effectExtent l="1905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 cstate="email"/>
                    <a:srcRect/>
                    <a:stretch>
                      <a:fillRect/>
                    </a:stretch>
                  </pic:blipFill>
                  <pic:spPr bwMode="auto">
                    <a:xfrm>
                      <a:off x="0" y="0"/>
                      <a:ext cx="5351145" cy="7283450"/>
                    </a:xfrm>
                    <a:prstGeom prst="rect">
                      <a:avLst/>
                    </a:prstGeom>
                    <a:noFill/>
                    <a:ln w="9525">
                      <a:noFill/>
                      <a:miter lim="800000"/>
                      <a:headEnd/>
                      <a:tailEnd/>
                    </a:ln>
                  </pic:spPr>
                </pic:pic>
              </a:graphicData>
            </a:graphic>
          </wp:inline>
        </w:drawing>
      </w:r>
      <w:r w:rsidRPr="009932E9">
        <w:t xml:space="preserve"> </w:t>
      </w:r>
      <w:r>
        <w:rPr>
          <w:noProof/>
          <w:lang w:eastAsia="en-AU"/>
        </w:rPr>
        <w:drawing>
          <wp:inline distT="0" distB="0" distL="0" distR="0">
            <wp:extent cx="5343525" cy="7283450"/>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 cstate="email"/>
                    <a:srcRect/>
                    <a:stretch>
                      <a:fillRect/>
                    </a:stretch>
                  </pic:blipFill>
                  <pic:spPr bwMode="auto">
                    <a:xfrm>
                      <a:off x="0" y="0"/>
                      <a:ext cx="5343525" cy="7283450"/>
                    </a:xfrm>
                    <a:prstGeom prst="rect">
                      <a:avLst/>
                    </a:prstGeom>
                    <a:noFill/>
                    <a:ln w="9525">
                      <a:noFill/>
                      <a:miter lim="800000"/>
                      <a:headEnd/>
                      <a:tailEnd/>
                    </a:ln>
                  </pic:spPr>
                </pic:pic>
              </a:graphicData>
            </a:graphic>
          </wp:inline>
        </w:drawing>
      </w:r>
      <w:r w:rsidRPr="009932E9">
        <w:t xml:space="preserve"> </w:t>
      </w:r>
      <w:r>
        <w:rPr>
          <w:noProof/>
          <w:lang w:eastAsia="en-AU"/>
        </w:rPr>
        <w:drawing>
          <wp:inline distT="0" distB="0" distL="0" distR="0">
            <wp:extent cx="5279390" cy="502539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2" cstate="email"/>
                    <a:srcRect l="21330"/>
                    <a:stretch>
                      <a:fillRect/>
                    </a:stretch>
                  </pic:blipFill>
                  <pic:spPr bwMode="auto">
                    <a:xfrm>
                      <a:off x="0" y="0"/>
                      <a:ext cx="527939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11" w:name="_Toc398721758"/>
      <w:bookmarkStart w:id="312" w:name="_Toc411850584"/>
      <w:bookmarkStart w:id="313" w:name="_Toc411850689"/>
      <w:bookmarkStart w:id="314" w:name="_Toc411850933"/>
      <w:r>
        <w:t xml:space="preserve"> </w:t>
      </w:r>
      <w:bookmarkStart w:id="315" w:name="_Toc413230087"/>
      <w:r>
        <w:t>Bore ID – MBH</w:t>
      </w:r>
      <w:bookmarkEnd w:id="311"/>
      <w:bookmarkEnd w:id="312"/>
      <w:bookmarkEnd w:id="313"/>
      <w:bookmarkEnd w:id="314"/>
      <w:bookmarkEnd w:id="315"/>
    </w:p>
    <w:p w:rsidR="009D3D38" w:rsidRPr="00485007" w:rsidRDefault="009D3D38" w:rsidP="009D3D38"/>
    <w:p w:rsidR="009D3D38" w:rsidRPr="00485007" w:rsidRDefault="009D3D38" w:rsidP="009D3D38">
      <w:r>
        <w:rPr>
          <w:noProof/>
          <w:lang w:eastAsia="en-AU"/>
        </w:rPr>
        <w:drawing>
          <wp:inline distT="0" distB="0" distL="0" distR="0">
            <wp:extent cx="5279390" cy="502539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3" cstate="email"/>
                    <a:srcRect l="21330"/>
                    <a:stretch>
                      <a:fillRect/>
                    </a:stretch>
                  </pic:blipFill>
                  <pic:spPr bwMode="auto">
                    <a:xfrm>
                      <a:off x="0" y="0"/>
                      <a:ext cx="527939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16" w:name="_Toc398721759"/>
      <w:bookmarkStart w:id="317" w:name="_Toc411850585"/>
      <w:bookmarkStart w:id="318" w:name="_Toc411850690"/>
      <w:bookmarkStart w:id="319" w:name="_Toc411850934"/>
      <w:r>
        <w:t xml:space="preserve"> </w:t>
      </w:r>
      <w:bookmarkStart w:id="320" w:name="_Toc413230088"/>
      <w:r>
        <w:t>Bore ID – MBL</w:t>
      </w:r>
      <w:bookmarkEnd w:id="316"/>
      <w:bookmarkEnd w:id="317"/>
      <w:bookmarkEnd w:id="318"/>
      <w:bookmarkEnd w:id="319"/>
      <w:bookmarkEnd w:id="320"/>
    </w:p>
    <w:p w:rsidR="009D3D38" w:rsidRPr="00485007" w:rsidRDefault="009D3D38" w:rsidP="009D3D38"/>
    <w:p w:rsidR="009D3D38" w:rsidRDefault="009D3D38" w:rsidP="009D3D38">
      <w:r>
        <w:rPr>
          <w:noProof/>
          <w:lang w:eastAsia="en-AU"/>
        </w:rPr>
        <w:drawing>
          <wp:inline distT="0" distB="0" distL="0" distR="0">
            <wp:extent cx="5279390" cy="502539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4" cstate="email"/>
                    <a:srcRect l="21330"/>
                    <a:stretch>
                      <a:fillRect/>
                    </a:stretch>
                  </pic:blipFill>
                  <pic:spPr bwMode="auto">
                    <a:xfrm>
                      <a:off x="0" y="0"/>
                      <a:ext cx="527939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21" w:name="_Toc398721760"/>
      <w:bookmarkStart w:id="322" w:name="_Toc411850586"/>
      <w:bookmarkStart w:id="323" w:name="_Toc411850691"/>
      <w:bookmarkStart w:id="324" w:name="_Toc411850935"/>
      <w:r>
        <w:t xml:space="preserve"> </w:t>
      </w:r>
      <w:bookmarkStart w:id="325" w:name="_Toc413230089"/>
      <w:r>
        <w:t>Bore ID – MC24</w:t>
      </w:r>
      <w:bookmarkEnd w:id="321"/>
      <w:bookmarkEnd w:id="322"/>
      <w:bookmarkEnd w:id="323"/>
      <w:bookmarkEnd w:id="324"/>
      <w:bookmarkEnd w:id="325"/>
    </w:p>
    <w:p w:rsidR="009D3D38" w:rsidRPr="00485007" w:rsidRDefault="009D3D38" w:rsidP="009D3D38"/>
    <w:p w:rsidR="009D3D38" w:rsidRDefault="009D3D38" w:rsidP="009D3D38">
      <w:r>
        <w:rPr>
          <w:noProof/>
          <w:lang w:eastAsia="en-AU"/>
        </w:rPr>
        <w:drawing>
          <wp:inline distT="0" distB="0" distL="0" distR="0">
            <wp:extent cx="5279390" cy="501713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5" cstate="email"/>
                    <a:srcRect l="21330"/>
                    <a:stretch>
                      <a:fillRect/>
                    </a:stretch>
                  </pic:blipFill>
                  <pic:spPr bwMode="auto">
                    <a:xfrm>
                      <a:off x="0" y="0"/>
                      <a:ext cx="527939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26" w:name="_Toc398721761"/>
      <w:bookmarkStart w:id="327" w:name="_Toc411850587"/>
      <w:bookmarkStart w:id="328" w:name="_Toc411850692"/>
      <w:bookmarkStart w:id="329" w:name="_Toc411850936"/>
      <w:r>
        <w:t xml:space="preserve"> </w:t>
      </w:r>
      <w:bookmarkStart w:id="330" w:name="_Toc413230090"/>
      <w:r>
        <w:t>Bore ID – MC27</w:t>
      </w:r>
      <w:bookmarkEnd w:id="326"/>
      <w:bookmarkEnd w:id="327"/>
      <w:bookmarkEnd w:id="328"/>
      <w:bookmarkEnd w:id="329"/>
      <w:bookmarkEnd w:id="330"/>
    </w:p>
    <w:p w:rsidR="009D3D38" w:rsidRPr="00AD207A" w:rsidRDefault="009D3D38" w:rsidP="009D3D38"/>
    <w:p w:rsidR="009D3D38" w:rsidRDefault="009D3D38" w:rsidP="009D3D38">
      <w:r>
        <w:rPr>
          <w:noProof/>
          <w:lang w:eastAsia="en-AU"/>
        </w:rPr>
        <w:drawing>
          <wp:inline distT="0" distB="0" distL="0" distR="0">
            <wp:extent cx="5422900" cy="7267575"/>
            <wp:effectExtent l="19050" t="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6" cstate="email"/>
                    <a:srcRect/>
                    <a:stretch>
                      <a:fillRect/>
                    </a:stretch>
                  </pic:blipFill>
                  <pic:spPr bwMode="auto">
                    <a:xfrm>
                      <a:off x="0" y="0"/>
                      <a:ext cx="5422900" cy="726757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7355205"/>
            <wp:effectExtent l="1905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7" cstate="email"/>
                    <a:srcRect/>
                    <a:stretch>
                      <a:fillRect/>
                    </a:stretch>
                  </pic:blipFill>
                  <pic:spPr bwMode="auto">
                    <a:xfrm>
                      <a:off x="0" y="0"/>
                      <a:ext cx="5422900" cy="735520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35270" cy="5017135"/>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8" cstate="email"/>
                    <a:srcRect l="20432"/>
                    <a:stretch>
                      <a:fillRect/>
                    </a:stretch>
                  </pic:blipFill>
                  <pic:spPr bwMode="auto">
                    <a:xfrm>
                      <a:off x="0" y="0"/>
                      <a:ext cx="533527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31" w:name="_Toc398721762"/>
      <w:bookmarkStart w:id="332" w:name="_Toc411850588"/>
      <w:bookmarkStart w:id="333" w:name="_Toc411850693"/>
      <w:bookmarkStart w:id="334" w:name="_Toc411850937"/>
      <w:r>
        <w:t xml:space="preserve"> </w:t>
      </w:r>
      <w:bookmarkStart w:id="335" w:name="_Toc413230091"/>
      <w:r>
        <w:t>Bore ID – OB10A</w:t>
      </w:r>
      <w:bookmarkEnd w:id="331"/>
      <w:bookmarkEnd w:id="332"/>
      <w:bookmarkEnd w:id="333"/>
      <w:bookmarkEnd w:id="334"/>
      <w:bookmarkEnd w:id="335"/>
    </w:p>
    <w:p w:rsidR="009D3D38" w:rsidRDefault="009D3D38" w:rsidP="009D3D38">
      <w:r>
        <w:rPr>
          <w:noProof/>
          <w:lang w:eastAsia="en-AU"/>
        </w:rPr>
        <w:drawing>
          <wp:inline distT="0" distB="0" distL="0" distR="0">
            <wp:extent cx="5271770" cy="7060565"/>
            <wp:effectExtent l="19050" t="0" r="508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9"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084695"/>
            <wp:effectExtent l="19050" t="0" r="508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0" cstate="email"/>
                    <a:srcRect/>
                    <a:stretch>
                      <a:fillRect/>
                    </a:stretch>
                  </pic:blipFill>
                  <pic:spPr bwMode="auto">
                    <a:xfrm>
                      <a:off x="0" y="0"/>
                      <a:ext cx="5271770" cy="708469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19395" cy="502539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1" cstate="email"/>
                    <a:srcRect l="20619"/>
                    <a:stretch>
                      <a:fillRect/>
                    </a:stretch>
                  </pic:blipFill>
                  <pic:spPr bwMode="auto">
                    <a:xfrm>
                      <a:off x="0" y="0"/>
                      <a:ext cx="5319395"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36" w:name="_Toc398721763"/>
      <w:bookmarkStart w:id="337" w:name="_Toc411850589"/>
      <w:bookmarkStart w:id="338" w:name="_Toc411850694"/>
      <w:bookmarkStart w:id="339" w:name="_Toc411850938"/>
      <w:r>
        <w:t xml:space="preserve"> </w:t>
      </w:r>
      <w:bookmarkStart w:id="340" w:name="_Toc413230092"/>
      <w:r>
        <w:t>Bore ID – OB11A</w:t>
      </w:r>
      <w:bookmarkEnd w:id="336"/>
      <w:bookmarkEnd w:id="337"/>
      <w:bookmarkEnd w:id="338"/>
      <w:bookmarkEnd w:id="339"/>
      <w:bookmarkEnd w:id="340"/>
    </w:p>
    <w:p w:rsidR="009D3D38" w:rsidRPr="00324274" w:rsidRDefault="009D3D38" w:rsidP="009D3D38"/>
    <w:p w:rsidR="009D3D38" w:rsidRDefault="009D3D38" w:rsidP="009D3D38">
      <w:r>
        <w:rPr>
          <w:noProof/>
          <w:lang w:eastAsia="en-AU"/>
        </w:rPr>
        <w:drawing>
          <wp:inline distT="0" distB="0" distL="0" distR="0">
            <wp:extent cx="5311775" cy="5017135"/>
            <wp:effectExtent l="19050" t="0" r="317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2" cstate="email"/>
                    <a:srcRect l="20805"/>
                    <a:stretch>
                      <a:fillRect/>
                    </a:stretch>
                  </pic:blipFill>
                  <pic:spPr bwMode="auto">
                    <a:xfrm>
                      <a:off x="0" y="0"/>
                      <a:ext cx="531177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41" w:name="_Toc398721764"/>
      <w:bookmarkStart w:id="342" w:name="_Toc411850590"/>
      <w:bookmarkStart w:id="343" w:name="_Toc411850695"/>
      <w:bookmarkStart w:id="344" w:name="_Toc411850939"/>
      <w:r>
        <w:t xml:space="preserve"> </w:t>
      </w:r>
      <w:bookmarkStart w:id="345" w:name="_Toc413230093"/>
      <w:r>
        <w:t>Bore ID – OB12A</w:t>
      </w:r>
      <w:bookmarkEnd w:id="341"/>
      <w:bookmarkEnd w:id="342"/>
      <w:bookmarkEnd w:id="343"/>
      <w:bookmarkEnd w:id="344"/>
      <w:bookmarkEnd w:id="345"/>
    </w:p>
    <w:p w:rsidR="009D3D38" w:rsidRPr="00324274" w:rsidRDefault="009D3D38" w:rsidP="009D3D38"/>
    <w:p w:rsidR="009D3D38" w:rsidRDefault="009D3D38" w:rsidP="009D3D38">
      <w:r>
        <w:rPr>
          <w:noProof/>
          <w:lang w:eastAsia="en-AU"/>
        </w:rPr>
        <w:drawing>
          <wp:inline distT="0" distB="0" distL="0" distR="0">
            <wp:extent cx="5311775" cy="5017135"/>
            <wp:effectExtent l="19050" t="0" r="317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3" cstate="email"/>
                    <a:srcRect l="20805"/>
                    <a:stretch>
                      <a:fillRect/>
                    </a:stretch>
                  </pic:blipFill>
                  <pic:spPr bwMode="auto">
                    <a:xfrm>
                      <a:off x="0" y="0"/>
                      <a:ext cx="531177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46" w:name="_Toc398721765"/>
      <w:bookmarkStart w:id="347" w:name="_Toc411850591"/>
      <w:bookmarkStart w:id="348" w:name="_Toc411850696"/>
      <w:bookmarkStart w:id="349" w:name="_Toc411850940"/>
      <w:r>
        <w:t xml:space="preserve"> </w:t>
      </w:r>
      <w:bookmarkStart w:id="350" w:name="_Toc413230094"/>
      <w:r>
        <w:t>Bore ID – OB13A</w:t>
      </w:r>
      <w:bookmarkEnd w:id="346"/>
      <w:bookmarkEnd w:id="347"/>
      <w:bookmarkEnd w:id="348"/>
      <w:bookmarkEnd w:id="349"/>
      <w:bookmarkEnd w:id="350"/>
    </w:p>
    <w:p w:rsidR="009D3D38" w:rsidRPr="00324274" w:rsidRDefault="009D3D38" w:rsidP="009D3D38">
      <w:pPr>
        <w:rPr>
          <w:b/>
        </w:rPr>
      </w:pPr>
    </w:p>
    <w:p w:rsidR="009D3D38" w:rsidRPr="00A015E1" w:rsidRDefault="009D3D38" w:rsidP="009D3D38">
      <w:r>
        <w:rPr>
          <w:noProof/>
          <w:lang w:eastAsia="en-AU"/>
        </w:rPr>
        <w:drawing>
          <wp:inline distT="0" distB="0" distL="0" distR="0">
            <wp:extent cx="5407025" cy="5017135"/>
            <wp:effectExtent l="1905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4" cstate="email"/>
                    <a:srcRect l="19347"/>
                    <a:stretch>
                      <a:fillRect/>
                    </a:stretch>
                  </pic:blipFill>
                  <pic:spPr bwMode="auto">
                    <a:xfrm>
                      <a:off x="0" y="0"/>
                      <a:ext cx="540702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51" w:name="_Toc398721766"/>
      <w:bookmarkStart w:id="352" w:name="_Toc411850592"/>
      <w:bookmarkStart w:id="353" w:name="_Toc411850697"/>
      <w:bookmarkStart w:id="354" w:name="_Toc411850941"/>
      <w:r>
        <w:t xml:space="preserve"> </w:t>
      </w:r>
      <w:bookmarkStart w:id="355" w:name="_Toc413230095"/>
      <w:r>
        <w:t>Bore ID – OB15</w:t>
      </w:r>
      <w:bookmarkEnd w:id="351"/>
      <w:bookmarkEnd w:id="352"/>
      <w:bookmarkEnd w:id="353"/>
      <w:bookmarkEnd w:id="354"/>
      <w:bookmarkEnd w:id="355"/>
    </w:p>
    <w:p w:rsidR="009D3D38" w:rsidRPr="00324274" w:rsidRDefault="009D3D38" w:rsidP="009D3D38">
      <w:pPr>
        <w:rPr>
          <w:b/>
        </w:rPr>
      </w:pPr>
    </w:p>
    <w:p w:rsidR="009D3D38" w:rsidRPr="00A015E1" w:rsidRDefault="009D3D38" w:rsidP="009D3D38">
      <w:r>
        <w:rPr>
          <w:noProof/>
          <w:lang w:eastAsia="en-AU"/>
        </w:rPr>
        <w:drawing>
          <wp:inline distT="0" distB="0" distL="0" distR="0">
            <wp:extent cx="5367020" cy="5017135"/>
            <wp:effectExtent l="19050" t="0" r="508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5" cstate="email"/>
                    <a:srcRect l="19908"/>
                    <a:stretch>
                      <a:fillRect/>
                    </a:stretch>
                  </pic:blipFill>
                  <pic:spPr bwMode="auto">
                    <a:xfrm>
                      <a:off x="0" y="0"/>
                      <a:ext cx="536702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56" w:name="_Toc398721767"/>
      <w:bookmarkStart w:id="357" w:name="_Toc411850593"/>
      <w:bookmarkStart w:id="358" w:name="_Toc411850698"/>
      <w:bookmarkStart w:id="359" w:name="_Toc411850942"/>
      <w:r>
        <w:t xml:space="preserve"> </w:t>
      </w:r>
      <w:bookmarkStart w:id="360" w:name="_Toc413230096"/>
      <w:r>
        <w:t>Bore ID – OB16</w:t>
      </w:r>
      <w:bookmarkEnd w:id="356"/>
      <w:bookmarkEnd w:id="357"/>
      <w:bookmarkEnd w:id="358"/>
      <w:bookmarkEnd w:id="359"/>
      <w:bookmarkEnd w:id="360"/>
    </w:p>
    <w:p w:rsidR="009D3D38" w:rsidRPr="00324274" w:rsidRDefault="009D3D38" w:rsidP="009D3D38">
      <w:pPr>
        <w:rPr>
          <w:b/>
        </w:rPr>
      </w:pPr>
    </w:p>
    <w:p w:rsidR="009D3D38" w:rsidRPr="00A015E1" w:rsidRDefault="009D3D38" w:rsidP="009D3D38">
      <w:r>
        <w:rPr>
          <w:noProof/>
          <w:lang w:eastAsia="en-AU"/>
        </w:rPr>
        <w:drawing>
          <wp:inline distT="0" distB="0" distL="0" distR="0">
            <wp:extent cx="5319395" cy="501713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6" cstate="email"/>
                    <a:srcRect l="20619"/>
                    <a:stretch>
                      <a:fillRect/>
                    </a:stretch>
                  </pic:blipFill>
                  <pic:spPr bwMode="auto">
                    <a:xfrm>
                      <a:off x="0" y="0"/>
                      <a:ext cx="531939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61" w:name="_Toc398721768"/>
      <w:bookmarkStart w:id="362" w:name="_Toc411850594"/>
      <w:bookmarkStart w:id="363" w:name="_Toc411850699"/>
      <w:bookmarkStart w:id="364" w:name="_Toc411850943"/>
      <w:r>
        <w:t xml:space="preserve"> </w:t>
      </w:r>
      <w:bookmarkStart w:id="365" w:name="_Toc413230097"/>
      <w:r>
        <w:t>Bore ID – OB112</w:t>
      </w:r>
      <w:bookmarkEnd w:id="361"/>
      <w:bookmarkEnd w:id="362"/>
      <w:bookmarkEnd w:id="363"/>
      <w:bookmarkEnd w:id="364"/>
      <w:bookmarkEnd w:id="365"/>
    </w:p>
    <w:p w:rsidR="009D3D38" w:rsidRDefault="009D3D38" w:rsidP="009D3D38"/>
    <w:p w:rsidR="009D3D38" w:rsidRDefault="009D3D38" w:rsidP="009D3D38">
      <w:r>
        <w:rPr>
          <w:noProof/>
          <w:lang w:eastAsia="en-AU"/>
        </w:rPr>
        <w:drawing>
          <wp:inline distT="0" distB="0" distL="0" distR="0">
            <wp:extent cx="5263515" cy="7116445"/>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7" cstate="email"/>
                    <a:srcRect/>
                    <a:stretch>
                      <a:fillRect/>
                    </a:stretch>
                  </pic:blipFill>
                  <pic:spPr bwMode="auto">
                    <a:xfrm>
                      <a:off x="0" y="0"/>
                      <a:ext cx="5263515" cy="711644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63515" cy="649605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cstate="email"/>
                    <a:srcRect/>
                    <a:stretch>
                      <a:fillRect/>
                    </a:stretch>
                  </pic:blipFill>
                  <pic:spPr bwMode="auto">
                    <a:xfrm>
                      <a:off x="0" y="0"/>
                      <a:ext cx="5263515" cy="649605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66" w:name="_Toc398721769"/>
      <w:bookmarkStart w:id="367" w:name="_Toc411850595"/>
      <w:bookmarkStart w:id="368" w:name="_Toc411850700"/>
      <w:bookmarkStart w:id="369" w:name="_Toc411850944"/>
      <w:r>
        <w:t xml:space="preserve"> </w:t>
      </w:r>
      <w:bookmarkStart w:id="370" w:name="_Toc413230098"/>
      <w:r>
        <w:t>Bore ID – OB116</w:t>
      </w:r>
      <w:bookmarkEnd w:id="366"/>
      <w:bookmarkEnd w:id="367"/>
      <w:bookmarkEnd w:id="368"/>
      <w:bookmarkEnd w:id="369"/>
      <w:bookmarkEnd w:id="370"/>
    </w:p>
    <w:p w:rsidR="009D3D38" w:rsidRDefault="009D3D38" w:rsidP="009D3D38"/>
    <w:p w:rsidR="009D3D38" w:rsidRDefault="009D3D38" w:rsidP="009D3D38">
      <w:r>
        <w:rPr>
          <w:noProof/>
          <w:lang w:eastAsia="en-AU"/>
        </w:rPr>
        <w:drawing>
          <wp:inline distT="0" distB="0" distL="0" distR="0">
            <wp:extent cx="5574030" cy="7283450"/>
            <wp:effectExtent l="19050" t="0" r="762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cstate="email"/>
                    <a:srcRect l="13562" r="6302"/>
                    <a:stretch>
                      <a:fillRect/>
                    </a:stretch>
                  </pic:blipFill>
                  <pic:spPr bwMode="auto">
                    <a:xfrm>
                      <a:off x="0" y="0"/>
                      <a:ext cx="5574030" cy="72834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63515" cy="7219950"/>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0" cstate="email"/>
                    <a:srcRect/>
                    <a:stretch>
                      <a:fillRect/>
                    </a:stretch>
                  </pic:blipFill>
                  <pic:spPr bwMode="auto">
                    <a:xfrm>
                      <a:off x="0" y="0"/>
                      <a:ext cx="5263515"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67020" cy="5017135"/>
            <wp:effectExtent l="19050" t="0" r="508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1" cstate="email"/>
                    <a:srcRect l="19908"/>
                    <a:stretch>
                      <a:fillRect/>
                    </a:stretch>
                  </pic:blipFill>
                  <pic:spPr bwMode="auto">
                    <a:xfrm>
                      <a:off x="0" y="0"/>
                      <a:ext cx="536702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71" w:name="_Toc398721770"/>
      <w:bookmarkStart w:id="372" w:name="_Toc411850596"/>
      <w:bookmarkStart w:id="373" w:name="_Toc411850701"/>
      <w:bookmarkStart w:id="374" w:name="_Toc411850945"/>
      <w:r>
        <w:t xml:space="preserve"> </w:t>
      </w:r>
      <w:bookmarkStart w:id="375" w:name="_Toc413230099"/>
      <w:r>
        <w:t>Bore ID – OB17A</w:t>
      </w:r>
      <w:bookmarkEnd w:id="371"/>
      <w:bookmarkEnd w:id="372"/>
      <w:bookmarkEnd w:id="373"/>
      <w:bookmarkEnd w:id="374"/>
      <w:bookmarkEnd w:id="375"/>
    </w:p>
    <w:p w:rsidR="009D3D38" w:rsidRDefault="009D3D38" w:rsidP="009D3D38"/>
    <w:p w:rsidR="009D3D38" w:rsidRDefault="009D3D38" w:rsidP="009D3D38">
      <w:r>
        <w:rPr>
          <w:noProof/>
          <w:lang w:eastAsia="en-AU"/>
        </w:rPr>
        <w:drawing>
          <wp:inline distT="0" distB="0" distL="0" distR="0">
            <wp:extent cx="5343525" cy="7235825"/>
            <wp:effectExtent l="1905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2" cstate="email"/>
                    <a:srcRect/>
                    <a:stretch>
                      <a:fillRect/>
                    </a:stretch>
                  </pic:blipFill>
                  <pic:spPr bwMode="auto">
                    <a:xfrm>
                      <a:off x="0" y="0"/>
                      <a:ext cx="5343525" cy="723582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43525" cy="7394575"/>
            <wp:effectExtent l="1905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3" cstate="email"/>
                    <a:srcRect/>
                    <a:stretch>
                      <a:fillRect/>
                    </a:stretch>
                  </pic:blipFill>
                  <pic:spPr bwMode="auto">
                    <a:xfrm>
                      <a:off x="0" y="0"/>
                      <a:ext cx="5343525" cy="739457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07025" cy="5001260"/>
            <wp:effectExtent l="19050" t="0" r="317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4" cstate="email"/>
                    <a:srcRect l="19234"/>
                    <a:stretch>
                      <a:fillRect/>
                    </a:stretch>
                  </pic:blipFill>
                  <pic:spPr bwMode="auto">
                    <a:xfrm>
                      <a:off x="0" y="0"/>
                      <a:ext cx="5407025" cy="500126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76" w:name="_Toc398721771"/>
      <w:bookmarkStart w:id="377" w:name="_Toc411850597"/>
      <w:bookmarkStart w:id="378" w:name="_Toc411850702"/>
      <w:bookmarkStart w:id="379" w:name="_Toc411850946"/>
      <w:r>
        <w:t xml:space="preserve"> </w:t>
      </w:r>
      <w:bookmarkStart w:id="380" w:name="_Toc413230100"/>
      <w:r>
        <w:t>Bore ID – OB18A</w:t>
      </w:r>
      <w:bookmarkEnd w:id="376"/>
      <w:bookmarkEnd w:id="377"/>
      <w:bookmarkEnd w:id="378"/>
      <w:bookmarkEnd w:id="379"/>
      <w:bookmarkEnd w:id="380"/>
    </w:p>
    <w:p w:rsidR="009D3D38" w:rsidRDefault="009D3D38" w:rsidP="009D3D38">
      <w:r>
        <w:rPr>
          <w:noProof/>
          <w:lang w:eastAsia="en-AU"/>
        </w:rPr>
        <w:drawing>
          <wp:inline distT="0" distB="0" distL="0" distR="0">
            <wp:extent cx="5327650" cy="5017135"/>
            <wp:effectExtent l="1905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5" cstate="email"/>
                    <a:srcRect l="20650"/>
                    <a:stretch>
                      <a:fillRect/>
                    </a:stretch>
                  </pic:blipFill>
                  <pic:spPr bwMode="auto">
                    <a:xfrm>
                      <a:off x="0" y="0"/>
                      <a:ext cx="532765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81" w:name="_Toc398721772"/>
      <w:bookmarkStart w:id="382" w:name="_Toc411850598"/>
      <w:bookmarkStart w:id="383" w:name="_Toc411850703"/>
      <w:bookmarkStart w:id="384" w:name="_Toc411850947"/>
      <w:r>
        <w:t xml:space="preserve"> </w:t>
      </w:r>
      <w:bookmarkStart w:id="385" w:name="_Toc413230101"/>
      <w:r>
        <w:t>Bore ID – OB19A</w:t>
      </w:r>
      <w:bookmarkEnd w:id="381"/>
      <w:bookmarkEnd w:id="382"/>
      <w:bookmarkEnd w:id="383"/>
      <w:bookmarkEnd w:id="384"/>
      <w:bookmarkEnd w:id="385"/>
    </w:p>
    <w:p w:rsidR="009D3D38" w:rsidRDefault="009D3D38" w:rsidP="009D3D38">
      <w:r>
        <w:rPr>
          <w:noProof/>
          <w:lang w:eastAsia="en-AU"/>
        </w:rPr>
        <w:drawing>
          <wp:inline distT="0" distB="0" distL="0" distR="0">
            <wp:extent cx="5271770" cy="7060565"/>
            <wp:effectExtent l="19050" t="0" r="508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6"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63515" cy="721995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 cstate="email"/>
                    <a:srcRect/>
                    <a:stretch>
                      <a:fillRect/>
                    </a:stretch>
                  </pic:blipFill>
                  <pic:spPr bwMode="auto">
                    <a:xfrm>
                      <a:off x="0" y="0"/>
                      <a:ext cx="5263515"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63515" cy="5017135"/>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8" cstate="email"/>
                    <a:srcRect l="21591"/>
                    <a:stretch>
                      <a:fillRect/>
                    </a:stretch>
                  </pic:blipFill>
                  <pic:spPr bwMode="auto">
                    <a:xfrm>
                      <a:off x="0" y="0"/>
                      <a:ext cx="526351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86" w:name="_Toc398721773"/>
      <w:bookmarkStart w:id="387" w:name="_Toc411850599"/>
      <w:bookmarkStart w:id="388" w:name="_Toc411850704"/>
      <w:bookmarkStart w:id="389" w:name="_Toc411850948"/>
      <w:r>
        <w:t xml:space="preserve"> </w:t>
      </w:r>
      <w:bookmarkStart w:id="390" w:name="_Toc413230102"/>
      <w:r>
        <w:t>Bore ID – OB1A</w:t>
      </w:r>
      <w:bookmarkEnd w:id="386"/>
      <w:bookmarkEnd w:id="387"/>
      <w:bookmarkEnd w:id="388"/>
      <w:bookmarkEnd w:id="389"/>
      <w:bookmarkEnd w:id="390"/>
    </w:p>
    <w:p w:rsidR="009D3D38" w:rsidRDefault="009D3D38" w:rsidP="009D3D38"/>
    <w:p w:rsidR="009D3D38" w:rsidRDefault="009D3D38" w:rsidP="009D3D38">
      <w:r>
        <w:rPr>
          <w:noProof/>
          <w:lang w:eastAsia="en-AU"/>
        </w:rPr>
        <w:drawing>
          <wp:inline distT="0" distB="0" distL="0" distR="0">
            <wp:extent cx="5343525" cy="7235825"/>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9" cstate="email"/>
                    <a:srcRect/>
                    <a:stretch>
                      <a:fillRect/>
                    </a:stretch>
                  </pic:blipFill>
                  <pic:spPr bwMode="auto">
                    <a:xfrm>
                      <a:off x="0" y="0"/>
                      <a:ext cx="5343525" cy="723582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084695"/>
            <wp:effectExtent l="19050" t="0" r="508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0" cstate="email"/>
                    <a:srcRect/>
                    <a:stretch>
                      <a:fillRect/>
                    </a:stretch>
                  </pic:blipFill>
                  <pic:spPr bwMode="auto">
                    <a:xfrm>
                      <a:off x="0" y="0"/>
                      <a:ext cx="5271770" cy="708469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63515" cy="501713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1" cstate="email"/>
                    <a:srcRect l="21591"/>
                    <a:stretch>
                      <a:fillRect/>
                    </a:stretch>
                  </pic:blipFill>
                  <pic:spPr bwMode="auto">
                    <a:xfrm>
                      <a:off x="0" y="0"/>
                      <a:ext cx="526351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91" w:name="_Toc398721774"/>
      <w:bookmarkStart w:id="392" w:name="_Toc411850600"/>
      <w:bookmarkStart w:id="393" w:name="_Toc411850705"/>
      <w:bookmarkStart w:id="394" w:name="_Toc411850949"/>
      <w:r>
        <w:t xml:space="preserve"> </w:t>
      </w:r>
      <w:bookmarkStart w:id="395" w:name="_Toc413230103"/>
      <w:r>
        <w:t>Bore ID – OB20</w:t>
      </w:r>
      <w:bookmarkEnd w:id="391"/>
      <w:bookmarkEnd w:id="392"/>
      <w:bookmarkEnd w:id="393"/>
      <w:bookmarkEnd w:id="394"/>
      <w:bookmarkEnd w:id="395"/>
    </w:p>
    <w:p w:rsidR="009D3D38" w:rsidRDefault="009D3D38" w:rsidP="009D3D38"/>
    <w:p w:rsidR="009D3D38" w:rsidRDefault="009D3D38" w:rsidP="009D3D38">
      <w:r>
        <w:rPr>
          <w:noProof/>
          <w:lang w:eastAsia="en-AU"/>
        </w:rPr>
        <w:drawing>
          <wp:inline distT="0" distB="0" distL="0" distR="0">
            <wp:extent cx="5271770" cy="7060565"/>
            <wp:effectExtent l="19050" t="0" r="508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2"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148195"/>
            <wp:effectExtent l="19050" t="0" r="508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3" cstate="email"/>
                    <a:srcRect/>
                    <a:stretch>
                      <a:fillRect/>
                    </a:stretch>
                  </pic:blipFill>
                  <pic:spPr bwMode="auto">
                    <a:xfrm>
                      <a:off x="0" y="0"/>
                      <a:ext cx="5271770" cy="714819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03520" cy="5017135"/>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4" cstate="email"/>
                    <a:srcRect l="20880"/>
                    <a:stretch>
                      <a:fillRect/>
                    </a:stretch>
                  </pic:blipFill>
                  <pic:spPr bwMode="auto">
                    <a:xfrm>
                      <a:off x="0" y="0"/>
                      <a:ext cx="530352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396" w:name="_Toc398721775"/>
      <w:bookmarkStart w:id="397" w:name="_Toc411850601"/>
      <w:bookmarkStart w:id="398" w:name="_Toc411850706"/>
      <w:bookmarkStart w:id="399" w:name="_Toc411850950"/>
      <w:r>
        <w:t xml:space="preserve"> </w:t>
      </w:r>
      <w:bookmarkStart w:id="400" w:name="_Toc413230104"/>
      <w:r>
        <w:t>Bore ID – OB21A</w:t>
      </w:r>
      <w:bookmarkEnd w:id="396"/>
      <w:bookmarkEnd w:id="397"/>
      <w:bookmarkEnd w:id="398"/>
      <w:bookmarkEnd w:id="399"/>
      <w:bookmarkEnd w:id="400"/>
    </w:p>
    <w:p w:rsidR="009D3D38" w:rsidRDefault="009D3D38" w:rsidP="009D3D38">
      <w:r>
        <w:rPr>
          <w:noProof/>
          <w:lang w:eastAsia="en-AU"/>
        </w:rPr>
        <w:drawing>
          <wp:inline distT="0" distB="0" distL="0" distR="0">
            <wp:extent cx="5271770" cy="7060565"/>
            <wp:effectExtent l="19050" t="0" r="508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5"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19950"/>
            <wp:effectExtent l="19050" t="0" r="508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6" cstate="email"/>
                    <a:srcRect/>
                    <a:stretch>
                      <a:fillRect/>
                    </a:stretch>
                  </pic:blipFill>
                  <pic:spPr bwMode="auto">
                    <a:xfrm>
                      <a:off x="0" y="0"/>
                      <a:ext cx="5271770"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63515" cy="5017135"/>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7" cstate="email"/>
                    <a:srcRect l="21591"/>
                    <a:stretch>
                      <a:fillRect/>
                    </a:stretch>
                  </pic:blipFill>
                  <pic:spPr bwMode="auto">
                    <a:xfrm>
                      <a:off x="0" y="0"/>
                      <a:ext cx="526351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01" w:name="_Toc398721776"/>
      <w:bookmarkStart w:id="402" w:name="_Toc411850602"/>
      <w:bookmarkStart w:id="403" w:name="_Toc411850707"/>
      <w:bookmarkStart w:id="404" w:name="_Toc411850951"/>
      <w:r>
        <w:t xml:space="preserve"> </w:t>
      </w:r>
      <w:bookmarkStart w:id="405" w:name="_Toc413230105"/>
      <w:r>
        <w:t>Bore ID – OB22</w:t>
      </w:r>
      <w:bookmarkEnd w:id="401"/>
      <w:bookmarkEnd w:id="402"/>
      <w:bookmarkEnd w:id="403"/>
      <w:bookmarkEnd w:id="404"/>
      <w:bookmarkEnd w:id="405"/>
    </w:p>
    <w:p w:rsidR="009D3D38" w:rsidRDefault="009D3D38" w:rsidP="009D3D38">
      <w:r>
        <w:rPr>
          <w:noProof/>
          <w:lang w:eastAsia="en-AU"/>
        </w:rPr>
        <w:drawing>
          <wp:inline distT="0" distB="0" distL="0" distR="0">
            <wp:extent cx="5319395" cy="501713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8" cstate="email"/>
                    <a:srcRect l="20596"/>
                    <a:stretch>
                      <a:fillRect/>
                    </a:stretch>
                  </pic:blipFill>
                  <pic:spPr bwMode="auto">
                    <a:xfrm>
                      <a:off x="0" y="0"/>
                      <a:ext cx="531939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06" w:name="_Toc398721777"/>
      <w:bookmarkStart w:id="407" w:name="_Toc411850603"/>
      <w:bookmarkStart w:id="408" w:name="_Toc411850708"/>
      <w:bookmarkStart w:id="409" w:name="_Toc411850952"/>
      <w:r>
        <w:t xml:space="preserve"> </w:t>
      </w:r>
      <w:bookmarkStart w:id="410" w:name="_Toc413230106"/>
      <w:r>
        <w:t>Bore ID – OB23</w:t>
      </w:r>
      <w:bookmarkEnd w:id="406"/>
      <w:bookmarkEnd w:id="407"/>
      <w:bookmarkEnd w:id="408"/>
      <w:bookmarkEnd w:id="409"/>
      <w:bookmarkEnd w:id="410"/>
    </w:p>
    <w:p w:rsidR="009D3D38" w:rsidRDefault="009D3D38" w:rsidP="009D3D38">
      <w:r>
        <w:rPr>
          <w:noProof/>
          <w:lang w:eastAsia="en-AU"/>
        </w:rPr>
        <w:drawing>
          <wp:inline distT="0" distB="0" distL="0" distR="0">
            <wp:extent cx="5271770" cy="7060565"/>
            <wp:effectExtent l="19050" t="0" r="508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9"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19950"/>
            <wp:effectExtent l="19050" t="0" r="508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0" cstate="email"/>
                    <a:srcRect/>
                    <a:stretch>
                      <a:fillRect/>
                    </a:stretch>
                  </pic:blipFill>
                  <pic:spPr bwMode="auto">
                    <a:xfrm>
                      <a:off x="0" y="0"/>
                      <a:ext cx="5271770"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87645" cy="5017135"/>
            <wp:effectExtent l="19050" t="0" r="825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1" cstate="email"/>
                    <a:srcRect l="21165"/>
                    <a:stretch>
                      <a:fillRect/>
                    </a:stretch>
                  </pic:blipFill>
                  <pic:spPr bwMode="auto">
                    <a:xfrm>
                      <a:off x="0" y="0"/>
                      <a:ext cx="528764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11" w:name="_Toc398721778"/>
      <w:bookmarkStart w:id="412" w:name="_Toc411850604"/>
      <w:bookmarkStart w:id="413" w:name="_Toc411850709"/>
      <w:bookmarkStart w:id="414" w:name="_Toc411850953"/>
      <w:r>
        <w:t xml:space="preserve"> </w:t>
      </w:r>
      <w:bookmarkStart w:id="415" w:name="_Toc413230107"/>
      <w:r>
        <w:t>Bore ID – OB24</w:t>
      </w:r>
      <w:bookmarkEnd w:id="411"/>
      <w:bookmarkEnd w:id="412"/>
      <w:bookmarkEnd w:id="413"/>
      <w:bookmarkEnd w:id="414"/>
      <w:bookmarkEnd w:id="415"/>
    </w:p>
    <w:p w:rsidR="009D3D38" w:rsidRDefault="009D3D38" w:rsidP="009D3D38">
      <w:r>
        <w:rPr>
          <w:noProof/>
          <w:lang w:eastAsia="en-AU"/>
        </w:rPr>
        <w:drawing>
          <wp:inline distT="0" distB="0" distL="0" distR="0">
            <wp:extent cx="5271770" cy="7060565"/>
            <wp:effectExtent l="19050" t="0" r="508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2"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156450"/>
            <wp:effectExtent l="19050" t="0" r="508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3" cstate="email"/>
                    <a:srcRect/>
                    <a:stretch>
                      <a:fillRect/>
                    </a:stretch>
                  </pic:blipFill>
                  <pic:spPr bwMode="auto">
                    <a:xfrm>
                      <a:off x="0" y="0"/>
                      <a:ext cx="5271770" cy="71564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27650" cy="5017135"/>
            <wp:effectExtent l="1905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4" cstate="email"/>
                    <a:srcRect l="20454"/>
                    <a:stretch>
                      <a:fillRect/>
                    </a:stretch>
                  </pic:blipFill>
                  <pic:spPr bwMode="auto">
                    <a:xfrm>
                      <a:off x="0" y="0"/>
                      <a:ext cx="532765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16" w:name="_Toc398721779"/>
      <w:bookmarkStart w:id="417" w:name="_Toc411850605"/>
      <w:bookmarkStart w:id="418" w:name="_Toc411850710"/>
      <w:bookmarkStart w:id="419" w:name="_Toc411850954"/>
      <w:r>
        <w:t xml:space="preserve"> </w:t>
      </w:r>
      <w:bookmarkStart w:id="420" w:name="_Toc413230108"/>
      <w:r>
        <w:t>Bore ID – OB26</w:t>
      </w:r>
      <w:bookmarkEnd w:id="416"/>
      <w:bookmarkEnd w:id="417"/>
      <w:bookmarkEnd w:id="418"/>
      <w:bookmarkEnd w:id="419"/>
      <w:bookmarkEnd w:id="420"/>
    </w:p>
    <w:p w:rsidR="009D3D38" w:rsidRDefault="009D3D38" w:rsidP="009D3D38">
      <w:r>
        <w:rPr>
          <w:noProof/>
          <w:lang w:eastAsia="en-AU"/>
        </w:rPr>
        <w:drawing>
          <wp:inline distT="0" distB="0" distL="0" distR="0">
            <wp:extent cx="5327650" cy="5017135"/>
            <wp:effectExtent l="19050" t="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5" cstate="email"/>
                    <a:srcRect l="20454"/>
                    <a:stretch>
                      <a:fillRect/>
                    </a:stretch>
                  </pic:blipFill>
                  <pic:spPr bwMode="auto">
                    <a:xfrm>
                      <a:off x="0" y="0"/>
                      <a:ext cx="532765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21" w:name="_Toc398721780"/>
      <w:bookmarkStart w:id="422" w:name="_Toc411850606"/>
      <w:bookmarkStart w:id="423" w:name="_Toc411850711"/>
      <w:bookmarkStart w:id="424" w:name="_Toc411850955"/>
      <w:r>
        <w:t xml:space="preserve"> </w:t>
      </w:r>
      <w:bookmarkStart w:id="425" w:name="_Toc413230109"/>
      <w:r>
        <w:t>Bore ID – OB27</w:t>
      </w:r>
      <w:bookmarkEnd w:id="421"/>
      <w:bookmarkEnd w:id="422"/>
      <w:bookmarkEnd w:id="423"/>
      <w:bookmarkEnd w:id="424"/>
      <w:bookmarkEnd w:id="425"/>
    </w:p>
    <w:p w:rsidR="009D3D38" w:rsidRDefault="009D3D38" w:rsidP="009D3D38">
      <w:r>
        <w:rPr>
          <w:noProof/>
          <w:lang w:eastAsia="en-AU"/>
        </w:rPr>
        <w:drawing>
          <wp:inline distT="0" distB="0" distL="0" distR="0">
            <wp:extent cx="5271770" cy="7060565"/>
            <wp:effectExtent l="19050" t="0" r="508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6"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19950"/>
            <wp:effectExtent l="19050" t="0" r="508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7" cstate="email"/>
                    <a:srcRect/>
                    <a:stretch>
                      <a:fillRect/>
                    </a:stretch>
                  </pic:blipFill>
                  <pic:spPr bwMode="auto">
                    <a:xfrm>
                      <a:off x="0" y="0"/>
                      <a:ext cx="5271770"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19395" cy="501713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8" cstate="email"/>
                    <a:srcRect l="20596"/>
                    <a:stretch>
                      <a:fillRect/>
                    </a:stretch>
                  </pic:blipFill>
                  <pic:spPr bwMode="auto">
                    <a:xfrm>
                      <a:off x="0" y="0"/>
                      <a:ext cx="531939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26" w:name="_Toc398721781"/>
      <w:bookmarkStart w:id="427" w:name="_Toc411850607"/>
      <w:bookmarkStart w:id="428" w:name="_Toc411850712"/>
      <w:bookmarkStart w:id="429" w:name="_Toc411850956"/>
      <w:bookmarkStart w:id="430" w:name="_Toc413230110"/>
      <w:r>
        <w:t>Bore ID – OB28</w:t>
      </w:r>
      <w:bookmarkEnd w:id="426"/>
      <w:bookmarkEnd w:id="427"/>
      <w:bookmarkEnd w:id="428"/>
      <w:bookmarkEnd w:id="429"/>
      <w:bookmarkEnd w:id="430"/>
    </w:p>
    <w:p w:rsidR="009D3D38" w:rsidRDefault="009D3D38" w:rsidP="009D3D38">
      <w:r>
        <w:rPr>
          <w:noProof/>
          <w:lang w:eastAsia="en-AU"/>
        </w:rPr>
        <w:drawing>
          <wp:inline distT="0" distB="0" distL="0" distR="0">
            <wp:extent cx="5271770" cy="7060565"/>
            <wp:effectExtent l="19050" t="0" r="508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9"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83450"/>
            <wp:effectExtent l="19050" t="0" r="508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0" cstate="email"/>
                    <a:srcRect/>
                    <a:stretch>
                      <a:fillRect/>
                    </a:stretch>
                  </pic:blipFill>
                  <pic:spPr bwMode="auto">
                    <a:xfrm>
                      <a:off x="0" y="0"/>
                      <a:ext cx="5271770" cy="7283450"/>
                    </a:xfrm>
                    <a:prstGeom prst="rect">
                      <a:avLst/>
                    </a:prstGeom>
                    <a:noFill/>
                    <a:ln w="9525">
                      <a:noFill/>
                      <a:miter lim="800000"/>
                      <a:headEnd/>
                      <a:tailEnd/>
                    </a:ln>
                  </pic:spPr>
                </pic:pic>
              </a:graphicData>
            </a:graphic>
          </wp:inline>
        </w:drawing>
      </w:r>
    </w:p>
    <w:p w:rsidR="009D3D38" w:rsidRDefault="009D3D38" w:rsidP="009D3D38">
      <w:r>
        <w:br w:type="page"/>
      </w:r>
      <w:r>
        <w:rPr>
          <w:noProof/>
          <w:lang w:eastAsia="en-AU"/>
        </w:rPr>
        <w:drawing>
          <wp:inline distT="0" distB="0" distL="0" distR="0">
            <wp:extent cx="5263515" cy="5017135"/>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1" cstate="email"/>
                    <a:srcRect l="21591"/>
                    <a:stretch>
                      <a:fillRect/>
                    </a:stretch>
                  </pic:blipFill>
                  <pic:spPr bwMode="auto">
                    <a:xfrm>
                      <a:off x="0" y="0"/>
                      <a:ext cx="526351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31" w:name="_Toc398721782"/>
      <w:bookmarkStart w:id="432" w:name="_Toc411850608"/>
      <w:bookmarkStart w:id="433" w:name="_Toc411850713"/>
      <w:bookmarkStart w:id="434" w:name="_Toc411850957"/>
      <w:r>
        <w:t xml:space="preserve"> </w:t>
      </w:r>
      <w:bookmarkStart w:id="435" w:name="_Toc413230111"/>
      <w:r>
        <w:t>Bore ID – OB29</w:t>
      </w:r>
      <w:bookmarkEnd w:id="431"/>
      <w:bookmarkEnd w:id="432"/>
      <w:bookmarkEnd w:id="433"/>
      <w:bookmarkEnd w:id="434"/>
      <w:bookmarkEnd w:id="435"/>
    </w:p>
    <w:p w:rsidR="009D3D38" w:rsidRDefault="009D3D38" w:rsidP="009D3D38">
      <w:r>
        <w:rPr>
          <w:noProof/>
          <w:lang w:eastAsia="en-AU"/>
        </w:rPr>
        <w:drawing>
          <wp:inline distT="0" distB="0" distL="0" distR="0">
            <wp:extent cx="5271770" cy="7060565"/>
            <wp:effectExtent l="19050" t="0" r="508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2"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19950"/>
            <wp:effectExtent l="19050" t="0" r="508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3" cstate="email"/>
                    <a:srcRect/>
                    <a:stretch>
                      <a:fillRect/>
                    </a:stretch>
                  </pic:blipFill>
                  <pic:spPr bwMode="auto">
                    <a:xfrm>
                      <a:off x="0" y="0"/>
                      <a:ext cx="5271770"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98770" cy="5017135"/>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4" cstate="email"/>
                    <a:srcRect l="19460"/>
                    <a:stretch>
                      <a:fillRect/>
                    </a:stretch>
                  </pic:blipFill>
                  <pic:spPr bwMode="auto">
                    <a:xfrm>
                      <a:off x="0" y="0"/>
                      <a:ext cx="539877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36" w:name="_Toc398721783"/>
      <w:bookmarkStart w:id="437" w:name="_Toc411850609"/>
      <w:bookmarkStart w:id="438" w:name="_Toc411850714"/>
      <w:bookmarkStart w:id="439" w:name="_Toc411850958"/>
      <w:bookmarkStart w:id="440" w:name="_Toc413230112"/>
      <w:r>
        <w:t>Bore ID – OB30</w:t>
      </w:r>
      <w:bookmarkEnd w:id="436"/>
      <w:bookmarkEnd w:id="437"/>
      <w:bookmarkEnd w:id="438"/>
      <w:bookmarkEnd w:id="439"/>
      <w:bookmarkEnd w:id="440"/>
    </w:p>
    <w:p w:rsidR="009D3D38" w:rsidRDefault="009D3D38" w:rsidP="009D3D38">
      <w:r>
        <w:rPr>
          <w:noProof/>
          <w:lang w:eastAsia="en-AU"/>
        </w:rPr>
        <w:drawing>
          <wp:inline distT="0" distB="0" distL="0" distR="0">
            <wp:extent cx="5271770" cy="7060565"/>
            <wp:effectExtent l="19050" t="0" r="508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5"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83450"/>
            <wp:effectExtent l="1905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6" cstate="email"/>
                    <a:srcRect/>
                    <a:stretch>
                      <a:fillRect/>
                    </a:stretch>
                  </pic:blipFill>
                  <pic:spPr bwMode="auto">
                    <a:xfrm>
                      <a:off x="0" y="0"/>
                      <a:ext cx="5271770" cy="72834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51145" cy="5017135"/>
            <wp:effectExtent l="1905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7" cstate="email"/>
                    <a:srcRect l="20171"/>
                    <a:stretch>
                      <a:fillRect/>
                    </a:stretch>
                  </pic:blipFill>
                  <pic:spPr bwMode="auto">
                    <a:xfrm>
                      <a:off x="0" y="0"/>
                      <a:ext cx="535114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41" w:name="_Toc398721784"/>
      <w:bookmarkStart w:id="442" w:name="_Toc411850610"/>
      <w:bookmarkStart w:id="443" w:name="_Toc411850715"/>
      <w:bookmarkStart w:id="444" w:name="_Toc411850959"/>
      <w:r>
        <w:t xml:space="preserve"> </w:t>
      </w:r>
      <w:bookmarkStart w:id="445" w:name="_Toc413230113"/>
      <w:r>
        <w:t>Bore ID – OB2A</w:t>
      </w:r>
      <w:bookmarkEnd w:id="441"/>
      <w:bookmarkEnd w:id="442"/>
      <w:bookmarkEnd w:id="443"/>
      <w:bookmarkEnd w:id="444"/>
      <w:bookmarkEnd w:id="445"/>
    </w:p>
    <w:p w:rsidR="009D3D38" w:rsidRDefault="009D3D38" w:rsidP="009D3D38">
      <w:r>
        <w:rPr>
          <w:noProof/>
          <w:lang w:eastAsia="en-AU"/>
        </w:rPr>
        <w:drawing>
          <wp:inline distT="0" distB="0" distL="0" distR="0">
            <wp:extent cx="5271770" cy="7108190"/>
            <wp:effectExtent l="1905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8" cstate="email"/>
                    <a:srcRect/>
                    <a:stretch>
                      <a:fillRect/>
                    </a:stretch>
                  </pic:blipFill>
                  <pic:spPr bwMode="auto">
                    <a:xfrm>
                      <a:off x="0" y="0"/>
                      <a:ext cx="5271770" cy="710819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19950"/>
            <wp:effectExtent l="1905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9" cstate="email"/>
                    <a:srcRect/>
                    <a:stretch>
                      <a:fillRect/>
                    </a:stretch>
                  </pic:blipFill>
                  <pic:spPr bwMode="auto">
                    <a:xfrm>
                      <a:off x="0" y="0"/>
                      <a:ext cx="5271770"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11775" cy="5017135"/>
            <wp:effectExtent l="1905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0" cstate="email"/>
                    <a:srcRect l="20738"/>
                    <a:stretch>
                      <a:fillRect/>
                    </a:stretch>
                  </pic:blipFill>
                  <pic:spPr bwMode="auto">
                    <a:xfrm>
                      <a:off x="0" y="0"/>
                      <a:ext cx="531177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46" w:name="_Toc398721785"/>
      <w:bookmarkStart w:id="447" w:name="_Toc411850611"/>
      <w:bookmarkStart w:id="448" w:name="_Toc411850716"/>
      <w:bookmarkStart w:id="449" w:name="_Toc411850960"/>
      <w:r>
        <w:t xml:space="preserve"> </w:t>
      </w:r>
      <w:bookmarkStart w:id="450" w:name="_Toc413230114"/>
      <w:r>
        <w:t>Bore ID – OB44</w:t>
      </w:r>
      <w:bookmarkEnd w:id="446"/>
      <w:bookmarkEnd w:id="447"/>
      <w:bookmarkEnd w:id="448"/>
      <w:bookmarkEnd w:id="449"/>
      <w:bookmarkEnd w:id="450"/>
    </w:p>
    <w:p w:rsidR="009D3D38" w:rsidRDefault="009D3D38" w:rsidP="009D3D38">
      <w:r>
        <w:rPr>
          <w:noProof/>
          <w:lang w:eastAsia="en-AU"/>
        </w:rPr>
        <w:drawing>
          <wp:inline distT="0" distB="0" distL="0" distR="0">
            <wp:extent cx="5271770" cy="7028815"/>
            <wp:effectExtent l="19050" t="0" r="508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1" cstate="email"/>
                    <a:srcRect/>
                    <a:stretch>
                      <a:fillRect/>
                    </a:stretch>
                  </pic:blipFill>
                  <pic:spPr bwMode="auto">
                    <a:xfrm>
                      <a:off x="0" y="0"/>
                      <a:ext cx="5271770" cy="702881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83450"/>
            <wp:effectExtent l="1905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2" cstate="email"/>
                    <a:srcRect/>
                    <a:stretch>
                      <a:fillRect/>
                    </a:stretch>
                  </pic:blipFill>
                  <pic:spPr bwMode="auto">
                    <a:xfrm>
                      <a:off x="0" y="0"/>
                      <a:ext cx="5271770" cy="72834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03520" cy="501713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3" cstate="email"/>
                    <a:srcRect l="20880"/>
                    <a:stretch>
                      <a:fillRect/>
                    </a:stretch>
                  </pic:blipFill>
                  <pic:spPr bwMode="auto">
                    <a:xfrm>
                      <a:off x="0" y="0"/>
                      <a:ext cx="530352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51" w:name="_Toc398721786"/>
      <w:bookmarkStart w:id="452" w:name="_Toc411850612"/>
      <w:bookmarkStart w:id="453" w:name="_Toc411850717"/>
      <w:bookmarkStart w:id="454" w:name="_Toc411850961"/>
      <w:r>
        <w:t xml:space="preserve"> </w:t>
      </w:r>
      <w:bookmarkStart w:id="455" w:name="_Toc413230115"/>
      <w:r>
        <w:t>Bore ID –OB46</w:t>
      </w:r>
      <w:bookmarkEnd w:id="451"/>
      <w:bookmarkEnd w:id="452"/>
      <w:bookmarkEnd w:id="453"/>
      <w:bookmarkEnd w:id="454"/>
      <w:bookmarkEnd w:id="455"/>
    </w:p>
    <w:p w:rsidR="009D3D38" w:rsidRPr="002D63C6" w:rsidRDefault="009D3D38" w:rsidP="009D3D38"/>
    <w:p w:rsidR="009D3D38" w:rsidRDefault="009D3D38" w:rsidP="009D3D38">
      <w:r>
        <w:rPr>
          <w:noProof/>
          <w:lang w:eastAsia="en-AU"/>
        </w:rPr>
        <w:drawing>
          <wp:inline distT="0" distB="0" distL="0" distR="0">
            <wp:extent cx="5407025" cy="5017135"/>
            <wp:effectExtent l="1905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4" cstate="email"/>
                    <a:srcRect l="19318"/>
                    <a:stretch>
                      <a:fillRect/>
                    </a:stretch>
                  </pic:blipFill>
                  <pic:spPr bwMode="auto">
                    <a:xfrm>
                      <a:off x="0" y="0"/>
                      <a:ext cx="540702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56" w:name="_Toc398721787"/>
      <w:bookmarkStart w:id="457" w:name="_Toc411850613"/>
      <w:bookmarkStart w:id="458" w:name="_Toc411850718"/>
      <w:bookmarkStart w:id="459" w:name="_Toc411850962"/>
      <w:r>
        <w:t xml:space="preserve"> </w:t>
      </w:r>
      <w:bookmarkStart w:id="460" w:name="_Toc413230116"/>
      <w:r>
        <w:t>Bore ID –OB47</w:t>
      </w:r>
      <w:bookmarkEnd w:id="456"/>
      <w:bookmarkEnd w:id="457"/>
      <w:bookmarkEnd w:id="458"/>
      <w:bookmarkEnd w:id="459"/>
      <w:bookmarkEnd w:id="460"/>
    </w:p>
    <w:p w:rsidR="009D3D38" w:rsidRDefault="009D3D38" w:rsidP="009D3D38">
      <w:r>
        <w:rPr>
          <w:noProof/>
          <w:lang w:eastAsia="en-AU"/>
        </w:rPr>
        <w:drawing>
          <wp:inline distT="0" distB="0" distL="0" distR="0">
            <wp:extent cx="5311775" cy="5017135"/>
            <wp:effectExtent l="1905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5" cstate="email"/>
                    <a:srcRect l="20738"/>
                    <a:stretch>
                      <a:fillRect/>
                    </a:stretch>
                  </pic:blipFill>
                  <pic:spPr bwMode="auto">
                    <a:xfrm>
                      <a:off x="0" y="0"/>
                      <a:ext cx="531177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61" w:name="_Toc398721788"/>
      <w:bookmarkStart w:id="462" w:name="_Toc411850614"/>
      <w:bookmarkStart w:id="463" w:name="_Toc411850719"/>
      <w:bookmarkStart w:id="464" w:name="_Toc411850963"/>
      <w:r>
        <w:t xml:space="preserve"> </w:t>
      </w:r>
      <w:bookmarkStart w:id="465" w:name="_Toc413230117"/>
      <w:r>
        <w:t>Bore ID –OB48</w:t>
      </w:r>
      <w:bookmarkEnd w:id="461"/>
      <w:bookmarkEnd w:id="462"/>
      <w:bookmarkEnd w:id="463"/>
      <w:bookmarkEnd w:id="464"/>
      <w:bookmarkEnd w:id="465"/>
    </w:p>
    <w:p w:rsidR="009D3D38" w:rsidRDefault="009D3D38" w:rsidP="009D3D38">
      <w:r>
        <w:rPr>
          <w:noProof/>
          <w:lang w:eastAsia="en-AU"/>
        </w:rPr>
        <w:drawing>
          <wp:inline distT="0" distB="0" distL="0" distR="0">
            <wp:extent cx="5287645" cy="5017135"/>
            <wp:effectExtent l="19050" t="0" r="825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6" cstate="email"/>
                    <a:srcRect l="21165"/>
                    <a:stretch>
                      <a:fillRect/>
                    </a:stretch>
                  </pic:blipFill>
                  <pic:spPr bwMode="auto">
                    <a:xfrm>
                      <a:off x="0" y="0"/>
                      <a:ext cx="528764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66" w:name="_Toc398721789"/>
      <w:bookmarkStart w:id="467" w:name="_Toc411850615"/>
      <w:bookmarkStart w:id="468" w:name="_Toc411850720"/>
      <w:bookmarkStart w:id="469" w:name="_Toc411850964"/>
      <w:r>
        <w:t xml:space="preserve"> </w:t>
      </w:r>
      <w:bookmarkStart w:id="470" w:name="_Toc413230118"/>
      <w:r>
        <w:t>Bore ID –OB49</w:t>
      </w:r>
      <w:bookmarkEnd w:id="466"/>
      <w:bookmarkEnd w:id="467"/>
      <w:bookmarkEnd w:id="468"/>
      <w:bookmarkEnd w:id="469"/>
      <w:bookmarkEnd w:id="470"/>
    </w:p>
    <w:p w:rsidR="009D3D38" w:rsidRDefault="009D3D38" w:rsidP="009D3D38">
      <w:r>
        <w:rPr>
          <w:noProof/>
          <w:lang w:eastAsia="en-AU"/>
        </w:rPr>
        <w:drawing>
          <wp:inline distT="0" distB="0" distL="0" distR="0">
            <wp:extent cx="5398770" cy="5017135"/>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7" cstate="email"/>
                    <a:srcRect l="19460"/>
                    <a:stretch>
                      <a:fillRect/>
                    </a:stretch>
                  </pic:blipFill>
                  <pic:spPr bwMode="auto">
                    <a:xfrm>
                      <a:off x="0" y="0"/>
                      <a:ext cx="539877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71" w:name="_Toc398721790"/>
      <w:bookmarkStart w:id="472" w:name="_Toc411850616"/>
      <w:bookmarkStart w:id="473" w:name="_Toc411850721"/>
      <w:bookmarkStart w:id="474" w:name="_Toc411850965"/>
      <w:r>
        <w:t xml:space="preserve"> </w:t>
      </w:r>
      <w:bookmarkStart w:id="475" w:name="_Toc413230119"/>
      <w:r>
        <w:t>Bore ID –OB50</w:t>
      </w:r>
      <w:bookmarkEnd w:id="471"/>
      <w:bookmarkEnd w:id="472"/>
      <w:bookmarkEnd w:id="473"/>
      <w:bookmarkEnd w:id="474"/>
      <w:bookmarkEnd w:id="475"/>
    </w:p>
    <w:p w:rsidR="009D3D38" w:rsidRDefault="009D3D38" w:rsidP="009D3D38">
      <w:r>
        <w:rPr>
          <w:noProof/>
          <w:lang w:eastAsia="en-AU"/>
        </w:rPr>
        <w:drawing>
          <wp:inline distT="0" distB="0" distL="0" distR="0">
            <wp:extent cx="5391150" cy="5017135"/>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8" cstate="email"/>
                    <a:srcRect l="19603"/>
                    <a:stretch>
                      <a:fillRect/>
                    </a:stretch>
                  </pic:blipFill>
                  <pic:spPr bwMode="auto">
                    <a:xfrm>
                      <a:off x="0" y="0"/>
                      <a:ext cx="539115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76" w:name="_Toc398721791"/>
      <w:bookmarkStart w:id="477" w:name="_Toc411850617"/>
      <w:bookmarkStart w:id="478" w:name="_Toc411850722"/>
      <w:bookmarkStart w:id="479" w:name="_Toc411850966"/>
      <w:r>
        <w:t xml:space="preserve"> </w:t>
      </w:r>
      <w:bookmarkStart w:id="480" w:name="_Toc413230120"/>
      <w:r>
        <w:t>Bore ID –OB51</w:t>
      </w:r>
      <w:bookmarkEnd w:id="476"/>
      <w:bookmarkEnd w:id="477"/>
      <w:bookmarkEnd w:id="478"/>
      <w:bookmarkEnd w:id="479"/>
      <w:bookmarkEnd w:id="480"/>
    </w:p>
    <w:p w:rsidR="009D3D38" w:rsidRDefault="009D3D38" w:rsidP="009D3D38">
      <w:r>
        <w:rPr>
          <w:noProof/>
          <w:lang w:eastAsia="en-AU"/>
        </w:rPr>
        <w:drawing>
          <wp:inline distT="0" distB="0" distL="0" distR="0">
            <wp:extent cx="5327650" cy="5017135"/>
            <wp:effectExtent l="1905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9" cstate="email"/>
                    <a:srcRect l="20454"/>
                    <a:stretch>
                      <a:fillRect/>
                    </a:stretch>
                  </pic:blipFill>
                  <pic:spPr bwMode="auto">
                    <a:xfrm>
                      <a:off x="0" y="0"/>
                      <a:ext cx="532765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81" w:name="_Toc398721792"/>
      <w:bookmarkStart w:id="482" w:name="_Toc411850618"/>
      <w:bookmarkStart w:id="483" w:name="_Toc411850723"/>
      <w:bookmarkStart w:id="484" w:name="_Toc411850967"/>
      <w:r>
        <w:t xml:space="preserve"> </w:t>
      </w:r>
      <w:bookmarkStart w:id="485" w:name="_Toc413230121"/>
      <w:r>
        <w:t>Bore ID –OB4A</w:t>
      </w:r>
      <w:bookmarkEnd w:id="481"/>
      <w:bookmarkEnd w:id="482"/>
      <w:bookmarkEnd w:id="483"/>
      <w:bookmarkEnd w:id="484"/>
      <w:bookmarkEnd w:id="485"/>
    </w:p>
    <w:p w:rsidR="009D3D38" w:rsidRDefault="009D3D38" w:rsidP="009D3D38">
      <w:r>
        <w:rPr>
          <w:noProof/>
          <w:lang w:eastAsia="en-AU"/>
        </w:rPr>
        <w:drawing>
          <wp:inline distT="0" distB="0" distL="0" distR="0">
            <wp:extent cx="5271770" cy="7028815"/>
            <wp:effectExtent l="19050" t="0" r="508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0" cstate="email"/>
                    <a:srcRect/>
                    <a:stretch>
                      <a:fillRect/>
                    </a:stretch>
                  </pic:blipFill>
                  <pic:spPr bwMode="auto">
                    <a:xfrm>
                      <a:off x="0" y="0"/>
                      <a:ext cx="5271770" cy="702881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052945"/>
            <wp:effectExtent l="19050" t="0" r="508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1" cstate="email"/>
                    <a:srcRect/>
                    <a:stretch>
                      <a:fillRect/>
                    </a:stretch>
                  </pic:blipFill>
                  <pic:spPr bwMode="auto">
                    <a:xfrm>
                      <a:off x="0" y="0"/>
                      <a:ext cx="5271770" cy="705294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19395" cy="501713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2" cstate="email"/>
                    <a:srcRect l="20596"/>
                    <a:stretch>
                      <a:fillRect/>
                    </a:stretch>
                  </pic:blipFill>
                  <pic:spPr bwMode="auto">
                    <a:xfrm>
                      <a:off x="0" y="0"/>
                      <a:ext cx="531939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86" w:name="_Toc398721793"/>
      <w:bookmarkStart w:id="487" w:name="_Toc411850619"/>
      <w:bookmarkStart w:id="488" w:name="_Toc411850724"/>
      <w:bookmarkStart w:id="489" w:name="_Toc411850968"/>
      <w:r>
        <w:t xml:space="preserve"> </w:t>
      </w:r>
      <w:bookmarkStart w:id="490" w:name="_Toc413230122"/>
      <w:r>
        <w:t>Bore ID –OB6</w:t>
      </w:r>
      <w:bookmarkEnd w:id="486"/>
      <w:bookmarkEnd w:id="487"/>
      <w:bookmarkEnd w:id="488"/>
      <w:bookmarkEnd w:id="489"/>
      <w:bookmarkEnd w:id="490"/>
    </w:p>
    <w:p w:rsidR="009D3D38" w:rsidRDefault="009D3D38" w:rsidP="009D3D38">
      <w:r>
        <w:rPr>
          <w:noProof/>
          <w:lang w:eastAsia="en-AU"/>
        </w:rPr>
        <w:drawing>
          <wp:inline distT="0" distB="0" distL="0" distR="0">
            <wp:extent cx="5271770" cy="7060565"/>
            <wp:effectExtent l="1905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3"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19950"/>
            <wp:effectExtent l="19050" t="0" r="508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4" cstate="email"/>
                    <a:srcRect/>
                    <a:stretch>
                      <a:fillRect/>
                    </a:stretch>
                  </pic:blipFill>
                  <pic:spPr bwMode="auto">
                    <a:xfrm>
                      <a:off x="0" y="0"/>
                      <a:ext cx="5271770"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11775" cy="5017135"/>
            <wp:effectExtent l="19050" t="0" r="317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5" cstate="email"/>
                    <a:srcRect l="20738"/>
                    <a:stretch>
                      <a:fillRect/>
                    </a:stretch>
                  </pic:blipFill>
                  <pic:spPr bwMode="auto">
                    <a:xfrm>
                      <a:off x="0" y="0"/>
                      <a:ext cx="531177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91" w:name="_Toc398721794"/>
      <w:bookmarkStart w:id="492" w:name="_Toc411850620"/>
      <w:bookmarkStart w:id="493" w:name="_Toc411850725"/>
      <w:bookmarkStart w:id="494" w:name="_Toc411850969"/>
      <w:r>
        <w:t xml:space="preserve"> </w:t>
      </w:r>
      <w:bookmarkStart w:id="495" w:name="_Toc413230123"/>
      <w:r>
        <w:t>Bore ID –OB6A</w:t>
      </w:r>
      <w:bookmarkEnd w:id="491"/>
      <w:bookmarkEnd w:id="492"/>
      <w:bookmarkEnd w:id="493"/>
      <w:bookmarkEnd w:id="494"/>
      <w:bookmarkEnd w:id="495"/>
    </w:p>
    <w:p w:rsidR="009D3D38" w:rsidRDefault="009D3D38" w:rsidP="009D3D38">
      <w:r>
        <w:rPr>
          <w:noProof/>
          <w:lang w:eastAsia="en-AU"/>
        </w:rPr>
        <w:drawing>
          <wp:inline distT="0" distB="0" distL="0" distR="0">
            <wp:extent cx="5271770" cy="7028815"/>
            <wp:effectExtent l="1905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6" cstate="email"/>
                    <a:srcRect/>
                    <a:stretch>
                      <a:fillRect/>
                    </a:stretch>
                  </pic:blipFill>
                  <pic:spPr bwMode="auto">
                    <a:xfrm>
                      <a:off x="0" y="0"/>
                      <a:ext cx="5271770" cy="702881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19950"/>
            <wp:effectExtent l="19050" t="0" r="508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7" cstate="email"/>
                    <a:srcRect/>
                    <a:stretch>
                      <a:fillRect/>
                    </a:stretch>
                  </pic:blipFill>
                  <pic:spPr bwMode="auto">
                    <a:xfrm>
                      <a:off x="0" y="0"/>
                      <a:ext cx="5271770" cy="72199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51145" cy="5009515"/>
            <wp:effectExtent l="19050" t="0" r="190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8" cstate="email"/>
                    <a:srcRect l="20320"/>
                    <a:stretch>
                      <a:fillRect/>
                    </a:stretch>
                  </pic:blipFill>
                  <pic:spPr bwMode="auto">
                    <a:xfrm>
                      <a:off x="0" y="0"/>
                      <a:ext cx="5351145" cy="500951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496" w:name="_Toc398721795"/>
      <w:bookmarkStart w:id="497" w:name="_Toc411850621"/>
      <w:bookmarkStart w:id="498" w:name="_Toc411850726"/>
      <w:bookmarkStart w:id="499" w:name="_Toc411850970"/>
      <w:r>
        <w:t xml:space="preserve"> </w:t>
      </w:r>
      <w:bookmarkStart w:id="500" w:name="_Toc413230124"/>
      <w:r>
        <w:t>Bore ID –OB7A</w:t>
      </w:r>
      <w:bookmarkEnd w:id="496"/>
      <w:bookmarkEnd w:id="497"/>
      <w:bookmarkEnd w:id="498"/>
      <w:bookmarkEnd w:id="499"/>
      <w:bookmarkEnd w:id="500"/>
    </w:p>
    <w:p w:rsidR="009D3D38" w:rsidRDefault="009D3D38" w:rsidP="009D3D38">
      <w:r>
        <w:rPr>
          <w:noProof/>
          <w:lang w:eastAsia="en-AU"/>
        </w:rPr>
        <w:drawing>
          <wp:inline distT="0" distB="0" distL="0" distR="0">
            <wp:extent cx="5271770" cy="7060565"/>
            <wp:effectExtent l="19050" t="0" r="508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9"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51700"/>
            <wp:effectExtent l="19050" t="0" r="508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0" cstate="email"/>
                    <a:srcRect/>
                    <a:stretch>
                      <a:fillRect/>
                    </a:stretch>
                  </pic:blipFill>
                  <pic:spPr bwMode="auto">
                    <a:xfrm>
                      <a:off x="0" y="0"/>
                      <a:ext cx="5271770" cy="725170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422900" cy="5017135"/>
            <wp:effectExtent l="1905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1" cstate="email"/>
                    <a:srcRect l="19034"/>
                    <a:stretch>
                      <a:fillRect/>
                    </a:stretch>
                  </pic:blipFill>
                  <pic:spPr bwMode="auto">
                    <a:xfrm>
                      <a:off x="0" y="0"/>
                      <a:ext cx="5422900"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01" w:name="_Toc398721796"/>
      <w:bookmarkStart w:id="502" w:name="_Toc411850622"/>
      <w:bookmarkStart w:id="503" w:name="_Toc411850727"/>
      <w:bookmarkStart w:id="504" w:name="_Toc411850971"/>
      <w:r>
        <w:t xml:space="preserve"> </w:t>
      </w:r>
      <w:bookmarkStart w:id="505" w:name="_Toc413230125"/>
      <w:r>
        <w:t>Bore ID –OB9A</w:t>
      </w:r>
      <w:bookmarkEnd w:id="501"/>
      <w:bookmarkEnd w:id="502"/>
      <w:bookmarkEnd w:id="503"/>
      <w:bookmarkEnd w:id="504"/>
      <w:bookmarkEnd w:id="505"/>
    </w:p>
    <w:p w:rsidR="009D3D38" w:rsidRDefault="009D3D38" w:rsidP="009D3D38">
      <w:r>
        <w:rPr>
          <w:noProof/>
          <w:lang w:eastAsia="en-AU"/>
        </w:rPr>
        <w:drawing>
          <wp:inline distT="0" distB="0" distL="0" distR="0">
            <wp:extent cx="5407025" cy="5017135"/>
            <wp:effectExtent l="19050" t="0" r="317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2" cstate="email"/>
                    <a:srcRect l="19318"/>
                    <a:stretch>
                      <a:fillRect/>
                    </a:stretch>
                  </pic:blipFill>
                  <pic:spPr bwMode="auto">
                    <a:xfrm>
                      <a:off x="0" y="0"/>
                      <a:ext cx="5407025" cy="5017135"/>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06" w:name="_Toc398721797"/>
      <w:bookmarkStart w:id="507" w:name="_Toc411850623"/>
      <w:bookmarkStart w:id="508" w:name="_Toc411850728"/>
      <w:bookmarkStart w:id="509" w:name="_Toc411850972"/>
      <w:r>
        <w:t xml:space="preserve"> </w:t>
      </w:r>
      <w:bookmarkStart w:id="510" w:name="_Toc413230126"/>
      <w:r>
        <w:t>Bore ID – RN22211</w:t>
      </w:r>
      <w:bookmarkEnd w:id="506"/>
      <w:bookmarkEnd w:id="507"/>
      <w:bookmarkEnd w:id="508"/>
      <w:bookmarkEnd w:id="509"/>
      <w:bookmarkEnd w:id="510"/>
    </w:p>
    <w:p w:rsidR="009D3D38" w:rsidRDefault="009D3D38" w:rsidP="009D3D38">
      <w:r>
        <w:rPr>
          <w:noProof/>
          <w:lang w:eastAsia="en-AU"/>
        </w:rPr>
        <w:drawing>
          <wp:inline distT="0" distB="0" distL="0" distR="0">
            <wp:extent cx="5271770" cy="7195820"/>
            <wp:effectExtent l="19050" t="0" r="508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3" cstate="email"/>
                    <a:srcRect/>
                    <a:stretch>
                      <a:fillRect/>
                    </a:stretch>
                  </pic:blipFill>
                  <pic:spPr bwMode="auto">
                    <a:xfrm>
                      <a:off x="0" y="0"/>
                      <a:ext cx="5271770" cy="719582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27570"/>
            <wp:effectExtent l="19050" t="0" r="508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4" cstate="email"/>
                    <a:srcRect/>
                    <a:stretch>
                      <a:fillRect/>
                    </a:stretch>
                  </pic:blipFill>
                  <pic:spPr bwMode="auto">
                    <a:xfrm>
                      <a:off x="0" y="0"/>
                      <a:ext cx="5271770" cy="722757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35270" cy="5025390"/>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5" cstate="email"/>
                    <a:srcRect l="20313"/>
                    <a:stretch>
                      <a:fillRect/>
                    </a:stretch>
                  </pic:blipFill>
                  <pic:spPr bwMode="auto">
                    <a:xfrm>
                      <a:off x="0" y="0"/>
                      <a:ext cx="533527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11" w:name="_Toc398721798"/>
      <w:bookmarkStart w:id="512" w:name="_Toc411850624"/>
      <w:bookmarkStart w:id="513" w:name="_Toc411850729"/>
      <w:bookmarkStart w:id="514" w:name="_Toc411850973"/>
      <w:r>
        <w:t xml:space="preserve"> </w:t>
      </w:r>
      <w:bookmarkStart w:id="515" w:name="_Toc413230127"/>
      <w:r>
        <w:t>Bore ID – RN23551</w:t>
      </w:r>
      <w:bookmarkEnd w:id="511"/>
      <w:bookmarkEnd w:id="512"/>
      <w:bookmarkEnd w:id="513"/>
      <w:bookmarkEnd w:id="514"/>
      <w:bookmarkEnd w:id="515"/>
    </w:p>
    <w:p w:rsidR="009D3D38" w:rsidRDefault="009D3D38" w:rsidP="009D3D38">
      <w:r>
        <w:rPr>
          <w:noProof/>
          <w:lang w:eastAsia="en-AU"/>
        </w:rPr>
        <w:drawing>
          <wp:inline distT="0" distB="0" distL="0" distR="0">
            <wp:extent cx="5271770" cy="7060565"/>
            <wp:effectExtent l="19050" t="0" r="508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6"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092315"/>
            <wp:effectExtent l="19050" t="0" r="508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7" cstate="email"/>
                    <a:srcRect/>
                    <a:stretch>
                      <a:fillRect/>
                    </a:stretch>
                  </pic:blipFill>
                  <pic:spPr bwMode="auto">
                    <a:xfrm>
                      <a:off x="0" y="0"/>
                      <a:ext cx="5271770" cy="709231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9390" cy="5025390"/>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8" cstate="email"/>
                    <a:srcRect l="21307"/>
                    <a:stretch>
                      <a:fillRect/>
                    </a:stretch>
                  </pic:blipFill>
                  <pic:spPr bwMode="auto">
                    <a:xfrm>
                      <a:off x="0" y="0"/>
                      <a:ext cx="527939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16" w:name="_Toc398721799"/>
      <w:bookmarkStart w:id="517" w:name="_Toc411850625"/>
      <w:bookmarkStart w:id="518" w:name="_Toc411850730"/>
      <w:bookmarkStart w:id="519" w:name="_Toc411850974"/>
      <w:r>
        <w:t xml:space="preserve"> </w:t>
      </w:r>
      <w:bookmarkStart w:id="520" w:name="_Toc413230128"/>
      <w:r>
        <w:t>Bore ID – RN23556</w:t>
      </w:r>
      <w:bookmarkEnd w:id="516"/>
      <w:bookmarkEnd w:id="517"/>
      <w:bookmarkEnd w:id="518"/>
      <w:bookmarkEnd w:id="519"/>
      <w:bookmarkEnd w:id="520"/>
    </w:p>
    <w:p w:rsidR="009D3D38" w:rsidRDefault="009D3D38" w:rsidP="009D3D38">
      <w:r>
        <w:rPr>
          <w:noProof/>
          <w:lang w:eastAsia="en-AU"/>
        </w:rPr>
        <w:drawing>
          <wp:inline distT="0" distB="0" distL="0" distR="0">
            <wp:extent cx="5271770" cy="7195820"/>
            <wp:effectExtent l="1905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9" cstate="email"/>
                    <a:srcRect/>
                    <a:stretch>
                      <a:fillRect/>
                    </a:stretch>
                  </pic:blipFill>
                  <pic:spPr bwMode="auto">
                    <a:xfrm>
                      <a:off x="0" y="0"/>
                      <a:ext cx="5271770" cy="719582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63515" cy="7148195"/>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0" cstate="email"/>
                    <a:srcRect/>
                    <a:stretch>
                      <a:fillRect/>
                    </a:stretch>
                  </pic:blipFill>
                  <pic:spPr bwMode="auto">
                    <a:xfrm>
                      <a:off x="0" y="0"/>
                      <a:ext cx="5263515" cy="714819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51145" cy="5025390"/>
            <wp:effectExtent l="19050" t="0" r="190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1" cstate="email"/>
                    <a:srcRect l="20171"/>
                    <a:stretch>
                      <a:fillRect/>
                    </a:stretch>
                  </pic:blipFill>
                  <pic:spPr bwMode="auto">
                    <a:xfrm>
                      <a:off x="0" y="0"/>
                      <a:ext cx="5351145"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21" w:name="_Toc398721800"/>
      <w:bookmarkStart w:id="522" w:name="_Toc411850626"/>
      <w:bookmarkStart w:id="523" w:name="_Toc411850731"/>
      <w:bookmarkStart w:id="524" w:name="_Toc411850975"/>
      <w:r>
        <w:t xml:space="preserve"> </w:t>
      </w:r>
      <w:bookmarkStart w:id="525" w:name="_Toc413230129"/>
      <w:r>
        <w:t>Bore ID – RN23562</w:t>
      </w:r>
      <w:bookmarkEnd w:id="521"/>
      <w:bookmarkEnd w:id="522"/>
      <w:bookmarkEnd w:id="523"/>
      <w:bookmarkEnd w:id="524"/>
      <w:bookmarkEnd w:id="525"/>
    </w:p>
    <w:p w:rsidR="009D3D38" w:rsidRPr="00E656DA" w:rsidRDefault="009D3D38" w:rsidP="009D3D38"/>
    <w:p w:rsidR="009D3D38" w:rsidRDefault="009D3D38" w:rsidP="009D3D38">
      <w:r>
        <w:rPr>
          <w:noProof/>
          <w:lang w:eastAsia="en-AU"/>
        </w:rPr>
        <w:drawing>
          <wp:inline distT="0" distB="0" distL="0" distR="0">
            <wp:extent cx="5263515" cy="712406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2" cstate="email"/>
                    <a:srcRect/>
                    <a:stretch>
                      <a:fillRect/>
                    </a:stretch>
                  </pic:blipFill>
                  <pic:spPr bwMode="auto">
                    <a:xfrm>
                      <a:off x="0" y="0"/>
                      <a:ext cx="5263515" cy="71240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27570"/>
            <wp:effectExtent l="19050" t="0" r="508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3" cstate="email"/>
                    <a:srcRect/>
                    <a:stretch>
                      <a:fillRect/>
                    </a:stretch>
                  </pic:blipFill>
                  <pic:spPr bwMode="auto">
                    <a:xfrm>
                      <a:off x="0" y="0"/>
                      <a:ext cx="5271770" cy="722757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9390" cy="502539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4" cstate="email"/>
                    <a:srcRect l="21307"/>
                    <a:stretch>
                      <a:fillRect/>
                    </a:stretch>
                  </pic:blipFill>
                  <pic:spPr bwMode="auto">
                    <a:xfrm>
                      <a:off x="0" y="0"/>
                      <a:ext cx="527939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26" w:name="_Toc398721801"/>
      <w:bookmarkStart w:id="527" w:name="_Toc411850627"/>
      <w:bookmarkStart w:id="528" w:name="_Toc411850732"/>
      <w:bookmarkStart w:id="529" w:name="_Toc411850976"/>
      <w:r>
        <w:t xml:space="preserve"> </w:t>
      </w:r>
      <w:bookmarkStart w:id="530" w:name="_Toc413230130"/>
      <w:r>
        <w:t>Bore ID – RN23566</w:t>
      </w:r>
      <w:bookmarkEnd w:id="526"/>
      <w:bookmarkEnd w:id="527"/>
      <w:bookmarkEnd w:id="528"/>
      <w:bookmarkEnd w:id="529"/>
      <w:bookmarkEnd w:id="530"/>
    </w:p>
    <w:p w:rsidR="009D3D38" w:rsidRDefault="009D3D38" w:rsidP="009D3D38">
      <w:r>
        <w:rPr>
          <w:noProof/>
          <w:lang w:eastAsia="en-AU"/>
        </w:rPr>
        <w:drawing>
          <wp:inline distT="0" distB="0" distL="0" distR="0">
            <wp:extent cx="5271770" cy="7060565"/>
            <wp:effectExtent l="19050" t="0" r="508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5"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092315"/>
            <wp:effectExtent l="1905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6" cstate="email"/>
                    <a:srcRect/>
                    <a:stretch>
                      <a:fillRect/>
                    </a:stretch>
                  </pic:blipFill>
                  <pic:spPr bwMode="auto">
                    <a:xfrm>
                      <a:off x="0" y="0"/>
                      <a:ext cx="5271770" cy="709231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5025390"/>
            <wp:effectExtent l="19050" t="0" r="508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7" cstate="email"/>
                    <a:srcRect l="21449"/>
                    <a:stretch>
                      <a:fillRect/>
                    </a:stretch>
                  </pic:blipFill>
                  <pic:spPr bwMode="auto">
                    <a:xfrm>
                      <a:off x="0" y="0"/>
                      <a:ext cx="527177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31" w:name="_Toc398721802"/>
      <w:bookmarkStart w:id="532" w:name="_Toc411850628"/>
      <w:bookmarkStart w:id="533" w:name="_Toc411850733"/>
      <w:bookmarkStart w:id="534" w:name="_Toc411850977"/>
      <w:r>
        <w:t xml:space="preserve"> </w:t>
      </w:r>
      <w:bookmarkStart w:id="535" w:name="_Toc413230131"/>
      <w:r>
        <w:t>Bore ID – RN23568</w:t>
      </w:r>
      <w:bookmarkEnd w:id="531"/>
      <w:bookmarkEnd w:id="532"/>
      <w:bookmarkEnd w:id="533"/>
      <w:bookmarkEnd w:id="534"/>
      <w:bookmarkEnd w:id="535"/>
    </w:p>
    <w:p w:rsidR="009D3D38" w:rsidRDefault="009D3D38" w:rsidP="009D3D38">
      <w:r>
        <w:rPr>
          <w:noProof/>
          <w:lang w:eastAsia="en-AU"/>
        </w:rPr>
        <w:drawing>
          <wp:inline distT="0" distB="0" distL="0" distR="0">
            <wp:extent cx="5271770" cy="7060565"/>
            <wp:effectExtent l="19050" t="0" r="508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8"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092315"/>
            <wp:effectExtent l="19050" t="0" r="508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9" cstate="email"/>
                    <a:srcRect/>
                    <a:stretch>
                      <a:fillRect/>
                    </a:stretch>
                  </pic:blipFill>
                  <pic:spPr bwMode="auto">
                    <a:xfrm>
                      <a:off x="0" y="0"/>
                      <a:ext cx="5271770" cy="709231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91150" cy="5025390"/>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0" cstate="email"/>
                    <a:srcRect l="19603"/>
                    <a:stretch>
                      <a:fillRect/>
                    </a:stretch>
                  </pic:blipFill>
                  <pic:spPr bwMode="auto">
                    <a:xfrm>
                      <a:off x="0" y="0"/>
                      <a:ext cx="539115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36" w:name="_Toc398721803"/>
      <w:bookmarkStart w:id="537" w:name="_Toc411850629"/>
      <w:bookmarkStart w:id="538" w:name="_Toc411850734"/>
      <w:bookmarkStart w:id="539" w:name="_Toc411850978"/>
      <w:r>
        <w:t xml:space="preserve"> </w:t>
      </w:r>
      <w:bookmarkStart w:id="540" w:name="_Toc413230132"/>
      <w:r>
        <w:t>Bore ID – RN8708</w:t>
      </w:r>
      <w:bookmarkEnd w:id="536"/>
      <w:bookmarkEnd w:id="537"/>
      <w:bookmarkEnd w:id="538"/>
      <w:bookmarkEnd w:id="539"/>
      <w:bookmarkEnd w:id="540"/>
    </w:p>
    <w:p w:rsidR="009D3D38" w:rsidRDefault="009D3D38" w:rsidP="009D3D38">
      <w:r>
        <w:rPr>
          <w:noProof/>
          <w:lang w:eastAsia="en-AU"/>
        </w:rPr>
        <w:drawing>
          <wp:inline distT="0" distB="0" distL="0" distR="0">
            <wp:extent cx="5271770" cy="7060565"/>
            <wp:effectExtent l="1905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1"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283450"/>
            <wp:effectExtent l="19050" t="0" r="508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2" cstate="email"/>
                    <a:srcRect/>
                    <a:stretch>
                      <a:fillRect/>
                    </a:stretch>
                  </pic:blipFill>
                  <pic:spPr bwMode="auto">
                    <a:xfrm>
                      <a:off x="0" y="0"/>
                      <a:ext cx="5271770" cy="7283450"/>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351145" cy="5025390"/>
            <wp:effectExtent l="19050" t="0" r="190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3" cstate="email"/>
                    <a:srcRect l="20171"/>
                    <a:stretch>
                      <a:fillRect/>
                    </a:stretch>
                  </pic:blipFill>
                  <pic:spPr bwMode="auto">
                    <a:xfrm>
                      <a:off x="0" y="0"/>
                      <a:ext cx="5351145"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41" w:name="_Toc398721804"/>
      <w:bookmarkStart w:id="542" w:name="_Toc411850630"/>
      <w:bookmarkStart w:id="543" w:name="_Toc411850735"/>
      <w:bookmarkStart w:id="544" w:name="_Toc411850979"/>
      <w:r>
        <w:t xml:space="preserve"> </w:t>
      </w:r>
      <w:bookmarkStart w:id="545" w:name="_Toc413230133"/>
      <w:r>
        <w:t>Bore ID – RN9329</w:t>
      </w:r>
      <w:bookmarkEnd w:id="541"/>
      <w:bookmarkEnd w:id="542"/>
      <w:bookmarkEnd w:id="543"/>
      <w:bookmarkEnd w:id="544"/>
      <w:bookmarkEnd w:id="545"/>
    </w:p>
    <w:p w:rsidR="009D3D38" w:rsidRDefault="009D3D38" w:rsidP="009D3D38">
      <w:r>
        <w:rPr>
          <w:noProof/>
          <w:lang w:eastAsia="en-AU"/>
        </w:rPr>
        <w:drawing>
          <wp:inline distT="0" distB="0" distL="0" distR="0">
            <wp:extent cx="5271770" cy="7060565"/>
            <wp:effectExtent l="19050" t="0" r="508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4" cstate="email"/>
                    <a:srcRect/>
                    <a:stretch>
                      <a:fillRect/>
                    </a:stretch>
                  </pic:blipFill>
                  <pic:spPr bwMode="auto">
                    <a:xfrm>
                      <a:off x="0" y="0"/>
                      <a:ext cx="5271770" cy="706056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71770" cy="7092315"/>
            <wp:effectExtent l="19050" t="0" r="508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5" cstate="email"/>
                    <a:srcRect/>
                    <a:stretch>
                      <a:fillRect/>
                    </a:stretch>
                  </pic:blipFill>
                  <pic:spPr bwMode="auto">
                    <a:xfrm>
                      <a:off x="0" y="0"/>
                      <a:ext cx="5271770" cy="7092315"/>
                    </a:xfrm>
                    <a:prstGeom prst="rect">
                      <a:avLst/>
                    </a:prstGeom>
                    <a:noFill/>
                    <a:ln w="9525">
                      <a:noFill/>
                      <a:miter lim="800000"/>
                      <a:headEnd/>
                      <a:tailEnd/>
                    </a:ln>
                  </pic:spPr>
                </pic:pic>
              </a:graphicData>
            </a:graphic>
          </wp:inline>
        </w:drawing>
      </w:r>
    </w:p>
    <w:p w:rsidR="009D3D38" w:rsidRDefault="009D3D38" w:rsidP="009D3D38">
      <w:r>
        <w:rPr>
          <w:noProof/>
          <w:lang w:eastAsia="en-AU"/>
        </w:rPr>
        <w:drawing>
          <wp:inline distT="0" distB="0" distL="0" distR="0">
            <wp:extent cx="5240020" cy="502539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6" cstate="email"/>
                    <a:srcRect l="21875"/>
                    <a:stretch>
                      <a:fillRect/>
                    </a:stretch>
                  </pic:blipFill>
                  <pic:spPr bwMode="auto">
                    <a:xfrm>
                      <a:off x="0" y="0"/>
                      <a:ext cx="5240020"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46" w:name="_Toc398721805"/>
      <w:bookmarkStart w:id="547" w:name="_Toc411850631"/>
      <w:bookmarkStart w:id="548" w:name="_Toc411850736"/>
      <w:bookmarkStart w:id="549" w:name="_Toc411850980"/>
      <w:r>
        <w:t xml:space="preserve"> </w:t>
      </w:r>
      <w:bookmarkStart w:id="550" w:name="_Toc413230134"/>
      <w:r>
        <w:t>Bore ID – RP1N1 and RP1N2</w:t>
      </w:r>
      <w:bookmarkEnd w:id="546"/>
      <w:bookmarkEnd w:id="547"/>
      <w:bookmarkEnd w:id="548"/>
      <w:bookmarkEnd w:id="549"/>
      <w:bookmarkEnd w:id="550"/>
    </w:p>
    <w:p w:rsidR="009D3D38" w:rsidRPr="0095017B" w:rsidRDefault="009D3D38" w:rsidP="009D3D38">
      <w:r>
        <w:rPr>
          <w:noProof/>
          <w:lang w:eastAsia="en-AU"/>
        </w:rPr>
        <w:drawing>
          <wp:inline distT="0" distB="0" distL="0" distR="0">
            <wp:extent cx="5311775" cy="5025390"/>
            <wp:effectExtent l="1905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7" cstate="email"/>
                    <a:srcRect l="20738"/>
                    <a:stretch>
                      <a:fillRect/>
                    </a:stretch>
                  </pic:blipFill>
                  <pic:spPr bwMode="auto">
                    <a:xfrm>
                      <a:off x="0" y="0"/>
                      <a:ext cx="5311775" cy="5025390"/>
                    </a:xfrm>
                    <a:prstGeom prst="rect">
                      <a:avLst/>
                    </a:prstGeom>
                    <a:noFill/>
                    <a:ln w="9525">
                      <a:noFill/>
                      <a:miter lim="800000"/>
                      <a:headEnd/>
                      <a:tailEnd/>
                    </a:ln>
                  </pic:spPr>
                </pic:pic>
              </a:graphicData>
            </a:graphic>
          </wp:inline>
        </w:drawing>
      </w:r>
    </w:p>
    <w:p w:rsidR="009D3D38" w:rsidRDefault="009D3D38" w:rsidP="009D3D38">
      <w:pPr>
        <w:pStyle w:val="Heading3"/>
      </w:pPr>
      <w:r>
        <w:br w:type="page"/>
      </w:r>
      <w:bookmarkStart w:id="551" w:name="_Toc398721806"/>
      <w:bookmarkStart w:id="552" w:name="_Toc411850632"/>
      <w:bookmarkStart w:id="553" w:name="_Toc411850737"/>
      <w:bookmarkStart w:id="554" w:name="_Toc411850981"/>
      <w:r>
        <w:t xml:space="preserve"> </w:t>
      </w:r>
      <w:bookmarkStart w:id="555" w:name="_Toc413230135"/>
      <w:r>
        <w:t>Bore ID – OB79/6A</w:t>
      </w:r>
      <w:bookmarkEnd w:id="551"/>
      <w:bookmarkEnd w:id="552"/>
      <w:bookmarkEnd w:id="553"/>
      <w:bookmarkEnd w:id="554"/>
      <w:bookmarkEnd w:id="555"/>
    </w:p>
    <w:p w:rsidR="009D3D38" w:rsidRDefault="009D3D38" w:rsidP="009D3D38">
      <w:r>
        <w:rPr>
          <w:noProof/>
          <w:lang w:eastAsia="en-AU"/>
        </w:rPr>
        <w:drawing>
          <wp:inline distT="0" distB="0" distL="0" distR="0">
            <wp:extent cx="5359400" cy="502539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8" cstate="email"/>
                    <a:srcRect l="20029"/>
                    <a:stretch>
                      <a:fillRect/>
                    </a:stretch>
                  </pic:blipFill>
                  <pic:spPr bwMode="auto">
                    <a:xfrm>
                      <a:off x="0" y="0"/>
                      <a:ext cx="5359400" cy="5025390"/>
                    </a:xfrm>
                    <a:prstGeom prst="rect">
                      <a:avLst/>
                    </a:prstGeom>
                    <a:noFill/>
                    <a:ln w="9525">
                      <a:noFill/>
                      <a:miter lim="800000"/>
                      <a:headEnd/>
                      <a:tailEnd/>
                    </a:ln>
                  </pic:spPr>
                </pic:pic>
              </a:graphicData>
            </a:graphic>
          </wp:inline>
        </w:drawing>
      </w:r>
    </w:p>
    <w:p w:rsidR="009D3D38" w:rsidRDefault="009D3D38" w:rsidP="009D3D38">
      <w:pPr>
        <w:pStyle w:val="Heading3"/>
      </w:pPr>
      <w:r>
        <w:rPr>
          <w:noProof/>
          <w:lang w:eastAsia="en-AU"/>
        </w:rPr>
        <w:drawing>
          <wp:inline distT="0" distB="0" distL="0" distR="0">
            <wp:extent cx="5271770" cy="3943985"/>
            <wp:effectExtent l="19050" t="0" r="508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7" cstate="email"/>
                    <a:srcRect/>
                    <a:stretch>
                      <a:fillRect/>
                    </a:stretch>
                  </pic:blipFill>
                  <pic:spPr bwMode="auto">
                    <a:xfrm>
                      <a:off x="0" y="0"/>
                      <a:ext cx="5271770" cy="3943985"/>
                    </a:xfrm>
                    <a:prstGeom prst="rect">
                      <a:avLst/>
                    </a:prstGeom>
                    <a:noFill/>
                    <a:ln w="9525">
                      <a:noFill/>
                      <a:miter lim="800000"/>
                      <a:headEnd/>
                      <a:tailEnd/>
                    </a:ln>
                  </pic:spPr>
                </pic:pic>
              </a:graphicData>
            </a:graphic>
          </wp:inline>
        </w:drawing>
      </w:r>
      <w:r w:rsidRPr="006F01E9">
        <w:t xml:space="preserve"> </w:t>
      </w:r>
      <w:r>
        <w:br w:type="page"/>
      </w:r>
      <w:bookmarkStart w:id="556" w:name="_Toc398721807"/>
      <w:bookmarkStart w:id="557" w:name="_Toc398721808"/>
      <w:bookmarkStart w:id="558" w:name="_Toc411850633"/>
      <w:bookmarkStart w:id="559" w:name="_Toc411850634"/>
      <w:bookmarkStart w:id="560" w:name="_Toc411850738"/>
      <w:bookmarkStart w:id="561" w:name="_Toc411850739"/>
      <w:bookmarkStart w:id="562" w:name="_Toc411850982"/>
      <w:bookmarkStart w:id="563" w:name="_Toc411850983"/>
      <w:r>
        <w:t xml:space="preserve"> </w:t>
      </w:r>
      <w:bookmarkStart w:id="564" w:name="_Toc413230136"/>
      <w:bookmarkStart w:id="565" w:name="_Toc413230137"/>
      <w:r>
        <w:t>Bore ID – R.P. 79/ 2</w:t>
      </w:r>
      <w:bookmarkEnd w:id="556"/>
      <w:bookmarkEnd w:id="557"/>
      <w:bookmarkEnd w:id="558"/>
      <w:bookmarkEnd w:id="559"/>
      <w:bookmarkEnd w:id="560"/>
      <w:bookmarkEnd w:id="561"/>
      <w:bookmarkEnd w:id="562"/>
      <w:bookmarkEnd w:id="563"/>
      <w:bookmarkEnd w:id="564"/>
      <w:bookmarkEnd w:id="565"/>
    </w:p>
    <w:p w:rsidR="009D3D38" w:rsidRDefault="009D3D38" w:rsidP="009D3D38">
      <w:r>
        <w:rPr>
          <w:noProof/>
          <w:lang w:eastAsia="en-AU"/>
        </w:rPr>
        <w:drawing>
          <wp:inline distT="0" distB="0" distL="0" distR="0">
            <wp:extent cx="5287645" cy="5025390"/>
            <wp:effectExtent l="19050" t="0" r="825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9" cstate="email"/>
                    <a:srcRect l="21165"/>
                    <a:stretch>
                      <a:fillRect/>
                    </a:stretch>
                  </pic:blipFill>
                  <pic:spPr bwMode="auto">
                    <a:xfrm>
                      <a:off x="0" y="0"/>
                      <a:ext cx="5287645" cy="5025390"/>
                    </a:xfrm>
                    <a:prstGeom prst="rect">
                      <a:avLst/>
                    </a:prstGeom>
                    <a:noFill/>
                    <a:ln w="9525">
                      <a:noFill/>
                      <a:miter lim="800000"/>
                      <a:headEnd/>
                      <a:tailEnd/>
                    </a:ln>
                  </pic:spPr>
                </pic:pic>
              </a:graphicData>
            </a:graphic>
          </wp:inline>
        </w:drawing>
      </w:r>
    </w:p>
    <w:p w:rsidR="009D3D38" w:rsidRDefault="009D3D38" w:rsidP="009D3D38"/>
    <w:p w:rsidR="000A6E3B" w:rsidRPr="00910056" w:rsidRDefault="009D3D38" w:rsidP="00B27E1C">
      <w:pPr>
        <w:pStyle w:val="Heading3"/>
        <w:sectPr w:rsidR="000A6E3B" w:rsidRPr="00910056">
          <w:pgSz w:w="11906" w:h="16838" w:code="9"/>
          <w:pgMar w:top="1440" w:right="1800" w:bottom="1440" w:left="1800" w:header="1080" w:footer="835" w:gutter="0"/>
          <w:cols w:space="360"/>
          <w:noEndnote/>
        </w:sectPr>
      </w:pPr>
      <w:bookmarkStart w:id="566" w:name="_Toc386618590"/>
      <w:r>
        <w:rPr>
          <w:rFonts w:cs="Arial"/>
        </w:rPr>
        <w:t xml:space="preserve"> </w:t>
      </w:r>
      <w:bookmarkEnd w:id="566"/>
    </w:p>
    <w:p w:rsidR="00B57923" w:rsidRDefault="00B57923" w:rsidP="00B57923">
      <w:pPr>
        <w:pStyle w:val="Heading1"/>
      </w:pPr>
      <w:bookmarkStart w:id="567" w:name="_Toc413230138"/>
      <w:bookmarkStart w:id="568" w:name="_Toc411850635"/>
      <w:r>
        <w:t>Appendix 2</w:t>
      </w:r>
      <w:bookmarkEnd w:id="567"/>
    </w:p>
    <w:p w:rsidR="000A6E3B" w:rsidRDefault="000A6E3B" w:rsidP="000A6E3B">
      <w:pPr>
        <w:pStyle w:val="Heading2"/>
      </w:pPr>
      <w:bookmarkStart w:id="569" w:name="_Toc413230139"/>
      <w:r>
        <w:t>Bore water metal and radionuclide</w:t>
      </w:r>
      <w:r w:rsidR="00B57923">
        <w:t xml:space="preserve"> </w:t>
      </w:r>
      <w:r>
        <w:t>data</w:t>
      </w:r>
      <w:bookmarkEnd w:id="568"/>
      <w:bookmarkEnd w:id="569"/>
    </w:p>
    <w:p w:rsidR="000A6E3B" w:rsidRDefault="000A6E3B" w:rsidP="000A6E3B"/>
    <w:p w:rsidR="000A6E3B" w:rsidRDefault="000A6E3B" w:rsidP="000A6E3B">
      <w:pPr>
        <w:pStyle w:val="table1"/>
      </w:pPr>
      <w:proofErr w:type="gramStart"/>
      <w:r>
        <w:t>Table A61 Bore water metal and radionuclide activity concentrations.</w:t>
      </w:r>
      <w:proofErr w:type="gramEnd"/>
      <w:r>
        <w:t xml:space="preserve"> All metal concentrations are given in µg•L-1, radionuclde activity concentrations are given in mBq•L-1.</w:t>
      </w:r>
    </w:p>
    <w:p w:rsidR="000A6E3B" w:rsidRDefault="000A6E3B" w:rsidP="009D3D38"/>
    <w:tbl>
      <w:tblPr>
        <w:tblW w:w="1616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846"/>
        <w:gridCol w:w="1381"/>
        <w:gridCol w:w="932"/>
        <w:gridCol w:w="420"/>
        <w:gridCol w:w="669"/>
        <w:gridCol w:w="567"/>
        <w:gridCol w:w="567"/>
        <w:gridCol w:w="583"/>
        <w:gridCol w:w="551"/>
        <w:gridCol w:w="567"/>
        <w:gridCol w:w="567"/>
        <w:gridCol w:w="567"/>
        <w:gridCol w:w="567"/>
        <w:gridCol w:w="567"/>
        <w:gridCol w:w="567"/>
        <w:gridCol w:w="850"/>
        <w:gridCol w:w="993"/>
        <w:gridCol w:w="850"/>
        <w:gridCol w:w="851"/>
        <w:gridCol w:w="850"/>
        <w:gridCol w:w="992"/>
      </w:tblGrid>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OB11015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23931_DEEP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RN023931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21.4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5200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17400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900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21.2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1.77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8</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21.4 ± 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1.52 ± 0.10</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39.9 ± 1.5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OB12020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23931_DEEP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RN023931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31</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15000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25.3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79/6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536.8 ± 4.6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79/6A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546 ± 25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79/9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RN020098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174 ± 2.4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OB9619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79/9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RN020098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6.7 ± 0.3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1.14 ± 0.07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R.P. 79/ 2 Ranger</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RN020091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43± 29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13.8 ± 2.4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20.1 ± 0.7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1.18 ± 0.043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3.36 ± 0.45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8.38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8000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0.67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900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12.4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1.86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23.1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1.008 ± 0.058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3.25 ± 0.33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7.0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6970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1240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7890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44.1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10700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8.6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4.38 ± 0.25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1.36 ± 0.093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12.1 ± 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6.2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5220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1080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6490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36.9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9020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7.9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3.3 ± 0.2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1.424 ± 0.116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4.22 ± 0.27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RM10037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28/09/10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7.3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35.3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400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0.80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7.42 ± 0.46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1.39 ± 0.11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3.35 ± 0.3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2.71 ± 0.38</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33.9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1300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4.73 ± 0.41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1.129 ± 0.13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6.82 ± 0.62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20/09/11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34.8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1500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5.27 ± 0.56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1.084 ± 0.154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8.57 ± 0.49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7.4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9300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8.4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3.86 ± 0.33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1.335 ± 0.144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1.81 ± 0.3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9.4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2.1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3.06 ± 0.23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1.567 ± 0.144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3.26 ± 0.32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OB08001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2/09/08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9.9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&lt;50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37.9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7.1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3.61 ± 0.24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1.015 ± 0.089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2.08 ± 0.43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15/09/09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9.0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1200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38.4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9600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7.4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4.49 ± 0.21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1.137 ± 0.068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4.06 ± 0.28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83_1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RN023010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15/09/06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B11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RN007243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14100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3800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225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11.1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5.04 ± 0.28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1.519 ± 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86 ± 2.9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B11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RN007243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13.2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19200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328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10500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3.50 ± 0.28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1.658 ± 0.159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52.6 ± 2.4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CA3829" w:rsidRPr="00666B76" w:rsidTr="00CA3829">
        <w:trPr>
          <w:trHeight w:val="255"/>
        </w:trPr>
        <w:tc>
          <w:tcPr>
            <w:tcW w:w="856" w:type="dxa"/>
            <w:shd w:val="clear" w:color="auto" w:fill="auto"/>
            <w:noWrap/>
            <w:vAlign w:val="bottom"/>
            <w:hideMark/>
          </w:tcPr>
          <w:p w:rsidR="00CA3829" w:rsidRPr="00666B76" w:rsidRDefault="00CA3829" w:rsidP="00CA3829">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CA3829" w:rsidRPr="00666B76" w:rsidRDefault="00CA3829" w:rsidP="00CA3829">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CA3829" w:rsidRPr="00666B76" w:rsidRDefault="00CA3829" w:rsidP="00CA3829">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CA3829" w:rsidRPr="00666B76" w:rsidRDefault="00CA3829" w:rsidP="00CA3829">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CA3829" w:rsidRPr="00666B76" w:rsidRDefault="00CA3829" w:rsidP="00CA3829">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CA3829" w:rsidRPr="00666B76" w:rsidRDefault="00CA3829" w:rsidP="00CA3829">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CA3829" w:rsidRPr="00666B76" w:rsidRDefault="00CA3829" w:rsidP="00CA3829">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CA3829" w:rsidRPr="00666B76" w:rsidRDefault="00CA3829" w:rsidP="00CA3829">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CA3829" w:rsidRPr="00666B76" w:rsidRDefault="00CA3829" w:rsidP="00CA3829">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CA3829" w:rsidRPr="00666B76" w:rsidRDefault="00CA3829" w:rsidP="00CA3829">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CA3829" w:rsidRPr="00666B76" w:rsidRDefault="00CA3829" w:rsidP="00CA3829">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CA3829" w:rsidRPr="00666B76" w:rsidRDefault="00CA3829" w:rsidP="00CA3829">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CA3829" w:rsidRPr="00666B76" w:rsidRDefault="00CA3829" w:rsidP="00CA3829">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CA3829" w:rsidRPr="00666B76" w:rsidRDefault="00CA3829" w:rsidP="00CA3829">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CA3829" w:rsidRPr="00666B76" w:rsidRDefault="00CA3829" w:rsidP="00CA3829">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CA3829" w:rsidRPr="00666B76" w:rsidRDefault="00CA3829" w:rsidP="00CA3829">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OB08008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5/09/08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B11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RN007243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11.1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18200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312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9.6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3.44 ± 0.33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1.467 ± 0.177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54.5 ± 2.6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B11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RN007243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7.3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9850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3900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163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10.5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0.77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8.82± 0.37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1.447 ± 0.068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62.4 ± 2.2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C12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108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7800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30.9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1.53 ± 0.16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1.123 ± 0.16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25.3 ± 1.1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C1SHALLOW</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9.33 ± 0.45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1.534 ± 0.078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12.5 ± 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Magela Ck 11/80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RN020369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1350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48.6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0.057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0.81 ± 0.13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1.178 ± 0.248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13.9 ± 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MBH</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RN023721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5.36 ± 0.35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1.107 ± 0.089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5.62 ± 0.36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MBL</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RN023725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1920 ± 80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0.915 ± 0.038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30.3 ± 1.5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OB03015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MC24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RN025466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25.4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&lt;100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79600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261000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2.5</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2.17 ± 0.27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1.028 ± 0.176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14 ± 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MC27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RN025469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0.7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21200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5.64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38300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69.8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0.6</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2.7 ± 0.23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1.765 ± 0.174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0.61 ± 0.28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MC27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RN025469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11300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4460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21700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19.3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17100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15300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59.8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2.14 ± 0.14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1.765 ± 0.142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1.91 ± 0.29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MC27DEEP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13900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11.5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41.8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0.089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1.25 ± 0.12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1.301 ± 0.175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13.2 ± 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127 ± 21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136 ± 8</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65.6 ± 2.2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OB9020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95 ± 16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51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84.9 ± 3.5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OB1912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157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1.12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74.5 ± 2.5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14/11/91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130 ± 20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70.6 ± 2.5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89.5 ± 3.9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94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1.08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82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1.12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126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1.34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OB9802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6420 ± 200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1.04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48.4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11200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572</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4980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188000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18.8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25500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173000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72.8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24.1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493 ± 18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1.042 ± 0.035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630 ± 25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31/05/02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OB10A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42.6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18400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20500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10600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119000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146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450000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45.1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31.9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362 ± 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1.028 ± 0.026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306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6/03/12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OB112_DEEP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OB112_DEEP</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130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7900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460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27000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24000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120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0.9</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22.6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1.02 ± 0.066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33.7 ± 1.1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6/03/12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OB112_SHALLOW</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14</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1200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&lt;1000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0.4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0.05</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0.99 ± 0.12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0.791 ± 0.167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1.66 ± 0.26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OB13005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15/03/13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OB112_Deep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23.9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RM10043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1/10/10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OB116_DEEP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154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3900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4700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3.92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45.8 ± 2.1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1.36 ± 0.06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81.2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44.5 ± 2.1</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8/03/12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OB116_DEEP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120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8</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&lt;1000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5.74 ± 0.4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1.04 ± 0.102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50.3 ± 1.1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OB13003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14/03/13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OB116_Deep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38.3 ± 1.7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8/03/12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OB116_SHALLOW</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&lt;100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62</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1400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&lt;1000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0.8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0.06</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1.1 ± 0.12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1.186 ± 0.168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2.6 ± 0.24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CA3829" w:rsidRPr="00666B76" w:rsidTr="00CA3829">
        <w:trPr>
          <w:trHeight w:val="255"/>
        </w:trPr>
        <w:tc>
          <w:tcPr>
            <w:tcW w:w="856" w:type="dxa"/>
            <w:shd w:val="clear" w:color="auto" w:fill="auto"/>
            <w:noWrap/>
            <w:vAlign w:val="bottom"/>
            <w:hideMark/>
          </w:tcPr>
          <w:p w:rsidR="00CA3829" w:rsidRPr="00666B76" w:rsidRDefault="00CA3829" w:rsidP="00CA3829">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CA3829" w:rsidRPr="00666B76" w:rsidRDefault="00CA3829" w:rsidP="00CA3829">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CA3829" w:rsidRPr="00666B76" w:rsidRDefault="00CA3829" w:rsidP="00CA3829">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CA3829" w:rsidRPr="00666B76" w:rsidRDefault="00CA3829" w:rsidP="00CA3829">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CA3829" w:rsidRPr="00666B76" w:rsidRDefault="00CA3829" w:rsidP="00CA3829">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CA3829" w:rsidRPr="00666B76" w:rsidRDefault="00CA3829" w:rsidP="00CA3829">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CA3829" w:rsidRPr="00666B76" w:rsidRDefault="00CA3829" w:rsidP="00CA3829">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CA3829" w:rsidRPr="00666B76" w:rsidRDefault="00CA3829" w:rsidP="00CA3829">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CA3829" w:rsidRPr="00666B76" w:rsidRDefault="00CA3829" w:rsidP="00CA3829">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CA3829" w:rsidRPr="00666B76" w:rsidRDefault="00CA3829" w:rsidP="00CA3829">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CA3829" w:rsidRPr="00666B76" w:rsidRDefault="00CA3829" w:rsidP="00CA3829">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CA3829" w:rsidRPr="00666B76" w:rsidRDefault="00CA3829" w:rsidP="00CA3829">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CA3829" w:rsidRPr="00666B76" w:rsidRDefault="00CA3829" w:rsidP="00CA3829">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CA3829" w:rsidRPr="00666B76" w:rsidRDefault="00CA3829" w:rsidP="00CA3829">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CA3829" w:rsidRPr="00666B76" w:rsidRDefault="00CA3829" w:rsidP="00CA3829">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CA3829" w:rsidRPr="00666B76" w:rsidRDefault="00CA3829" w:rsidP="00CA3829">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6/09/88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115.7 ± 2.8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115.8 ± 2.6</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OB8021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4/11/88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37.3 ± 7.7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133.7 ± 3.1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140.6 ± 3.1</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16/01/89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173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43.0 ± 9.4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172.1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OB9024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65.2 ± 22.1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143.3 ± 3.1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192 ± 17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208 ± 8.6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14/11/91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63 ± 24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177.1 ± 2.7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189.8 ± 6.2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24/11/92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168.6 ± 5.4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12/05/93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309.5 ± 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31.4 ± 0.7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1.75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70 ± 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103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1.23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40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33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34.79 ± 0.83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29 ± 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1.38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OB8016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6/09/88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33.9 ± 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1.57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64.05 ± 2.44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OB8025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4/11/88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31.3 ± 6.8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70 ± 30</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66.65 ± 2.23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63.93 ± 2.31</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90.04 ± 2.79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42.9 ± 22.2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81.74 ± 2.71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OB9025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71.1 ± 21.2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83.39 ± 2.63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68.12 ± 3.84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104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62.53 ± 2.26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64.07 ± 1.88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OB2913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24/11/92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650000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4920 ± 150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55.67 ± 1.98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OB3903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369 ± 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1.13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OB3903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12/05/93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364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1.18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50.1 ± 2.3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689 ± 20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OB9636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16300 ± 400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1.09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CA3829" w:rsidRPr="00666B76" w:rsidTr="00CA3829">
        <w:trPr>
          <w:trHeight w:val="255"/>
        </w:trPr>
        <w:tc>
          <w:tcPr>
            <w:tcW w:w="856" w:type="dxa"/>
            <w:shd w:val="clear" w:color="auto" w:fill="auto"/>
            <w:noWrap/>
            <w:vAlign w:val="bottom"/>
            <w:hideMark/>
          </w:tcPr>
          <w:p w:rsidR="00CA3829" w:rsidRPr="00666B76" w:rsidRDefault="00CA3829" w:rsidP="00CA3829">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CA3829" w:rsidRPr="00666B76" w:rsidRDefault="00CA3829" w:rsidP="00CA3829">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CA3829" w:rsidRPr="00666B76" w:rsidRDefault="00CA3829" w:rsidP="00CA3829">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CA3829" w:rsidRPr="00666B76" w:rsidRDefault="00CA3829" w:rsidP="00CA3829">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CA3829" w:rsidRPr="00666B76" w:rsidRDefault="00CA3829" w:rsidP="00CA3829">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CA3829" w:rsidRPr="00666B76" w:rsidRDefault="00CA3829" w:rsidP="00CA3829">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CA3829" w:rsidRPr="00666B76" w:rsidRDefault="00CA3829" w:rsidP="00CA3829">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CA3829" w:rsidRPr="00666B76" w:rsidRDefault="00CA3829" w:rsidP="00CA3829">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CA3829" w:rsidRPr="00666B76" w:rsidRDefault="00CA3829" w:rsidP="00CA3829">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CA3829" w:rsidRPr="00666B76" w:rsidRDefault="00CA3829" w:rsidP="00CA3829">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CA3829" w:rsidRPr="00666B76" w:rsidRDefault="00CA3829" w:rsidP="00CA3829">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CA3829" w:rsidRPr="00666B76" w:rsidRDefault="00CA3829" w:rsidP="00CA3829">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CA3829" w:rsidRPr="00666B76" w:rsidRDefault="00CA3829" w:rsidP="00CA3829">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CA3829" w:rsidRPr="00666B76" w:rsidRDefault="00CA3829" w:rsidP="00CA3829">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CA3829" w:rsidRPr="00666B76" w:rsidRDefault="00CA3829" w:rsidP="00CA3829">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CA3829" w:rsidRPr="00666B76" w:rsidRDefault="00CA3829" w:rsidP="00CA3829">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818 ± 28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1.12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9350 ± 230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1.07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OB9803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OB13A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4970 ± 170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1.05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4/11/88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62.16 ± 3.62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71.89 ± 2.8</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53.51 ± 11.59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53.81 ± 2.41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76.5 ± 4.8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48.8 ± 1.68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460000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57.58 ± 1.78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25/11/92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43000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120000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580000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47.54 ± 1.7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14/05/93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46.6 ± 1.6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120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1.37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47.9 ± 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1.89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 xml:space="preserve">OB15 </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70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1.79 ± 0.06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6/09/88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73.2 ± 37.4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76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68.65 ± 2.86</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4/11/88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77.1 ± 33.8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38 ± 7</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80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83.4 ± 2.4</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103 ± 2.9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46 ± 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30 ± 12</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98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98.73 ± 2.26</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OB9021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81 ± 20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105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OB0915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699 ± 22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1.06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211.3 ± 16.1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OB1904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80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1.34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60.7 ± 1.9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14/11/91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37.3 ± 2.6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OB2907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129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1.34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38.9 ± 1.5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24/11/92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96000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240000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1200000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29.55 ± 1.14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12/05/93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35.4 ± 2.5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OB9615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174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1.27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416 ± 14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1.18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RN022927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213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61.4 ± 40.9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63.1 ± 3.5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CA3829" w:rsidRPr="00666B76" w:rsidTr="00CA3829">
        <w:trPr>
          <w:trHeight w:val="255"/>
        </w:trPr>
        <w:tc>
          <w:tcPr>
            <w:tcW w:w="856" w:type="dxa"/>
            <w:shd w:val="clear" w:color="auto" w:fill="auto"/>
            <w:noWrap/>
            <w:vAlign w:val="bottom"/>
            <w:hideMark/>
          </w:tcPr>
          <w:p w:rsidR="00CA3829" w:rsidRPr="00666B76" w:rsidRDefault="00CA3829" w:rsidP="00CA3829">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CA3829" w:rsidRPr="00666B76" w:rsidRDefault="00CA3829" w:rsidP="00CA3829">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CA3829" w:rsidRPr="00666B76" w:rsidRDefault="00CA3829" w:rsidP="00CA3829">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CA3829" w:rsidRPr="00666B76" w:rsidRDefault="00CA3829" w:rsidP="00CA3829">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CA3829" w:rsidRPr="00666B76" w:rsidRDefault="00CA3829" w:rsidP="00CA3829">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CA3829" w:rsidRPr="00666B76" w:rsidRDefault="00CA3829" w:rsidP="00CA3829">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CA3829" w:rsidRPr="00666B76" w:rsidRDefault="00CA3829" w:rsidP="00CA3829">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CA3829" w:rsidRPr="00666B76" w:rsidRDefault="00CA3829" w:rsidP="00CA3829">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CA3829" w:rsidRPr="00666B76" w:rsidRDefault="00CA3829" w:rsidP="00CA3829">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CA3829" w:rsidRPr="00666B76" w:rsidRDefault="00CA3829" w:rsidP="00CA3829">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CA3829" w:rsidRPr="00666B76" w:rsidRDefault="00CA3829" w:rsidP="00CA3829">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CA3829" w:rsidRPr="00666B76" w:rsidRDefault="00CA3829" w:rsidP="00CA3829">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CA3829" w:rsidRPr="00666B76" w:rsidRDefault="00CA3829" w:rsidP="00CA3829">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CA3829" w:rsidRPr="00666B76" w:rsidRDefault="00CA3829" w:rsidP="00CA3829">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CA3829" w:rsidRPr="00666B76" w:rsidRDefault="00CA3829" w:rsidP="00CA3829">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CA3829" w:rsidRPr="00666B76" w:rsidRDefault="00CA3829" w:rsidP="00CA3829">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OB9026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33.2 ± 16.3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64.9 ± 2.1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123.1 ± 3.7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60.7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6360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47</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2050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7190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31700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920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64.3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2.27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29.7 ± 1.9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1.662 ± 0.103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24.1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5240.037</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1730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8820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36800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1780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29.8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5.26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63.6 ± 2.9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1.379 ± 0.055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25.2 ± 1.2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25/05/01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35.9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5160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32</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8440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35400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1240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2.83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28.9 ± 1.6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1.736 ± 0.099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28.6 ± 1.3</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1.829 ± 0.079</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20.5 ± 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26.8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34700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6500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29.3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7.02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2.1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86.1 ± 3.1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1.347 ± 0.035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23.5 ± 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OB8020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7/09/88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OB18A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6.3 ± 0.3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 ± 0.09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69 ± 31</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74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OB18A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65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30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200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143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16200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395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4460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285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21600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3580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68.3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16.6 ± 0.8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1.64 ± 0.09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15.3 ± 0.7</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1.636 ± 0.081</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30.0 ± 2.0</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141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16400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4490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23000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209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5150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67.6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2.89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34 ± 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1.08 ± 0.047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180 ± 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143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16100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27</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22400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197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22200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5680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70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1.61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15.1 ± 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1.139 ± 0.079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145 ± 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RN026589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114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24800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23800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17.1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26400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 ± 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1.083 ± 0.062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79 ± 2.6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OB1909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35.1 ± 2.5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OB1909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0.7 ± 0.2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 ± 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38.3 ± 1.4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4.9 ± 0.2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1.16 ± 0.06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181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4460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24300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3930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5840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1160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360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49.4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0.58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1.35 ± 0.10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1.121 ± 0.115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163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4160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7230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4050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6180.253</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1020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45.7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0.77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8.79 ± 0.36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0.979 ± 0.046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26.9 ± 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25/05/01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175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3540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10000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3750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989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10700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220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1.1 ± 0.11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1.161 ± 0.163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179 ± 10</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145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3900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10000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1080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42.6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1.08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9.42 ± 0.78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1.171 ± 0.113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21.8 ± 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169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3800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21000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1100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45.1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0.78 ± 0.12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1.603 ± 0.305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24.2 ± 0.9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175.0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5310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20500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4020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6720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1160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38.7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0.042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0.278 ± 0.073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1.447 ± 0.48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7.67 ± 0.33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120.9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3170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16600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3205</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4740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803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8460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30.3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0.031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0.626 ± 0.11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0.956 ± 0.248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29 ± 1.2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154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18400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1090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49.9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0.321 ± 0.093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1.358 ± 0.518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26.3 ± 1.5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122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11300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7000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737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46.3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0.205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2.25 ± 0.24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1.326 ± 0.181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65.2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OB08007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5/09/08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150.5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23000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997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48.3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0.089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4.00 ± 0.52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1.076 ± 0.199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47.8 ± 1.7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16/09/09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193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23300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1240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54.3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0.087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1.13 ± 0.14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0.978 ± 0.172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41.7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RM10041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30/09/10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192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23400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1010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&lt;100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2.33 ± 0.14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1.24 ± 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40.4 ± 1.5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CA3829" w:rsidRPr="00666B76" w:rsidTr="00CA3829">
        <w:trPr>
          <w:trHeight w:val="255"/>
        </w:trPr>
        <w:tc>
          <w:tcPr>
            <w:tcW w:w="856" w:type="dxa"/>
            <w:shd w:val="clear" w:color="auto" w:fill="auto"/>
            <w:noWrap/>
            <w:vAlign w:val="bottom"/>
            <w:hideMark/>
          </w:tcPr>
          <w:p w:rsidR="00CA3829" w:rsidRPr="00666B76" w:rsidRDefault="00CA3829" w:rsidP="00CA3829">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CA3829" w:rsidRPr="00666B76" w:rsidRDefault="00CA3829" w:rsidP="00CA3829">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CA3829" w:rsidRPr="00666B76" w:rsidRDefault="00CA3829" w:rsidP="00CA3829">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CA3829" w:rsidRPr="00666B76" w:rsidRDefault="00CA3829" w:rsidP="00CA3829">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CA3829" w:rsidRPr="00666B76" w:rsidRDefault="00CA3829" w:rsidP="00CA3829">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CA3829" w:rsidRPr="00666B76" w:rsidRDefault="00CA3829" w:rsidP="00CA3829">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CA3829" w:rsidRPr="00666B76" w:rsidRDefault="00CA3829" w:rsidP="00CA3829">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CA3829" w:rsidRPr="00666B76" w:rsidRDefault="00CA3829" w:rsidP="00CA3829">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CA3829" w:rsidRPr="00666B76" w:rsidRDefault="00CA3829" w:rsidP="00CA3829">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CA3829" w:rsidRPr="00666B76" w:rsidRDefault="00CA3829" w:rsidP="00CA3829">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CA3829" w:rsidRPr="00666B76" w:rsidRDefault="00CA3829" w:rsidP="00CA3829">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CA3829" w:rsidRPr="00666B76" w:rsidRDefault="00CA3829" w:rsidP="00CA3829">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CA3829" w:rsidRPr="00666B76" w:rsidRDefault="00CA3829" w:rsidP="00CA3829">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CA3829" w:rsidRPr="00666B76" w:rsidRDefault="00CA3829" w:rsidP="00CA3829">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CA3829" w:rsidRPr="00666B76" w:rsidRDefault="00CA3829" w:rsidP="00CA3829">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CA3829" w:rsidRPr="00666B76" w:rsidRDefault="00CA3829" w:rsidP="00CA3829">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20/09/11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1100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41 ± 1.4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1120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46.2 ± 2.1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180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16000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17.5 ± 12.6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41.2 ± 1.6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16/09/03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15.2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15900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21.2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16100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700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40.7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0.8</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1.82 ± 0.15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1.518 ± 0.153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8.39 ± 0.34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15.6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11800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332</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1320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18000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26.4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19500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37.7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1.07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3.61 ± 0.24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1.606 ± 0.124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20.1 ± 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14.5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9450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245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1210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16100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17.9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16500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37.1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3.56 ± 0.25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1.644 ± 0.136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8.39 ± 0.33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20.4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15200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19.4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39.9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5.77 ± 0.32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1.696 ± 0.108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14.2 ± 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OB08004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4/09/08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11.9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150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8600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24.0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2.90 ± 0.17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1.464 ± 0.105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13.6 ± 1.2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16.8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440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16600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16300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46.7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3.08 ± 0.19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1.604 ± 0.117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13.3 ± 0.5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RM10042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30/09/10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16.8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10000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16100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20.3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2.18 ± 0.14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1.62 ± 0.13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10.8 ± 0.5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1200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16300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500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0.60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7.75 ± 0.71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1.353 ± 0.156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35 ± 1.4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54</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15000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0.60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46.7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16/09/03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26.4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18600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20600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449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16900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500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61.8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2.02 ± 0.2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2.504 ± 0.273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94.4 ± 2.5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25.0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25800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175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2390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22200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352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21100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58.9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1.69 ± 0.15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2.204 ± 0.22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378 ± 15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24.3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22500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146</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2240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19300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298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17500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62.1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1.94 ± 0.15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2.138 ± 0.196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225 ± 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30.2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19900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19000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349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18100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67.5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0.085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1.00 ± 0.11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2.192 ± 0.301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246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18400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19100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347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59.7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5.79 ± 0.38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1.302 ± 0.104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77.7 ± 3.3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OB08003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3/09/08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29.5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18500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18900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353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17500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60.8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5.44 ± 0.78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1.253 ± 0.242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219 ± 10</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16/09/09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29.8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18200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2400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19500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320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18000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2.24 ± 0.18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2.001 ± 0.189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209 ± 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RM10039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28/09/10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28.6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20600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240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19000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292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&lt;100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0.155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1.62 ± 0.12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1.53 ± 0.14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312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19600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20100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375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16800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3100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90.6 ± 2.4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OB21A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16000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29</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17000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240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68.8 ± 3.7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21/11/84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22.6 ± 0.5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12/07/88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65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1.15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OB8018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7/09/88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98 ± 32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87 ± 27</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131.1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311 ± 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1.13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348 ± 35</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196.6 ± 4.6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35 ± 18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228.1 ± 2.8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OB1908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 ± 0.6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1.13 ± 0.12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102.9 ± 4.7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CA3829" w:rsidRPr="00666B76" w:rsidTr="00CA3829">
        <w:trPr>
          <w:trHeight w:val="255"/>
        </w:trPr>
        <w:tc>
          <w:tcPr>
            <w:tcW w:w="856" w:type="dxa"/>
            <w:shd w:val="clear" w:color="auto" w:fill="auto"/>
            <w:noWrap/>
            <w:vAlign w:val="bottom"/>
            <w:hideMark/>
          </w:tcPr>
          <w:p w:rsidR="00CA3829" w:rsidRPr="00666B76" w:rsidRDefault="00CA3829" w:rsidP="00CA3829">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CA3829" w:rsidRPr="00666B76" w:rsidRDefault="00CA3829" w:rsidP="00CA3829">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CA3829" w:rsidRPr="00666B76" w:rsidRDefault="00CA3829" w:rsidP="00CA3829">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CA3829" w:rsidRPr="00666B76" w:rsidRDefault="00CA3829" w:rsidP="00CA3829">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CA3829" w:rsidRPr="00666B76" w:rsidRDefault="00CA3829" w:rsidP="00CA3829">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CA3829" w:rsidRPr="00666B76" w:rsidRDefault="00CA3829" w:rsidP="00CA3829">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CA3829" w:rsidRPr="00666B76" w:rsidRDefault="00CA3829" w:rsidP="00CA3829">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CA3829" w:rsidRPr="00666B76" w:rsidRDefault="00CA3829" w:rsidP="00CA3829">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CA3829" w:rsidRPr="00666B76" w:rsidRDefault="00CA3829" w:rsidP="00CA3829">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CA3829" w:rsidRPr="00666B76" w:rsidRDefault="00CA3829" w:rsidP="00CA3829">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CA3829" w:rsidRPr="00666B76" w:rsidRDefault="00CA3829" w:rsidP="00CA3829">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CA3829" w:rsidRPr="00666B76" w:rsidRDefault="00CA3829" w:rsidP="00CA3829">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CA3829" w:rsidRPr="00666B76" w:rsidRDefault="00CA3829" w:rsidP="00CA3829">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CA3829" w:rsidRPr="00666B76" w:rsidRDefault="00CA3829" w:rsidP="00CA3829">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CA3829" w:rsidRPr="00666B76" w:rsidRDefault="00CA3829" w:rsidP="00CA3829">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CA3829" w:rsidRPr="00666B76" w:rsidRDefault="00CA3829" w:rsidP="00CA3829">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65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1.25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22.6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17200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196</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2640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9460.259</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151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44600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550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18.3 ± 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 ± 0.069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22.9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17000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19</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171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45500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220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50.1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16.4 ± 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1.035 ± 0.068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139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23/05/01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25.3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17100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24</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2660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8700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32.1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48800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300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61.5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3.82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41.9 ± 1.8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1.092 ± 0.044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40.7 ± 1.7</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1.168 ± 0.053</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50.7 ± 1.8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22.8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26000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178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49100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300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62.5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5.2 ± 0.3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1.08 ± 0.081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101 ± 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17.3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29700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167</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2670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13500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183.4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45500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40.8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0.080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0.74 ± 0.11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3.016 ± 0.499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285 ± 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17.7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27900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138</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2640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12200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175.6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49700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42.2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0.063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0.76 ± 0.12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1.978 ± 0.375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179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19.8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24000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203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44400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50.3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0.097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1.01 ± 0.13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1.805 ± 0.281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179 ± 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22.6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24400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80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128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40600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49.7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2.54 ± 0.20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1.751 ± 0.164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118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OB08005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4/09/08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19.7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23900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250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188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44900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47.8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1.03 ± 0.17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1.948 ± 0.371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172 ± 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23/09/09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20.8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24100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12100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219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44600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53.2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0.084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1.12 ± 0.12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1.677 ± 0.233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177 ± 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RM10038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28/09/10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25200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185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300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2.84 ± 0.18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 ± 0.11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236 ± 11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25300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130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45700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900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3.29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37.9 ± 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1.257 ± 0.056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58.3 ± 2.2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OB23</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RN022937</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22000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61</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130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44000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62.1 ± 3.1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55 ± 27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9.27 ± 3.76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23.5 ± 1.4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OB9618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 ± 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1.76 ± 0.12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8310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13</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1330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20300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19400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1480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26.3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0.94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15.5</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12.3 ± 0.7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1.827 ± 0.115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14.9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17200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2170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22300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89.3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25000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500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3.95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44.6 ± 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1.266 ± 0.039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18.6 ± 0.9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23/05/01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20.7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20100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27</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2270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188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24400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470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48.4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1.63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18.5 ± 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1.503 ± 0.091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34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16.6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29500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21900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230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24700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900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46.9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0.52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5.8 ± 0.3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1.789 ± 0.108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50.5 ± 2.1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6/07/88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339 ± 11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OB8017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6/09/88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527 ± 48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516 ± 44</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312.9 ± 4.2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OB8023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4/11/88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470 ± 46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469 ± 14</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424.1 ± 4.8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410.5 ± 4.8</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23/01/89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236 ± 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207 ± 17</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375.6 ± 4.5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375.3 ± 3.9</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133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26500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85.9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700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48.6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1.49 ± 0.16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1.471 ± 0.204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13.3 ± 0.6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132.6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10700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245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981</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33900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141.7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19800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50.1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1.14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5.03 ± 0.27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1.608 ± 0.097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22.5 ± 1.9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106.5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5640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138</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775</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23000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58.4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36.6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4.41 ± 0.28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1.607 ± 0.121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8.99 ± 0.37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122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240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24200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84.4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48.2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1.79 ± 0.324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2.163 ± 0.453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10.5 ± 0.6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59.6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56.7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22.6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2.473 ± 0.22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1.45 ± 0.159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9.73 ± 0.52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CA3829" w:rsidRPr="00666B76" w:rsidTr="00CA3829">
        <w:trPr>
          <w:trHeight w:val="255"/>
        </w:trPr>
        <w:tc>
          <w:tcPr>
            <w:tcW w:w="856" w:type="dxa"/>
            <w:shd w:val="clear" w:color="auto" w:fill="auto"/>
            <w:noWrap/>
            <w:vAlign w:val="bottom"/>
            <w:hideMark/>
          </w:tcPr>
          <w:p w:rsidR="00CA3829" w:rsidRPr="00666B76" w:rsidRDefault="00CA3829" w:rsidP="00CA3829">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CA3829" w:rsidRPr="00666B76" w:rsidRDefault="00CA3829" w:rsidP="00CA3829">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CA3829" w:rsidRPr="00666B76" w:rsidRDefault="00CA3829" w:rsidP="00CA3829">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CA3829" w:rsidRPr="00666B76" w:rsidRDefault="00CA3829" w:rsidP="00CA3829">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CA3829" w:rsidRPr="00666B76" w:rsidRDefault="00CA3829" w:rsidP="00CA3829">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CA3829" w:rsidRPr="00666B76" w:rsidRDefault="00CA3829" w:rsidP="00CA3829">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CA3829" w:rsidRPr="00666B76" w:rsidRDefault="00CA3829" w:rsidP="00CA3829">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CA3829" w:rsidRPr="00666B76" w:rsidRDefault="00CA3829" w:rsidP="00CA3829">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CA3829" w:rsidRPr="00666B76" w:rsidRDefault="00CA3829" w:rsidP="00CA3829">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CA3829" w:rsidRPr="00666B76" w:rsidRDefault="00CA3829" w:rsidP="00CA3829">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CA3829" w:rsidRPr="00666B76" w:rsidRDefault="00CA3829" w:rsidP="00CA3829">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CA3829" w:rsidRPr="00666B76" w:rsidRDefault="00CA3829" w:rsidP="00CA3829">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CA3829" w:rsidRPr="00666B76" w:rsidRDefault="00CA3829" w:rsidP="00CA3829">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CA3829" w:rsidRPr="00666B76" w:rsidRDefault="00CA3829" w:rsidP="00CA3829">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CA3829" w:rsidRPr="00666B76" w:rsidRDefault="00CA3829" w:rsidP="00CA3829">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CA3829" w:rsidRPr="00666B76" w:rsidRDefault="00CA3829" w:rsidP="00CA3829">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15/09/09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66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70.9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31.7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0.5</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3.49 ± 0.19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1.229 ± 0.086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10.3 ± 0.5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RM10036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27/09/10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63.2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80.9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36600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0.97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10.3 ± 0.5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1.26 ± 0.08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7.11 ± 0.46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6.18 ± 0.41</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18200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64.7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10000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30100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72.9 ± 2.3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53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7</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RN023939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39.7 ± 18.4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97.3 ± 2.55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RN023939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12.8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16500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16</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3510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15000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63.1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400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101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0.68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9.38 ± 0.87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1.252 ± 0.155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RN023939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15.6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14000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2780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15800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250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88.1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14.6 ± 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1.367 ± 0.095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16.1 ± 1</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1.103 ± 0.086</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18.4 ± 0.8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179 ± 27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165 ± 13</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23.04 ± 2.1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170 ± 17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84.4 ± 2.3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139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1.28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97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1.38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40.7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10400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2410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104000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7490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82700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77.6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59.9 ± 2.5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1.307 ± 0.051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2020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106000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7010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92000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74.5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59.2 ± 2.9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1.24 ± 0.06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20.9 ± 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25/05/01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39.7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5880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1930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105000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5980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99900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69.7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0.60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29.8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1.403 ± 0.063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37 ± 1.6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31/05/02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40.8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11200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5000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90300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243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47000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55.6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360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2860 ± 90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1.113 ± 0.035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406 ± 30</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31 ± 17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29.1 ± 1.8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18.6 ± 0.6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1.28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136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5270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491</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3950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16400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31.5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17200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46.9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1.05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31.6 ± 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1.219 ± 0.056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181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4830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4160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19600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20200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18200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48.2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1.90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24.6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1.155 ± 0.057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22.2 ± 0.9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179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4340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22800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19200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23500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55.3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19 ± 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1.164 ± 0.059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31.5 ± 1.9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OB2A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RN022904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144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28800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3.14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119000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2.49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1.8</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22.9 ± 1.3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1.311 ± 0.081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17.4 ± 0.5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76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19.6 ± 1.9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OB9916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8680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33</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683</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47600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&lt;R.L.</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2750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2690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16.4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20.6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4.0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305 ± 22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1.07</w:t>
            </w:r>
            <w:r w:rsidR="00CA3829">
              <w:rPr>
                <w:rFonts w:ascii="Calibri" w:hAnsi="Calibri" w:cs="Calibri"/>
                <w:sz w:val="16"/>
                <w:szCs w:val="16"/>
                <w:lang w:eastAsia="en-AU"/>
              </w:rPr>
              <w:t>0</w:t>
            </w:r>
            <w:r w:rsidRPr="00666B76">
              <w:rPr>
                <w:rFonts w:ascii="Calibri" w:hAnsi="Calibri" w:cs="Calibri"/>
                <w:sz w:val="16"/>
                <w:szCs w:val="16"/>
                <w:lang w:eastAsia="en-AU"/>
              </w:rPr>
              <w:t xml:space="preserve"> ± 0.031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10.4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9670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618</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49900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2660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4050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15.2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22.7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257 ± 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1.102 ± 0.039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280 ± 12</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1.05 ± 0.02</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6.98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25/05/01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11.8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7260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24</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648</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45300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2610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4840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15.1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17.5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198 ± 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w:t>
            </w:r>
            <w:r w:rsidR="00CA3829">
              <w:rPr>
                <w:rFonts w:ascii="Calibri" w:hAnsi="Calibri" w:cs="Calibri"/>
                <w:sz w:val="16"/>
                <w:szCs w:val="16"/>
                <w:lang w:eastAsia="en-AU"/>
              </w:rPr>
              <w:t>00</w:t>
            </w:r>
            <w:r w:rsidRPr="00666B76">
              <w:rPr>
                <w:rFonts w:ascii="Calibri" w:hAnsi="Calibri" w:cs="Calibri"/>
                <w:sz w:val="16"/>
                <w:szCs w:val="16"/>
                <w:lang w:eastAsia="en-AU"/>
              </w:rPr>
              <w:t xml:space="preserve"> ± 0.048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228 ± 9</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1.029 ± 0.044</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7.38 ± 1.33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27/05/02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7.3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11200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52200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0.44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24900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264 ± 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1.054 ± 0.034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1.82 ± 0.72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266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1.02 ± 0.056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3.63 ± 0.88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8.32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10900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51700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21600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14.9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20.5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241 ± 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1.052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2.68 ± 0.86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15000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27</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734</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62800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3430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7300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14.9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187 ± 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1.082 ± 0.028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1.76 ± 0.22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12300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673</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55200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13.8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12.0</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150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1.05 ± 0.043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2.32 ± 0.19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CA3829" w:rsidRPr="00666B76" w:rsidTr="00CA3829">
        <w:trPr>
          <w:trHeight w:val="255"/>
        </w:trPr>
        <w:tc>
          <w:tcPr>
            <w:tcW w:w="856" w:type="dxa"/>
            <w:shd w:val="clear" w:color="auto" w:fill="auto"/>
            <w:noWrap/>
            <w:vAlign w:val="bottom"/>
            <w:hideMark/>
          </w:tcPr>
          <w:p w:rsidR="00CA3829" w:rsidRPr="00666B76" w:rsidRDefault="00CA3829" w:rsidP="00CA3829">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CA3829" w:rsidRPr="00666B76" w:rsidRDefault="00CA3829" w:rsidP="00CA3829">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CA3829" w:rsidRPr="00666B76" w:rsidRDefault="00CA3829" w:rsidP="00CA3829">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CA3829" w:rsidRPr="00666B76" w:rsidRDefault="00CA3829" w:rsidP="00CA3829">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CA3829" w:rsidRPr="00666B76" w:rsidRDefault="00CA3829" w:rsidP="00CA3829">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CA3829" w:rsidRPr="00666B76" w:rsidRDefault="00CA3829" w:rsidP="00CA3829">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CA3829" w:rsidRPr="00666B76" w:rsidRDefault="00CA3829" w:rsidP="00CA3829">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CA3829" w:rsidRPr="00666B76" w:rsidRDefault="00CA3829" w:rsidP="00CA3829">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CA3829" w:rsidRPr="00666B76" w:rsidRDefault="00CA3829" w:rsidP="00CA3829">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CA3829" w:rsidRPr="00666B76" w:rsidRDefault="00CA3829" w:rsidP="00CA3829">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CA3829" w:rsidRPr="00666B76" w:rsidRDefault="00CA3829" w:rsidP="00CA3829">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CA3829" w:rsidRPr="00666B76" w:rsidRDefault="00CA3829" w:rsidP="00CA3829">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CA3829" w:rsidRPr="00666B76" w:rsidRDefault="00CA3829" w:rsidP="00CA3829">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CA3829" w:rsidRPr="00666B76" w:rsidRDefault="00CA3829" w:rsidP="00CA3829">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CA3829" w:rsidRPr="00666B76" w:rsidRDefault="00CA3829" w:rsidP="00CA3829">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CA3829" w:rsidRPr="00666B76" w:rsidRDefault="00CA3829" w:rsidP="00CA3829">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CA3829" w:rsidRPr="00666B76" w:rsidRDefault="00CA3829" w:rsidP="00CA3829">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CA3829" w:rsidRPr="00666B76" w:rsidRDefault="00CA3829" w:rsidP="00CA3829">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CA3829" w:rsidRPr="00666B76" w:rsidRDefault="00CA3829" w:rsidP="00CA3829">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15/09/06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9.8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12900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58800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18.3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18.1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3.5</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215 ± 10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1.089 ± 0.026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 ± 0.4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10.4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13500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60800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2.77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207 ± 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1.093 ± 0.029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3.76 ± 0.36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OB08002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2/09/08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9.7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12600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&lt;50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56700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6.25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17.0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3.5</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192 ± 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 ± 0.029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2.69 ± 0.48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15/09/09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11700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60400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6.14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17.3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152 ± 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1.093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4.02 ± 0.31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RM10040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29/09/10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12300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55300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28400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151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1.07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5.13 ± 0.57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2.43 ± 0.35</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12400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54600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17.7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31300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165 ± 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1.115 ± 0.041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22.9 ± 1.1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OB30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RN022941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11000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50000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30.2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OB9036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67 ± 19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48.71 ± 2.16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OB1914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72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1.44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32.92 ± 1.09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OB2909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69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1.49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49.51 ± 2.15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OB3906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14/05/93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88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46 ± 3.07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98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120 ± 13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 ± 0.09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128 ± 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1.38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98 ± 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1.41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29/05/01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38.7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72200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67</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7030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258000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5.7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60200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301000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224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5.48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3.6</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138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1.461 ± 0.055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132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28/05/02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OB44</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RN026593</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49.4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154000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7800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417000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18.4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77200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1770000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315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4.2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150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1.441 ± 0.031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134 ± 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OB9047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755EEA">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29880±1300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24350 ± 280</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1.22 ± 0.01</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2930 ± 150</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3228 ± 19</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OB9048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14 ± 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1.42 ± 0.26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39.2 ± 5.1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1/08/90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11.1 ± 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OB47</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18.2 ± 1.9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OB9049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54 ± 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1.19 ± 0.13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55.9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7/08/90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50.2 ± 2.9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OB9050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941 ± 50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1.63 ± 0.06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953 ± 50</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89 ± 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7/08/90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112.3 ± 5.4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8/07/88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12.76 ± 0.52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1.522 ± 0.073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117.9 ± 3.2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5/01/89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81.54 ± 3.42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86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75.26 ± 3.67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82.16 ± 4.18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755EEA" w:rsidRPr="00666B76" w:rsidTr="001C6584">
        <w:trPr>
          <w:trHeight w:val="255"/>
        </w:trPr>
        <w:tc>
          <w:tcPr>
            <w:tcW w:w="856" w:type="dxa"/>
            <w:shd w:val="clear" w:color="auto" w:fill="auto"/>
            <w:noWrap/>
            <w:vAlign w:val="bottom"/>
            <w:hideMark/>
          </w:tcPr>
          <w:p w:rsidR="00755EEA" w:rsidRPr="00666B76" w:rsidRDefault="00755EEA" w:rsidP="001C6584">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755EEA" w:rsidRPr="00666B76" w:rsidRDefault="00755EEA" w:rsidP="001C6584">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755EEA" w:rsidRPr="00666B76" w:rsidRDefault="00755EEA" w:rsidP="001C6584">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755EEA" w:rsidRPr="00666B76" w:rsidRDefault="00755EEA" w:rsidP="001C6584">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755EEA" w:rsidRPr="00666B76" w:rsidRDefault="00755EEA" w:rsidP="001C6584">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755EEA" w:rsidRPr="00666B76" w:rsidRDefault="00755EEA" w:rsidP="001C6584">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755EEA" w:rsidRPr="00666B76" w:rsidRDefault="00755EEA" w:rsidP="001C6584">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755EEA" w:rsidRPr="00666B76" w:rsidRDefault="00755EEA" w:rsidP="001C6584">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755EEA" w:rsidRPr="00666B76" w:rsidRDefault="00755EEA" w:rsidP="001C6584">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755EEA" w:rsidRPr="00666B76" w:rsidRDefault="00755EEA" w:rsidP="001C6584">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755EEA" w:rsidRPr="00666B76" w:rsidRDefault="00755EEA" w:rsidP="001C6584">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755EEA" w:rsidRPr="00666B76" w:rsidRDefault="00755EEA" w:rsidP="001C6584">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755EEA" w:rsidRPr="00666B76" w:rsidRDefault="00755EEA" w:rsidP="001C6584">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755EEA" w:rsidRPr="00666B76" w:rsidRDefault="00755EEA" w:rsidP="001C6584">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755EEA" w:rsidRPr="00666B76" w:rsidRDefault="00755EEA" w:rsidP="001C6584">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755EEA" w:rsidRPr="00666B76" w:rsidRDefault="00755EEA" w:rsidP="001C6584">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755EEA" w:rsidRPr="00666B76" w:rsidRDefault="00755EEA" w:rsidP="001C6584">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755EEA" w:rsidRPr="00666B76" w:rsidRDefault="00755EEA" w:rsidP="001C6584">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755EEA" w:rsidRPr="00666B76" w:rsidRDefault="00755EEA" w:rsidP="001C6584">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755EEA" w:rsidRPr="00666B76" w:rsidRDefault="00755EEA" w:rsidP="001C6584">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755EEA" w:rsidRPr="00666B76" w:rsidRDefault="00755EEA" w:rsidP="001C6584">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755EEA" w:rsidRPr="00666B76" w:rsidRDefault="00755EEA" w:rsidP="001C6584">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13/11/91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112.95 ± 3.34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118.61 ± 4.22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18.9 ± 1.4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0.97 ± 0.11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16.2 ± 0.4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1.44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OB9804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408 ± 10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1.07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40.3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180000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118000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20100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291000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6070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47600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450000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1500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6.59 ± 0.59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1.009 ± 0.133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42.8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135000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46300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16400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256000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3480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44200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399000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1150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19.2 ± 0.8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1.017 ± 0.049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63.8 ± 2.6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31/05/01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OB4A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RN22908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49.4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215000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72600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19800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378000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7940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48400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574000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1760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8.28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143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0.974 ± 0.044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201 ± 10</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OB9051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OB50</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578 ± 32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1.09 ± 0.05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585 ± 33</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213 ± 15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OB9052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OB51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332 ± 21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1.35 ± 0.08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336 ± 21</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90.2 ± 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7/08/90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OB51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62.8 ± 2.8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52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43700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122</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5870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134000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45.3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49000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156000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53.5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170 ± 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1.546 ± 0.059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183 ± 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OB8019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7/09/88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665 ± 55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368.4 ± 5.2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OB8027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418 ± 46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389.8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334 ± 34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303 ± 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184 ± 31.2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298.2 ± 4.5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OB9039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360 ± 29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414.5 ± 3.9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OB1911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222 ± 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1.74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281.06 ± 8.06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13/11/91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341.87 ± 8.94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307.23 ± 8.07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25/11/92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110000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323.9 ± 10.2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13/05/93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270.4 ± 9.1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628 ± 18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1.65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468 ± 16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1.75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338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1.77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OB9805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850 ± 29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1.26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77.3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70500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8320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105000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578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65700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130000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110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26.6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348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1.898 ± 0.046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755EEA" w:rsidRPr="00666B76" w:rsidTr="001C6584">
        <w:trPr>
          <w:trHeight w:val="255"/>
        </w:trPr>
        <w:tc>
          <w:tcPr>
            <w:tcW w:w="856" w:type="dxa"/>
            <w:shd w:val="clear" w:color="auto" w:fill="auto"/>
            <w:noWrap/>
            <w:vAlign w:val="bottom"/>
            <w:hideMark/>
          </w:tcPr>
          <w:p w:rsidR="00755EEA" w:rsidRPr="00666B76" w:rsidRDefault="00755EEA" w:rsidP="001C6584">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755EEA" w:rsidRPr="00666B76" w:rsidRDefault="00755EEA" w:rsidP="001C6584">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755EEA" w:rsidRPr="00666B76" w:rsidRDefault="00755EEA" w:rsidP="001C6584">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755EEA" w:rsidRPr="00666B76" w:rsidRDefault="00755EEA" w:rsidP="001C6584">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755EEA" w:rsidRPr="00666B76" w:rsidRDefault="00755EEA" w:rsidP="001C6584">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755EEA" w:rsidRPr="00666B76" w:rsidRDefault="00755EEA" w:rsidP="001C6584">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755EEA" w:rsidRPr="00666B76" w:rsidRDefault="00755EEA" w:rsidP="001C6584">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755EEA" w:rsidRPr="00666B76" w:rsidRDefault="00755EEA" w:rsidP="001C6584">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755EEA" w:rsidRPr="00666B76" w:rsidRDefault="00755EEA" w:rsidP="001C6584">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755EEA" w:rsidRPr="00666B76" w:rsidRDefault="00755EEA" w:rsidP="001C6584">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755EEA" w:rsidRPr="00666B76" w:rsidRDefault="00755EEA" w:rsidP="001C6584">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755EEA" w:rsidRPr="00666B76" w:rsidRDefault="00755EEA" w:rsidP="001C6584">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755EEA" w:rsidRPr="00666B76" w:rsidRDefault="00755EEA" w:rsidP="001C6584">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755EEA" w:rsidRPr="00666B76" w:rsidRDefault="00755EEA" w:rsidP="001C6584">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755EEA" w:rsidRPr="00666B76" w:rsidRDefault="00755EEA" w:rsidP="001C6584">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755EEA" w:rsidRPr="00666B76" w:rsidRDefault="00755EEA" w:rsidP="001C6584">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755EEA" w:rsidRPr="00666B76" w:rsidRDefault="00755EEA" w:rsidP="001C6584">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755EEA" w:rsidRPr="00666B76" w:rsidRDefault="00755EEA" w:rsidP="001C6584">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755EEA" w:rsidRPr="00666B76" w:rsidRDefault="00755EEA" w:rsidP="001C6584">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755EEA" w:rsidRPr="00666B76" w:rsidRDefault="00755EEA" w:rsidP="001C6584">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755EEA" w:rsidRPr="00666B76" w:rsidRDefault="00755EEA" w:rsidP="001C6584">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755EEA" w:rsidRPr="00666B76" w:rsidRDefault="00755EEA" w:rsidP="001C6584">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69.1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82300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8780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132000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781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54500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164000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125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295 ± 14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1.731 ± 0.061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367 ± 18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25/05/01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52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85800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8260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119000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757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54100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168000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23.2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284 ± 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1.986 ± 0.057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1047 ± 29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30/05/02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43.2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123000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8700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161000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637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62700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786000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124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50.2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3.9</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507 ± 22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1.937 ± 0.073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625 ± 29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OB2910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OB79/6A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121.4 ± 4.2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1.05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62.3 ± 1.3</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1.12 ± 0.02</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OB79B</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38 ± 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1.12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OB9038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35.4 ± 11.2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100 ± 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51 ± 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1.34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OB9806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1410 ± 40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1.07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31.5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7740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55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5820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29100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79.0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33600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2170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35.6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6.74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83.7 ± 3.7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 xml:space="preserve">1.272 ± </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84.1 ± 0.4</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 xml:space="preserve">1.258 ± </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18/05/00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33.4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7590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5440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29800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13.9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33400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2620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34.2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49.2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678 ± 37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1.073 ± 0.026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574 ± 24</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1.138 ± 0.043</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232 ± 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OB0101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37.2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7550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4800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30200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32.8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30800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3420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32.4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5.16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&lt;3.0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65.1 ± 3.7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1.444 ± 0.097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55 ± 2</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1.458 ± 0.055</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142 ± 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OB02009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30/05/02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OB7A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RN022914</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18.4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&lt;20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4600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32400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79.3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32200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16000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33.3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2.69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28.3 ± 1.2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1.379 ± 0.063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151 ± 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47.76 ± 1.29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92.5 ± 19.5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63.45 ± 2.23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OB9019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78.2 ± 23.6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58.46 ± 2.79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8/11/90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67.11 ± 3.54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9/05/91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13 ± 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55.1 ± 1.84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14/11/91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133 ± 18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78.6 ± 1.9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6/05/92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108.4 ± 3.3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88 ± 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OB9630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130 ± 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1.32 ± 0.04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OB9708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1/11/97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830 ± 20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1.53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OB9801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172000 ± 5000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0.99 ± 0.01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OB9904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1/03/99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OB9A</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RN022918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6860 ± 270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1.05 ± 0.03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12/07/88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R.P. 79/ 1 Ranger</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RN020090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392 ± 44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8/11/89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R.P. 79/ 1 Ranger</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RN020090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118.9 ± 30.7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123 ± 29</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510.7 ± 4.8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506.2 ± 4.7</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OB9620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1/05/96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R.P. 79/ 1 Ranger</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RN020098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33 ± 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1.06 ± 0.08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OB07014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18/09/07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RN22211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RN022211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83.8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260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1300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233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3200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6.25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0.038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0.71 ± 0.10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1.398 ± 0.254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16.9 ± 0.8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17/09/09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RN22211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RN022211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50.6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700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96.7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3.03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0.034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0.40 ± 0.07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1.039 ± 0.272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11.9 ± 0.4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755EEA" w:rsidRPr="00666B76" w:rsidTr="001C6584">
        <w:trPr>
          <w:trHeight w:val="255"/>
        </w:trPr>
        <w:tc>
          <w:tcPr>
            <w:tcW w:w="856" w:type="dxa"/>
            <w:shd w:val="clear" w:color="auto" w:fill="auto"/>
            <w:noWrap/>
            <w:vAlign w:val="bottom"/>
            <w:hideMark/>
          </w:tcPr>
          <w:p w:rsidR="00755EEA" w:rsidRPr="00666B76" w:rsidRDefault="00755EEA" w:rsidP="001C6584">
            <w:pPr>
              <w:spacing w:after="0" w:line="240" w:lineRule="auto"/>
              <w:jc w:val="left"/>
              <w:rPr>
                <w:rFonts w:ascii="Calibri" w:hAnsi="Calibri" w:cs="Calibri"/>
                <w:b/>
                <w:bCs/>
                <w:sz w:val="16"/>
                <w:szCs w:val="16"/>
                <w:lang w:eastAsia="en-AU"/>
              </w:rPr>
            </w:pPr>
            <w:r w:rsidRPr="00666B76">
              <w:rPr>
                <w:rFonts w:ascii="Calibri" w:hAnsi="Calibri" w:cs="Calibri"/>
                <w:b/>
                <w:bCs/>
                <w:sz w:val="16"/>
                <w:szCs w:val="16"/>
                <w:lang w:eastAsia="en-AU"/>
              </w:rPr>
              <w:t>eriss_ID</w:t>
            </w:r>
          </w:p>
        </w:tc>
        <w:tc>
          <w:tcPr>
            <w:tcW w:w="846" w:type="dxa"/>
            <w:shd w:val="clear" w:color="auto" w:fill="auto"/>
            <w:noWrap/>
            <w:vAlign w:val="bottom"/>
            <w:hideMark/>
          </w:tcPr>
          <w:p w:rsidR="00755EEA" w:rsidRPr="00666B76" w:rsidRDefault="00755EEA" w:rsidP="001C6584">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Date</w:t>
            </w:r>
          </w:p>
        </w:tc>
        <w:tc>
          <w:tcPr>
            <w:tcW w:w="1381" w:type="dxa"/>
            <w:shd w:val="clear" w:color="auto" w:fill="auto"/>
            <w:noWrap/>
            <w:vAlign w:val="bottom"/>
            <w:hideMark/>
          </w:tcPr>
          <w:p w:rsidR="00755EEA" w:rsidRPr="00666B76" w:rsidRDefault="00755EEA" w:rsidP="001C6584">
            <w:pPr>
              <w:spacing w:after="0" w:line="240" w:lineRule="auto"/>
              <w:jc w:val="center"/>
              <w:rPr>
                <w:rFonts w:ascii="Calibri" w:hAnsi="Calibri" w:cs="Calibri"/>
                <w:b/>
                <w:bCs/>
                <w:sz w:val="16"/>
                <w:szCs w:val="16"/>
                <w:lang w:eastAsia="en-AU"/>
              </w:rPr>
            </w:pPr>
            <w:r w:rsidRPr="00666B76">
              <w:rPr>
                <w:rFonts w:ascii="Calibri" w:hAnsi="Calibri" w:cs="Calibri"/>
                <w:b/>
                <w:bCs/>
                <w:sz w:val="16"/>
                <w:szCs w:val="16"/>
                <w:lang w:eastAsia="en-AU"/>
              </w:rPr>
              <w:t>Site_ID</w:t>
            </w:r>
          </w:p>
        </w:tc>
        <w:tc>
          <w:tcPr>
            <w:tcW w:w="932" w:type="dxa"/>
            <w:shd w:val="clear" w:color="auto" w:fill="auto"/>
            <w:noWrap/>
            <w:vAlign w:val="bottom"/>
            <w:hideMark/>
          </w:tcPr>
          <w:p w:rsidR="00755EEA" w:rsidRPr="00666B76" w:rsidRDefault="00755EEA" w:rsidP="001C6584">
            <w:pPr>
              <w:spacing w:after="0" w:line="240" w:lineRule="auto"/>
              <w:ind w:left="-71" w:right="-67"/>
              <w:jc w:val="left"/>
              <w:rPr>
                <w:rFonts w:ascii="Calibri" w:hAnsi="Calibri" w:cs="Calibri"/>
                <w:b/>
                <w:bCs/>
                <w:sz w:val="16"/>
                <w:szCs w:val="16"/>
                <w:lang w:eastAsia="en-AU"/>
              </w:rPr>
            </w:pPr>
            <w:r w:rsidRPr="00666B76">
              <w:rPr>
                <w:rFonts w:ascii="Calibri" w:hAnsi="Calibri" w:cs="Calibri"/>
                <w:b/>
                <w:bCs/>
                <w:sz w:val="16"/>
                <w:szCs w:val="16"/>
                <w:lang w:eastAsia="en-AU"/>
              </w:rPr>
              <w:t>RN number</w:t>
            </w:r>
          </w:p>
        </w:tc>
        <w:tc>
          <w:tcPr>
            <w:tcW w:w="420" w:type="dxa"/>
            <w:shd w:val="clear" w:color="auto" w:fill="auto"/>
            <w:noWrap/>
            <w:vAlign w:val="bottom"/>
            <w:hideMark/>
          </w:tcPr>
          <w:p w:rsidR="00755EEA" w:rsidRPr="00666B76" w:rsidRDefault="00755EEA" w:rsidP="001C6584">
            <w:pPr>
              <w:spacing w:after="0" w:line="240" w:lineRule="auto"/>
              <w:ind w:left="-100" w:right="-61"/>
              <w:jc w:val="center"/>
              <w:rPr>
                <w:rFonts w:ascii="Calibri" w:hAnsi="Calibri" w:cs="Calibri"/>
                <w:b/>
                <w:bCs/>
                <w:sz w:val="16"/>
                <w:szCs w:val="16"/>
                <w:lang w:eastAsia="en-AU"/>
              </w:rPr>
            </w:pPr>
            <w:r w:rsidRPr="00666B76">
              <w:rPr>
                <w:rFonts w:ascii="Calibri" w:hAnsi="Calibri" w:cs="Calibri"/>
                <w:b/>
                <w:bCs/>
                <w:sz w:val="16"/>
                <w:szCs w:val="16"/>
                <w:lang w:eastAsia="en-AU"/>
              </w:rPr>
              <w:t>Ba</w:t>
            </w:r>
          </w:p>
        </w:tc>
        <w:tc>
          <w:tcPr>
            <w:tcW w:w="669" w:type="dxa"/>
            <w:shd w:val="clear" w:color="auto" w:fill="auto"/>
            <w:noWrap/>
            <w:vAlign w:val="bottom"/>
            <w:hideMark/>
          </w:tcPr>
          <w:p w:rsidR="00755EEA" w:rsidRPr="00666B76" w:rsidRDefault="00755EEA" w:rsidP="001C6584">
            <w:pPr>
              <w:spacing w:after="0" w:line="240" w:lineRule="auto"/>
              <w:ind w:left="-114" w:right="-119"/>
              <w:jc w:val="center"/>
              <w:rPr>
                <w:rFonts w:ascii="Calibri" w:hAnsi="Calibri" w:cs="Calibri"/>
                <w:b/>
                <w:bCs/>
                <w:sz w:val="16"/>
                <w:szCs w:val="16"/>
                <w:lang w:eastAsia="en-AU"/>
              </w:rPr>
            </w:pPr>
            <w:r w:rsidRPr="00666B76">
              <w:rPr>
                <w:rFonts w:ascii="Calibri" w:hAnsi="Calibri" w:cs="Calibri"/>
                <w:b/>
                <w:bCs/>
                <w:sz w:val="16"/>
                <w:szCs w:val="16"/>
                <w:lang w:eastAsia="en-AU"/>
              </w:rPr>
              <w:t>Ca</w:t>
            </w:r>
          </w:p>
        </w:tc>
        <w:tc>
          <w:tcPr>
            <w:tcW w:w="567" w:type="dxa"/>
            <w:shd w:val="clear" w:color="auto" w:fill="auto"/>
            <w:noWrap/>
            <w:vAlign w:val="bottom"/>
            <w:hideMark/>
          </w:tcPr>
          <w:p w:rsidR="00755EEA" w:rsidRPr="00666B76" w:rsidRDefault="00755EEA" w:rsidP="001C6584">
            <w:pPr>
              <w:spacing w:after="0" w:line="240" w:lineRule="auto"/>
              <w:ind w:left="-119" w:right="-102"/>
              <w:jc w:val="center"/>
              <w:rPr>
                <w:rFonts w:ascii="Calibri" w:hAnsi="Calibri" w:cs="Calibri"/>
                <w:b/>
                <w:bCs/>
                <w:sz w:val="16"/>
                <w:szCs w:val="16"/>
                <w:lang w:eastAsia="en-AU"/>
              </w:rPr>
            </w:pPr>
            <w:r w:rsidRPr="00666B76">
              <w:rPr>
                <w:rFonts w:ascii="Calibri" w:hAnsi="Calibri" w:cs="Calibri"/>
                <w:b/>
                <w:bCs/>
                <w:sz w:val="16"/>
                <w:szCs w:val="16"/>
                <w:lang w:eastAsia="en-AU"/>
              </w:rPr>
              <w:t>Fe</w:t>
            </w:r>
          </w:p>
        </w:tc>
        <w:tc>
          <w:tcPr>
            <w:tcW w:w="567" w:type="dxa"/>
            <w:shd w:val="clear" w:color="auto" w:fill="auto"/>
            <w:noWrap/>
            <w:vAlign w:val="bottom"/>
            <w:hideMark/>
          </w:tcPr>
          <w:p w:rsidR="00755EEA" w:rsidRPr="00666B76" w:rsidRDefault="00755EEA" w:rsidP="001C6584">
            <w:pPr>
              <w:spacing w:after="0" w:line="240" w:lineRule="auto"/>
              <w:ind w:left="-176" w:right="-65"/>
              <w:jc w:val="center"/>
              <w:rPr>
                <w:rFonts w:ascii="Calibri" w:hAnsi="Calibri" w:cs="Calibri"/>
                <w:b/>
                <w:bCs/>
                <w:sz w:val="16"/>
                <w:szCs w:val="16"/>
                <w:lang w:eastAsia="en-AU"/>
              </w:rPr>
            </w:pPr>
            <w:r w:rsidRPr="00666B76">
              <w:rPr>
                <w:rFonts w:ascii="Calibri" w:hAnsi="Calibri" w:cs="Calibri"/>
                <w:b/>
                <w:bCs/>
                <w:sz w:val="16"/>
                <w:szCs w:val="16"/>
                <w:lang w:eastAsia="en-AU"/>
              </w:rPr>
              <w:t>K</w:t>
            </w:r>
          </w:p>
        </w:tc>
        <w:tc>
          <w:tcPr>
            <w:tcW w:w="583" w:type="dxa"/>
            <w:shd w:val="clear" w:color="auto" w:fill="auto"/>
            <w:noWrap/>
            <w:vAlign w:val="bottom"/>
            <w:hideMark/>
          </w:tcPr>
          <w:p w:rsidR="00755EEA" w:rsidRPr="00666B76" w:rsidRDefault="00755EEA" w:rsidP="001C6584">
            <w:pPr>
              <w:spacing w:after="0" w:line="240" w:lineRule="auto"/>
              <w:ind w:left="-151" w:right="-91"/>
              <w:jc w:val="center"/>
              <w:rPr>
                <w:rFonts w:ascii="Calibri" w:hAnsi="Calibri" w:cs="Calibri"/>
                <w:b/>
                <w:bCs/>
                <w:sz w:val="16"/>
                <w:szCs w:val="16"/>
                <w:lang w:eastAsia="en-AU"/>
              </w:rPr>
            </w:pPr>
            <w:r w:rsidRPr="00666B76">
              <w:rPr>
                <w:rFonts w:ascii="Calibri" w:hAnsi="Calibri" w:cs="Calibri"/>
                <w:b/>
                <w:bCs/>
                <w:sz w:val="16"/>
                <w:szCs w:val="16"/>
                <w:lang w:eastAsia="en-AU"/>
              </w:rPr>
              <w:t>Mg</w:t>
            </w:r>
          </w:p>
        </w:tc>
        <w:tc>
          <w:tcPr>
            <w:tcW w:w="551" w:type="dxa"/>
            <w:shd w:val="clear" w:color="auto" w:fill="auto"/>
            <w:noWrap/>
            <w:vAlign w:val="bottom"/>
            <w:hideMark/>
          </w:tcPr>
          <w:p w:rsidR="00755EEA" w:rsidRPr="00666B76" w:rsidRDefault="00755EEA" w:rsidP="001C6584">
            <w:pPr>
              <w:spacing w:after="0" w:line="240" w:lineRule="auto"/>
              <w:ind w:left="-125" w:right="-116"/>
              <w:jc w:val="center"/>
              <w:rPr>
                <w:rFonts w:ascii="Calibri" w:hAnsi="Calibri" w:cs="Calibri"/>
                <w:b/>
                <w:bCs/>
                <w:sz w:val="16"/>
                <w:szCs w:val="16"/>
                <w:lang w:eastAsia="en-AU"/>
              </w:rPr>
            </w:pPr>
            <w:r w:rsidRPr="00666B76">
              <w:rPr>
                <w:rFonts w:ascii="Calibri" w:hAnsi="Calibri" w:cs="Calibri"/>
                <w:b/>
                <w:bCs/>
                <w:sz w:val="16"/>
                <w:szCs w:val="16"/>
                <w:lang w:eastAsia="en-AU"/>
              </w:rPr>
              <w:t>Mn</w:t>
            </w:r>
          </w:p>
        </w:tc>
        <w:tc>
          <w:tcPr>
            <w:tcW w:w="567" w:type="dxa"/>
            <w:shd w:val="clear" w:color="auto" w:fill="auto"/>
            <w:noWrap/>
            <w:vAlign w:val="bottom"/>
            <w:hideMark/>
          </w:tcPr>
          <w:p w:rsidR="00755EEA" w:rsidRPr="00666B76" w:rsidRDefault="00755EEA" w:rsidP="001C6584">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Na</w:t>
            </w:r>
          </w:p>
        </w:tc>
        <w:tc>
          <w:tcPr>
            <w:tcW w:w="567" w:type="dxa"/>
            <w:shd w:val="clear" w:color="auto" w:fill="auto"/>
            <w:noWrap/>
            <w:vAlign w:val="bottom"/>
            <w:hideMark/>
          </w:tcPr>
          <w:p w:rsidR="00755EEA" w:rsidRPr="00666B76" w:rsidRDefault="00755EEA" w:rsidP="001C6584">
            <w:pPr>
              <w:spacing w:after="0" w:line="240" w:lineRule="auto"/>
              <w:ind w:left="-108" w:right="-114"/>
              <w:jc w:val="center"/>
              <w:rPr>
                <w:rFonts w:ascii="Calibri" w:hAnsi="Calibri" w:cs="Calibri"/>
                <w:b/>
                <w:bCs/>
                <w:sz w:val="16"/>
                <w:szCs w:val="16"/>
                <w:lang w:eastAsia="en-AU"/>
              </w:rPr>
            </w:pPr>
            <w:r w:rsidRPr="00666B76">
              <w:rPr>
                <w:rFonts w:ascii="Calibri" w:hAnsi="Calibri" w:cs="Calibri"/>
                <w:b/>
                <w:bCs/>
                <w:sz w:val="16"/>
                <w:szCs w:val="16"/>
                <w:lang w:eastAsia="en-AU"/>
              </w:rPr>
              <w:t>S</w:t>
            </w:r>
          </w:p>
        </w:tc>
        <w:tc>
          <w:tcPr>
            <w:tcW w:w="567" w:type="dxa"/>
            <w:shd w:val="clear" w:color="auto" w:fill="auto"/>
            <w:noWrap/>
            <w:vAlign w:val="bottom"/>
            <w:hideMark/>
          </w:tcPr>
          <w:p w:rsidR="00755EEA" w:rsidRPr="00666B76" w:rsidRDefault="00755EEA" w:rsidP="001C6584">
            <w:pPr>
              <w:spacing w:after="0" w:line="240" w:lineRule="auto"/>
              <w:ind w:left="-164" w:right="-119"/>
              <w:jc w:val="center"/>
              <w:rPr>
                <w:rFonts w:ascii="Calibri" w:hAnsi="Calibri" w:cs="Calibri"/>
                <w:b/>
                <w:bCs/>
                <w:sz w:val="16"/>
                <w:szCs w:val="16"/>
                <w:lang w:eastAsia="en-AU"/>
              </w:rPr>
            </w:pPr>
            <w:r w:rsidRPr="00666B76">
              <w:rPr>
                <w:rFonts w:ascii="Calibri" w:hAnsi="Calibri" w:cs="Calibri"/>
                <w:b/>
                <w:bCs/>
                <w:sz w:val="16"/>
                <w:szCs w:val="16"/>
                <w:lang w:eastAsia="en-AU"/>
              </w:rPr>
              <w:t>SO4</w:t>
            </w:r>
          </w:p>
        </w:tc>
        <w:tc>
          <w:tcPr>
            <w:tcW w:w="567" w:type="dxa"/>
            <w:shd w:val="clear" w:color="auto" w:fill="auto"/>
            <w:noWrap/>
            <w:vAlign w:val="bottom"/>
            <w:hideMark/>
          </w:tcPr>
          <w:p w:rsidR="00755EEA" w:rsidRPr="00666B76" w:rsidRDefault="00755EEA" w:rsidP="001C6584">
            <w:pPr>
              <w:spacing w:after="0" w:line="240" w:lineRule="auto"/>
              <w:ind w:left="-194" w:right="-110"/>
              <w:jc w:val="center"/>
              <w:rPr>
                <w:rFonts w:ascii="Calibri" w:hAnsi="Calibri" w:cs="Calibri"/>
                <w:b/>
                <w:bCs/>
                <w:sz w:val="16"/>
                <w:szCs w:val="16"/>
                <w:lang w:eastAsia="en-AU"/>
              </w:rPr>
            </w:pPr>
            <w:r w:rsidRPr="00666B76">
              <w:rPr>
                <w:rFonts w:ascii="Calibri" w:hAnsi="Calibri" w:cs="Calibri"/>
                <w:b/>
                <w:bCs/>
                <w:sz w:val="16"/>
                <w:szCs w:val="16"/>
                <w:lang w:eastAsia="en-AU"/>
              </w:rPr>
              <w:t>Sr</w:t>
            </w:r>
          </w:p>
        </w:tc>
        <w:tc>
          <w:tcPr>
            <w:tcW w:w="567" w:type="dxa"/>
            <w:shd w:val="clear" w:color="auto" w:fill="auto"/>
            <w:noWrap/>
            <w:vAlign w:val="bottom"/>
            <w:hideMark/>
          </w:tcPr>
          <w:p w:rsidR="00755EEA" w:rsidRPr="00666B76" w:rsidRDefault="00755EEA" w:rsidP="001C6584">
            <w:pPr>
              <w:spacing w:after="0" w:line="240" w:lineRule="auto"/>
              <w:ind w:left="-108" w:right="-133"/>
              <w:jc w:val="center"/>
              <w:rPr>
                <w:rFonts w:ascii="Calibri" w:hAnsi="Calibri" w:cs="Calibri"/>
                <w:b/>
                <w:bCs/>
                <w:sz w:val="16"/>
                <w:szCs w:val="16"/>
                <w:lang w:eastAsia="en-AU"/>
              </w:rPr>
            </w:pPr>
            <w:r w:rsidRPr="00666B76">
              <w:rPr>
                <w:rFonts w:ascii="Calibri" w:hAnsi="Calibri" w:cs="Calibri"/>
                <w:b/>
                <w:bCs/>
                <w:sz w:val="16"/>
                <w:szCs w:val="16"/>
                <w:lang w:eastAsia="en-AU"/>
              </w:rPr>
              <w:t>U</w:t>
            </w:r>
          </w:p>
        </w:tc>
        <w:tc>
          <w:tcPr>
            <w:tcW w:w="567" w:type="dxa"/>
            <w:shd w:val="clear" w:color="auto" w:fill="auto"/>
            <w:noWrap/>
            <w:vAlign w:val="bottom"/>
            <w:hideMark/>
          </w:tcPr>
          <w:p w:rsidR="00755EEA" w:rsidRPr="00666B76" w:rsidRDefault="00755EEA" w:rsidP="001C6584">
            <w:pPr>
              <w:spacing w:after="0" w:line="240" w:lineRule="auto"/>
              <w:ind w:left="-164" w:right="-77"/>
              <w:jc w:val="center"/>
              <w:rPr>
                <w:rFonts w:ascii="Calibri" w:hAnsi="Calibri" w:cs="Calibri"/>
                <w:b/>
                <w:bCs/>
                <w:sz w:val="16"/>
                <w:szCs w:val="16"/>
                <w:lang w:eastAsia="en-AU"/>
              </w:rPr>
            </w:pPr>
            <w:r w:rsidRPr="00666B76">
              <w:rPr>
                <w:rFonts w:ascii="Calibri" w:hAnsi="Calibri" w:cs="Calibri"/>
                <w:b/>
                <w:bCs/>
                <w:sz w:val="16"/>
                <w:szCs w:val="16"/>
                <w:lang w:eastAsia="en-AU"/>
              </w:rPr>
              <w:t>V</w:t>
            </w:r>
          </w:p>
        </w:tc>
        <w:tc>
          <w:tcPr>
            <w:tcW w:w="850" w:type="dxa"/>
            <w:shd w:val="clear" w:color="auto" w:fill="auto"/>
            <w:noWrap/>
            <w:vAlign w:val="bottom"/>
            <w:hideMark/>
          </w:tcPr>
          <w:p w:rsidR="00755EEA" w:rsidRPr="00666B76" w:rsidRDefault="00755EEA" w:rsidP="001C6584">
            <w:pPr>
              <w:spacing w:after="0" w:line="240" w:lineRule="auto"/>
              <w:ind w:left="-108" w:right="-111"/>
              <w:jc w:val="center"/>
              <w:rPr>
                <w:rFonts w:ascii="Calibri" w:hAnsi="Calibri" w:cs="Calibri"/>
                <w:b/>
                <w:bCs/>
                <w:sz w:val="16"/>
                <w:szCs w:val="16"/>
                <w:lang w:eastAsia="en-AU"/>
              </w:rPr>
            </w:pPr>
            <w:r w:rsidRPr="00666B76">
              <w:rPr>
                <w:rFonts w:ascii="Calibri" w:hAnsi="Calibri" w:cs="Calibri"/>
                <w:b/>
                <w:bCs/>
                <w:sz w:val="16"/>
                <w:szCs w:val="16"/>
                <w:lang w:eastAsia="en-AU"/>
              </w:rPr>
              <w:t>U-238 (1)</w:t>
            </w:r>
          </w:p>
        </w:tc>
        <w:tc>
          <w:tcPr>
            <w:tcW w:w="993" w:type="dxa"/>
            <w:shd w:val="clear" w:color="auto" w:fill="auto"/>
            <w:noWrap/>
            <w:vAlign w:val="bottom"/>
            <w:hideMark/>
          </w:tcPr>
          <w:p w:rsidR="00755EEA" w:rsidRPr="00666B76" w:rsidRDefault="00755EEA" w:rsidP="001C6584">
            <w:pPr>
              <w:spacing w:after="0" w:line="240" w:lineRule="auto"/>
              <w:ind w:left="-108" w:right="-149"/>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755EEA" w:rsidRPr="00666B76" w:rsidRDefault="00755EEA" w:rsidP="001C6584">
            <w:pPr>
              <w:spacing w:after="0" w:line="240" w:lineRule="auto"/>
              <w:ind w:left="-108" w:right="-130"/>
              <w:jc w:val="center"/>
              <w:rPr>
                <w:rFonts w:ascii="Calibri" w:hAnsi="Calibri" w:cs="Calibri"/>
                <w:b/>
                <w:bCs/>
                <w:sz w:val="16"/>
                <w:szCs w:val="16"/>
                <w:lang w:eastAsia="en-AU"/>
              </w:rPr>
            </w:pPr>
            <w:r w:rsidRPr="00666B76">
              <w:rPr>
                <w:rFonts w:ascii="Calibri" w:hAnsi="Calibri" w:cs="Calibri"/>
                <w:b/>
                <w:bCs/>
                <w:sz w:val="16"/>
                <w:szCs w:val="16"/>
                <w:lang w:eastAsia="en-AU"/>
              </w:rPr>
              <w:t>U-238 (2)</w:t>
            </w:r>
          </w:p>
        </w:tc>
        <w:tc>
          <w:tcPr>
            <w:tcW w:w="851" w:type="dxa"/>
            <w:shd w:val="clear" w:color="auto" w:fill="auto"/>
            <w:noWrap/>
            <w:vAlign w:val="bottom"/>
            <w:hideMark/>
          </w:tcPr>
          <w:p w:rsidR="00755EEA" w:rsidRPr="00666B76" w:rsidRDefault="00755EEA" w:rsidP="001C6584">
            <w:pPr>
              <w:spacing w:after="0" w:line="240" w:lineRule="auto"/>
              <w:ind w:left="-157" w:right="-113"/>
              <w:jc w:val="center"/>
              <w:rPr>
                <w:rFonts w:ascii="Calibri" w:hAnsi="Calibri" w:cs="Calibri"/>
                <w:b/>
                <w:bCs/>
                <w:sz w:val="16"/>
                <w:szCs w:val="16"/>
                <w:lang w:eastAsia="en-AU"/>
              </w:rPr>
            </w:pPr>
            <w:r w:rsidRPr="00666B76">
              <w:rPr>
                <w:rFonts w:ascii="Calibri" w:hAnsi="Calibri" w:cs="Calibri"/>
                <w:b/>
                <w:bCs/>
                <w:sz w:val="16"/>
                <w:szCs w:val="16"/>
                <w:lang w:eastAsia="en-AU"/>
              </w:rPr>
              <w:t>234U/238U</w:t>
            </w:r>
          </w:p>
        </w:tc>
        <w:tc>
          <w:tcPr>
            <w:tcW w:w="850" w:type="dxa"/>
            <w:shd w:val="clear" w:color="auto" w:fill="auto"/>
            <w:noWrap/>
            <w:vAlign w:val="bottom"/>
            <w:hideMark/>
          </w:tcPr>
          <w:p w:rsidR="00755EEA" w:rsidRPr="00666B76" w:rsidRDefault="00755EEA" w:rsidP="001C6584">
            <w:pPr>
              <w:spacing w:after="0" w:line="240" w:lineRule="auto"/>
              <w:ind w:left="-108" w:right="-108"/>
              <w:jc w:val="center"/>
              <w:rPr>
                <w:rFonts w:ascii="Calibri" w:hAnsi="Calibri" w:cs="Calibri"/>
                <w:b/>
                <w:bCs/>
                <w:sz w:val="16"/>
                <w:szCs w:val="16"/>
                <w:lang w:eastAsia="en-AU"/>
              </w:rPr>
            </w:pPr>
            <w:r w:rsidRPr="00666B76">
              <w:rPr>
                <w:rFonts w:ascii="Calibri" w:hAnsi="Calibri" w:cs="Calibri"/>
                <w:b/>
                <w:bCs/>
                <w:sz w:val="16"/>
                <w:szCs w:val="16"/>
                <w:lang w:eastAsia="en-AU"/>
              </w:rPr>
              <w:t>Ra-226 (1)</w:t>
            </w:r>
          </w:p>
        </w:tc>
        <w:tc>
          <w:tcPr>
            <w:tcW w:w="992" w:type="dxa"/>
            <w:shd w:val="clear" w:color="auto" w:fill="auto"/>
            <w:noWrap/>
            <w:vAlign w:val="bottom"/>
            <w:hideMark/>
          </w:tcPr>
          <w:p w:rsidR="00755EEA" w:rsidRPr="00666B76" w:rsidRDefault="00755EEA" w:rsidP="001C6584">
            <w:pPr>
              <w:spacing w:after="0" w:line="240" w:lineRule="auto"/>
              <w:ind w:left="-108"/>
              <w:jc w:val="center"/>
              <w:rPr>
                <w:rFonts w:ascii="Calibri" w:hAnsi="Calibri" w:cs="Calibri"/>
                <w:b/>
                <w:bCs/>
                <w:sz w:val="16"/>
                <w:szCs w:val="16"/>
                <w:lang w:eastAsia="en-AU"/>
              </w:rPr>
            </w:pPr>
            <w:r w:rsidRPr="00666B76">
              <w:rPr>
                <w:rFonts w:ascii="Calibri" w:hAnsi="Calibri" w:cs="Calibri"/>
                <w:b/>
                <w:bCs/>
                <w:sz w:val="16"/>
                <w:szCs w:val="16"/>
                <w:lang w:eastAsia="en-AU"/>
              </w:rPr>
              <w:t>Ra-226 (2)</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OB04010</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RN23551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RN023551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163.0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2710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34800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1420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184000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96.7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33300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189400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22.1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0.57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0.52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 ± 0.3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1.573 ± 0.073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33 ± 1.8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OB05018</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RN23551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RN023551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44.1</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859</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639</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15100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5.06 ± 0.29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1.826 ± 0.119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16.2 ± 0.6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10/09/07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RN23551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RN023551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350</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10200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124000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95.7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18900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28.6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0.47</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5.82 ± 0.36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1.553 ± 0.112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141 ± 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RN23551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RN023551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1100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112000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116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16800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428000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0.71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8.65 ± 0.75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1.285 ± 0.144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102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RN23551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RN023551</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85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2400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110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600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22000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160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15000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OB12004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7/03/12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RN23556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RN023556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19</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&lt;100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7900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19</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2.56 ± 0.14</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0.986 ± 0.079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3.6 ± 0.32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RN23562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RN023562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33.4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220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&lt;100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23.1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2.65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4.43 ± 0.30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0.999 ± 0.089</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8.91 ± 0.48</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RN23562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RN023562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4100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&lt;100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2000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57.9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2700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3200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3.94 ± 0.43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0.832 ± 0.15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19 ± 0.9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OB13001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12/03/13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RN23562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RN023562</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12.4 ± 0.7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RM10044</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1/10/10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RN23566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RN023566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26.8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5500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3000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45400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105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218000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0.074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0.63 ± 0.09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1.42 ± 0.25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8/03/12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RN23566</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RN023566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8900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9800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180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21000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470000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100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23.9 ± 1.1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1.205 ± 0.066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10.8 ± 0.4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OB12003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6/03/12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RN23568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RN023568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9300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95000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20000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420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61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0.3</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11 ± 0.6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0.976 ± 0.072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26.8 ± 1.2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OB09005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16/09/09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RN8708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RN8708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28.8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8400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13500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95.7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32.4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0.62</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0.8</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7.01 ± 0.26</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2.521 ± 0.095</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34.4 ± 1.7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OB11013</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RN8708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RN8708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2200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12800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60.7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1000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1.08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10.8 ± 0.7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2.238 ± 0.161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28.6 ± 1.4</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OB12012</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RN8708</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RN8708</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8200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9</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2200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97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0.6</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2</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38.4 ± 2.1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OB03016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16/09/03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47.2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5700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2300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10100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33.4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0.9</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2.13 ± 0.21</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1.351 ± 0.17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8.08 ± 0.37</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OB04009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22/09/04</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40.5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9130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7830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2550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324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14400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r w:rsidRPr="00666B76">
              <w:rPr>
                <w:rFonts w:ascii="Calibri" w:hAnsi="Calibri" w:cs="Calibri"/>
                <w:sz w:val="16"/>
                <w:szCs w:val="16"/>
                <w:lang w:eastAsia="en-AU"/>
              </w:rPr>
              <w:t>&lt;200</w:t>
            </w: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33.1</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0.159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1.94 ± 0.15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1.368 ± 0.134</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19 ± 0.9</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OB05019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13/09/05</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39.7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6145</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5255</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2175</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9285</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29.2</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0.194</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&lt;10</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2.36 ± 0.19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1.282 ± 0.13</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7.87 ± 0.45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OB06009</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13/09/06</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43.2</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6300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5950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9200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285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12600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35.7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0.185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1.72 ± 0.19</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1.625 ± 0.22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7.54 ± 0.46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OB07011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13/09/07</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40.6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8100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2400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259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11600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37.7</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0.183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0.7</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2.09 ± 0.17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1.345 ± 0.142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10.9 ± 0.6</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OB08006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4/09/08</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34.7</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7100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10100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2500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274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13300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36.9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0.098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0.4</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1.02 ± 0.138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1.601 ± 0.258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16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RM10045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1/10/10</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41.4</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6600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6100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9500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239</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0.268</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3.08 ± 0.2</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1.32 ± 0.11</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7.31 ± 0.32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20/09/11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56.8</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8500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13900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2700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11600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318</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13000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500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43</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0.49</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&lt;0.5</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5.15 ± 0.47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1.585 ± 0.177</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31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RN9329</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RN009329</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75</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7600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8900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2100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10000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270</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44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0.3</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RP1N1</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RN026625</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487 ± 17</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1.252 ± 0.036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149 ± 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OB03007</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21/05/03</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RP1N2</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RN026626</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40.1 ± 1.5</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1.288 ± 0.038</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47.3 ± 2.2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6/12/89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TD(EastWall)</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5230 ± 160</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0.96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23.2 ± 1.1</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RC9003/1</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6/12/89</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TDSCN</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NOT FOUND</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1198 ± 43</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1.13 ± 0.02</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r w:rsidRPr="00666B76">
              <w:rPr>
                <w:rFonts w:ascii="Calibri" w:hAnsi="Calibri" w:cs="Calibri"/>
                <w:sz w:val="16"/>
                <w:szCs w:val="16"/>
                <w:lang w:eastAsia="en-AU"/>
              </w:rPr>
              <w:t>915 ± 22</w:t>
            </w: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r w:rsidRPr="00666B76">
              <w:rPr>
                <w:rFonts w:ascii="Calibri" w:hAnsi="Calibri" w:cs="Calibri"/>
                <w:sz w:val="16"/>
                <w:szCs w:val="16"/>
                <w:lang w:eastAsia="en-AU"/>
              </w:rPr>
              <w:t>1.1 ± 0.01</w:t>
            </w: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665 ± 25</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r w:rsidRPr="00666B76">
              <w:rPr>
                <w:rFonts w:ascii="Calibri" w:hAnsi="Calibri" w:cs="Calibri"/>
                <w:sz w:val="16"/>
                <w:szCs w:val="16"/>
                <w:lang w:eastAsia="en-AU"/>
              </w:rPr>
              <w:t>624 ± 31</w:t>
            </w: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OB11006</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20/09/11</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21030DEEP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RN021030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103</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18800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440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12800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45</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20800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r w:rsidRPr="00666B76">
              <w:rPr>
                <w:rFonts w:ascii="Calibri" w:hAnsi="Calibri" w:cs="Calibri"/>
                <w:sz w:val="16"/>
                <w:szCs w:val="16"/>
                <w:lang w:eastAsia="en-AU"/>
              </w:rPr>
              <w:t>100</w:t>
            </w: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106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1.05</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&lt;0.5</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r w:rsidRPr="00666B76">
              <w:rPr>
                <w:rFonts w:ascii="Calibri" w:hAnsi="Calibri" w:cs="Calibri"/>
                <w:sz w:val="16"/>
                <w:szCs w:val="16"/>
                <w:lang w:eastAsia="en-AU"/>
              </w:rPr>
              <w:t>10.9 ± 0.8</w:t>
            </w: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r w:rsidRPr="00666B76">
              <w:rPr>
                <w:rFonts w:ascii="Calibri" w:hAnsi="Calibri" w:cs="Calibri"/>
                <w:sz w:val="16"/>
                <w:szCs w:val="16"/>
                <w:lang w:eastAsia="en-AU"/>
              </w:rPr>
              <w:t>1.211 ± 0.116</w:t>
            </w: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24.2 ± 1.3</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r w:rsidR="000A6E3B" w:rsidRPr="00666B76" w:rsidTr="00F102EB">
        <w:trPr>
          <w:trHeight w:val="255"/>
        </w:trPr>
        <w:tc>
          <w:tcPr>
            <w:tcW w:w="856" w:type="dxa"/>
            <w:shd w:val="clear" w:color="auto" w:fill="auto"/>
            <w:noWrap/>
            <w:vAlign w:val="bottom"/>
            <w:hideMark/>
          </w:tcPr>
          <w:p w:rsidR="000A6E3B" w:rsidRPr="00666B76" w:rsidRDefault="000A6E3B" w:rsidP="00F102EB">
            <w:pPr>
              <w:spacing w:after="0" w:line="240" w:lineRule="auto"/>
              <w:jc w:val="left"/>
              <w:rPr>
                <w:rFonts w:ascii="Calibri" w:hAnsi="Calibri" w:cs="Calibri"/>
                <w:sz w:val="16"/>
                <w:szCs w:val="16"/>
                <w:lang w:eastAsia="en-AU"/>
              </w:rPr>
            </w:pPr>
            <w:r w:rsidRPr="00666B76">
              <w:rPr>
                <w:rFonts w:ascii="Calibri" w:hAnsi="Calibri" w:cs="Calibri"/>
                <w:sz w:val="16"/>
                <w:szCs w:val="16"/>
                <w:lang w:eastAsia="en-AU"/>
              </w:rPr>
              <w:t>OB12015</w:t>
            </w:r>
          </w:p>
        </w:tc>
        <w:tc>
          <w:tcPr>
            <w:tcW w:w="846"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19/09/12</w:t>
            </w:r>
          </w:p>
        </w:tc>
        <w:tc>
          <w:tcPr>
            <w:tcW w:w="1381" w:type="dxa"/>
            <w:shd w:val="clear" w:color="auto" w:fill="auto"/>
            <w:noWrap/>
            <w:vAlign w:val="bottom"/>
            <w:hideMark/>
          </w:tcPr>
          <w:p w:rsidR="000A6E3B" w:rsidRPr="00666B76" w:rsidRDefault="000A6E3B" w:rsidP="00F102EB">
            <w:pPr>
              <w:spacing w:after="0" w:line="240" w:lineRule="auto"/>
              <w:jc w:val="center"/>
              <w:rPr>
                <w:rFonts w:ascii="Calibri" w:hAnsi="Calibri" w:cs="Calibri"/>
                <w:sz w:val="16"/>
                <w:szCs w:val="16"/>
                <w:lang w:eastAsia="en-AU"/>
              </w:rPr>
            </w:pPr>
            <w:r w:rsidRPr="00666B76">
              <w:rPr>
                <w:rFonts w:ascii="Calibri" w:hAnsi="Calibri" w:cs="Calibri"/>
                <w:sz w:val="16"/>
                <w:szCs w:val="16"/>
                <w:lang w:eastAsia="en-AU"/>
              </w:rPr>
              <w:t>21030DEEP</w:t>
            </w:r>
          </w:p>
        </w:tc>
        <w:tc>
          <w:tcPr>
            <w:tcW w:w="932" w:type="dxa"/>
            <w:shd w:val="clear" w:color="auto" w:fill="auto"/>
            <w:noWrap/>
            <w:vAlign w:val="bottom"/>
            <w:hideMark/>
          </w:tcPr>
          <w:p w:rsidR="000A6E3B" w:rsidRPr="00666B76" w:rsidRDefault="000A6E3B" w:rsidP="00F102EB">
            <w:pPr>
              <w:spacing w:after="0" w:line="240" w:lineRule="auto"/>
              <w:ind w:left="-71" w:right="-67"/>
              <w:jc w:val="left"/>
              <w:rPr>
                <w:rFonts w:ascii="Calibri" w:hAnsi="Calibri" w:cs="Calibri"/>
                <w:sz w:val="16"/>
                <w:szCs w:val="16"/>
                <w:lang w:eastAsia="en-AU"/>
              </w:rPr>
            </w:pPr>
            <w:r w:rsidRPr="00666B76">
              <w:rPr>
                <w:rFonts w:ascii="Calibri" w:hAnsi="Calibri" w:cs="Calibri"/>
                <w:sz w:val="16"/>
                <w:szCs w:val="16"/>
                <w:lang w:eastAsia="en-AU"/>
              </w:rPr>
              <w:t>RN021030</w:t>
            </w:r>
          </w:p>
        </w:tc>
        <w:tc>
          <w:tcPr>
            <w:tcW w:w="420" w:type="dxa"/>
            <w:shd w:val="clear" w:color="auto" w:fill="auto"/>
            <w:noWrap/>
            <w:vAlign w:val="bottom"/>
            <w:hideMark/>
          </w:tcPr>
          <w:p w:rsidR="000A6E3B" w:rsidRPr="00666B76" w:rsidRDefault="000A6E3B" w:rsidP="00F102EB">
            <w:pPr>
              <w:spacing w:after="0" w:line="240" w:lineRule="auto"/>
              <w:ind w:left="-100" w:right="-61"/>
              <w:jc w:val="center"/>
              <w:rPr>
                <w:rFonts w:ascii="Calibri" w:hAnsi="Calibri" w:cs="Calibri"/>
                <w:sz w:val="16"/>
                <w:szCs w:val="16"/>
                <w:lang w:eastAsia="en-AU"/>
              </w:rPr>
            </w:pPr>
            <w:r w:rsidRPr="00666B76">
              <w:rPr>
                <w:rFonts w:ascii="Calibri" w:hAnsi="Calibri" w:cs="Calibri"/>
                <w:sz w:val="16"/>
                <w:szCs w:val="16"/>
                <w:lang w:eastAsia="en-AU"/>
              </w:rPr>
              <w:t>66</w:t>
            </w:r>
          </w:p>
        </w:tc>
        <w:tc>
          <w:tcPr>
            <w:tcW w:w="669" w:type="dxa"/>
            <w:shd w:val="clear" w:color="auto" w:fill="auto"/>
            <w:noWrap/>
            <w:vAlign w:val="bottom"/>
            <w:hideMark/>
          </w:tcPr>
          <w:p w:rsidR="000A6E3B" w:rsidRPr="00666B76" w:rsidRDefault="000A6E3B" w:rsidP="00F102EB">
            <w:pPr>
              <w:spacing w:after="0" w:line="240" w:lineRule="auto"/>
              <w:ind w:left="-114" w:right="-119"/>
              <w:jc w:val="center"/>
              <w:rPr>
                <w:rFonts w:ascii="Calibri" w:hAnsi="Calibri" w:cs="Calibri"/>
                <w:sz w:val="16"/>
                <w:szCs w:val="16"/>
                <w:lang w:eastAsia="en-AU"/>
              </w:rPr>
            </w:pPr>
            <w:r w:rsidRPr="00666B76">
              <w:rPr>
                <w:rFonts w:ascii="Calibri" w:hAnsi="Calibri" w:cs="Calibri"/>
                <w:sz w:val="16"/>
                <w:szCs w:val="16"/>
                <w:lang w:eastAsia="en-AU"/>
              </w:rPr>
              <w:t>16000</w:t>
            </w:r>
          </w:p>
        </w:tc>
        <w:tc>
          <w:tcPr>
            <w:tcW w:w="567" w:type="dxa"/>
            <w:shd w:val="clear" w:color="auto" w:fill="auto"/>
            <w:noWrap/>
            <w:vAlign w:val="bottom"/>
            <w:hideMark/>
          </w:tcPr>
          <w:p w:rsidR="000A6E3B" w:rsidRPr="00666B76" w:rsidRDefault="000A6E3B" w:rsidP="00F102EB">
            <w:pPr>
              <w:spacing w:after="0" w:line="240" w:lineRule="auto"/>
              <w:ind w:left="-119" w:right="-102"/>
              <w:jc w:val="center"/>
              <w:rPr>
                <w:rFonts w:ascii="Calibri" w:hAnsi="Calibri" w:cs="Calibri"/>
                <w:sz w:val="16"/>
                <w:szCs w:val="16"/>
                <w:lang w:eastAsia="en-AU"/>
              </w:rPr>
            </w:pPr>
            <w:r w:rsidRPr="00666B76">
              <w:rPr>
                <w:rFonts w:ascii="Calibri" w:hAnsi="Calibri" w:cs="Calibri"/>
                <w:sz w:val="16"/>
                <w:szCs w:val="16"/>
                <w:lang w:eastAsia="en-AU"/>
              </w:rPr>
              <w:t>270</w:t>
            </w:r>
          </w:p>
        </w:tc>
        <w:tc>
          <w:tcPr>
            <w:tcW w:w="567" w:type="dxa"/>
            <w:shd w:val="clear" w:color="auto" w:fill="auto"/>
            <w:noWrap/>
            <w:vAlign w:val="bottom"/>
            <w:hideMark/>
          </w:tcPr>
          <w:p w:rsidR="000A6E3B" w:rsidRPr="00666B76" w:rsidRDefault="000A6E3B" w:rsidP="00F102EB">
            <w:pPr>
              <w:spacing w:after="0" w:line="240" w:lineRule="auto"/>
              <w:ind w:left="-176" w:right="-65"/>
              <w:jc w:val="center"/>
              <w:rPr>
                <w:rFonts w:ascii="Calibri" w:hAnsi="Calibri" w:cs="Calibri"/>
                <w:sz w:val="16"/>
                <w:szCs w:val="16"/>
                <w:lang w:eastAsia="en-AU"/>
              </w:rPr>
            </w:pPr>
            <w:r w:rsidRPr="00666B76">
              <w:rPr>
                <w:rFonts w:ascii="Calibri" w:hAnsi="Calibri" w:cs="Calibri"/>
                <w:sz w:val="16"/>
                <w:szCs w:val="16"/>
                <w:lang w:eastAsia="en-AU"/>
              </w:rPr>
              <w:t>3900</w:t>
            </w:r>
          </w:p>
        </w:tc>
        <w:tc>
          <w:tcPr>
            <w:tcW w:w="583" w:type="dxa"/>
            <w:shd w:val="clear" w:color="auto" w:fill="auto"/>
            <w:noWrap/>
            <w:vAlign w:val="bottom"/>
            <w:hideMark/>
          </w:tcPr>
          <w:p w:rsidR="000A6E3B" w:rsidRPr="00666B76" w:rsidRDefault="000A6E3B" w:rsidP="00F102EB">
            <w:pPr>
              <w:spacing w:after="0" w:line="240" w:lineRule="auto"/>
              <w:ind w:left="-151" w:right="-91"/>
              <w:jc w:val="center"/>
              <w:rPr>
                <w:rFonts w:ascii="Calibri" w:hAnsi="Calibri" w:cs="Calibri"/>
                <w:sz w:val="16"/>
                <w:szCs w:val="16"/>
                <w:lang w:eastAsia="en-AU"/>
              </w:rPr>
            </w:pPr>
            <w:r w:rsidRPr="00666B76">
              <w:rPr>
                <w:rFonts w:ascii="Calibri" w:hAnsi="Calibri" w:cs="Calibri"/>
                <w:sz w:val="16"/>
                <w:szCs w:val="16"/>
                <w:lang w:eastAsia="en-AU"/>
              </w:rPr>
              <w:t>12000</w:t>
            </w:r>
          </w:p>
        </w:tc>
        <w:tc>
          <w:tcPr>
            <w:tcW w:w="551" w:type="dxa"/>
            <w:shd w:val="clear" w:color="auto" w:fill="auto"/>
            <w:noWrap/>
            <w:vAlign w:val="bottom"/>
            <w:hideMark/>
          </w:tcPr>
          <w:p w:rsidR="000A6E3B" w:rsidRPr="00666B76" w:rsidRDefault="000A6E3B" w:rsidP="00F102EB">
            <w:pPr>
              <w:spacing w:after="0" w:line="240" w:lineRule="auto"/>
              <w:ind w:left="-125" w:right="-116"/>
              <w:jc w:val="center"/>
              <w:rPr>
                <w:rFonts w:ascii="Calibri" w:hAnsi="Calibri" w:cs="Calibri"/>
                <w:sz w:val="16"/>
                <w:szCs w:val="16"/>
                <w:lang w:eastAsia="en-AU"/>
              </w:rPr>
            </w:pPr>
            <w:r w:rsidRPr="00666B76">
              <w:rPr>
                <w:rFonts w:ascii="Calibri" w:hAnsi="Calibri" w:cs="Calibri"/>
                <w:sz w:val="16"/>
                <w:szCs w:val="16"/>
                <w:lang w:eastAsia="en-AU"/>
              </w:rPr>
              <w:t>26</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20000</w:t>
            </w:r>
          </w:p>
        </w:tc>
        <w:tc>
          <w:tcPr>
            <w:tcW w:w="567" w:type="dxa"/>
            <w:shd w:val="clear" w:color="auto" w:fill="auto"/>
            <w:noWrap/>
            <w:vAlign w:val="bottom"/>
            <w:hideMark/>
          </w:tcPr>
          <w:p w:rsidR="000A6E3B" w:rsidRPr="00666B76" w:rsidRDefault="000A6E3B" w:rsidP="00F102EB">
            <w:pPr>
              <w:spacing w:after="0" w:line="240" w:lineRule="auto"/>
              <w:ind w:left="-108" w:right="-114"/>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64" w:right="-119"/>
              <w:jc w:val="center"/>
              <w:rPr>
                <w:rFonts w:ascii="Calibri" w:hAnsi="Calibri" w:cs="Calibri"/>
                <w:sz w:val="16"/>
                <w:szCs w:val="16"/>
                <w:lang w:eastAsia="en-AU"/>
              </w:rPr>
            </w:pPr>
          </w:p>
        </w:tc>
        <w:tc>
          <w:tcPr>
            <w:tcW w:w="567" w:type="dxa"/>
            <w:shd w:val="clear" w:color="auto" w:fill="auto"/>
            <w:noWrap/>
            <w:vAlign w:val="bottom"/>
            <w:hideMark/>
          </w:tcPr>
          <w:p w:rsidR="000A6E3B" w:rsidRPr="00666B76" w:rsidRDefault="000A6E3B" w:rsidP="00F102EB">
            <w:pPr>
              <w:spacing w:after="0" w:line="240" w:lineRule="auto"/>
              <w:ind w:left="-194" w:right="-110"/>
              <w:jc w:val="center"/>
              <w:rPr>
                <w:rFonts w:ascii="Calibri" w:hAnsi="Calibri" w:cs="Calibri"/>
                <w:sz w:val="16"/>
                <w:szCs w:val="16"/>
                <w:lang w:eastAsia="en-AU"/>
              </w:rPr>
            </w:pPr>
            <w:r w:rsidRPr="00666B76">
              <w:rPr>
                <w:rFonts w:ascii="Calibri" w:hAnsi="Calibri" w:cs="Calibri"/>
                <w:sz w:val="16"/>
                <w:szCs w:val="16"/>
                <w:lang w:eastAsia="en-AU"/>
              </w:rPr>
              <w:t>94</w:t>
            </w:r>
          </w:p>
        </w:tc>
        <w:tc>
          <w:tcPr>
            <w:tcW w:w="567" w:type="dxa"/>
            <w:shd w:val="clear" w:color="auto" w:fill="auto"/>
            <w:noWrap/>
            <w:vAlign w:val="bottom"/>
            <w:hideMark/>
          </w:tcPr>
          <w:p w:rsidR="000A6E3B" w:rsidRPr="00666B76" w:rsidRDefault="000A6E3B" w:rsidP="00F102EB">
            <w:pPr>
              <w:spacing w:after="0" w:line="240" w:lineRule="auto"/>
              <w:ind w:left="-108" w:right="-133"/>
              <w:jc w:val="center"/>
              <w:rPr>
                <w:rFonts w:ascii="Calibri" w:hAnsi="Calibri" w:cs="Calibri"/>
                <w:sz w:val="16"/>
                <w:szCs w:val="16"/>
                <w:lang w:eastAsia="en-AU"/>
              </w:rPr>
            </w:pPr>
            <w:r w:rsidRPr="00666B76">
              <w:rPr>
                <w:rFonts w:ascii="Calibri" w:hAnsi="Calibri" w:cs="Calibri"/>
                <w:sz w:val="16"/>
                <w:szCs w:val="16"/>
                <w:lang w:eastAsia="en-AU"/>
              </w:rPr>
              <w:t>1.1</w:t>
            </w:r>
          </w:p>
        </w:tc>
        <w:tc>
          <w:tcPr>
            <w:tcW w:w="567" w:type="dxa"/>
            <w:shd w:val="clear" w:color="auto" w:fill="auto"/>
            <w:noWrap/>
            <w:vAlign w:val="bottom"/>
            <w:hideMark/>
          </w:tcPr>
          <w:p w:rsidR="000A6E3B" w:rsidRPr="00666B76" w:rsidRDefault="000A6E3B" w:rsidP="00F102EB">
            <w:pPr>
              <w:spacing w:after="0" w:line="240" w:lineRule="auto"/>
              <w:ind w:left="-164" w:right="-77"/>
              <w:jc w:val="center"/>
              <w:rPr>
                <w:rFonts w:ascii="Calibri" w:hAnsi="Calibri" w:cs="Calibri"/>
                <w:sz w:val="16"/>
                <w:szCs w:val="16"/>
                <w:lang w:eastAsia="en-AU"/>
              </w:rPr>
            </w:pPr>
            <w:r w:rsidRPr="00666B76">
              <w:rPr>
                <w:rFonts w:ascii="Calibri" w:hAnsi="Calibri" w:cs="Calibri"/>
                <w:sz w:val="16"/>
                <w:szCs w:val="16"/>
                <w:lang w:eastAsia="en-AU"/>
              </w:rPr>
              <w:t>&lt;1</w:t>
            </w:r>
          </w:p>
        </w:tc>
        <w:tc>
          <w:tcPr>
            <w:tcW w:w="850" w:type="dxa"/>
            <w:shd w:val="clear" w:color="auto" w:fill="auto"/>
            <w:noWrap/>
            <w:vAlign w:val="bottom"/>
            <w:hideMark/>
          </w:tcPr>
          <w:p w:rsidR="000A6E3B" w:rsidRPr="00666B76" w:rsidRDefault="000A6E3B" w:rsidP="00F102EB">
            <w:pPr>
              <w:spacing w:after="0" w:line="240" w:lineRule="auto"/>
              <w:ind w:left="-108" w:right="-111"/>
              <w:jc w:val="center"/>
              <w:rPr>
                <w:rFonts w:ascii="Calibri" w:hAnsi="Calibri" w:cs="Calibri"/>
                <w:sz w:val="16"/>
                <w:szCs w:val="16"/>
                <w:lang w:eastAsia="en-AU"/>
              </w:rPr>
            </w:pPr>
          </w:p>
        </w:tc>
        <w:tc>
          <w:tcPr>
            <w:tcW w:w="993" w:type="dxa"/>
            <w:shd w:val="clear" w:color="auto" w:fill="auto"/>
            <w:noWrap/>
            <w:vAlign w:val="bottom"/>
            <w:hideMark/>
          </w:tcPr>
          <w:p w:rsidR="000A6E3B" w:rsidRPr="00666B76" w:rsidRDefault="000A6E3B" w:rsidP="00F102EB">
            <w:pPr>
              <w:spacing w:after="0" w:line="240" w:lineRule="auto"/>
              <w:ind w:left="-108" w:right="-149"/>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30"/>
              <w:jc w:val="center"/>
              <w:rPr>
                <w:rFonts w:ascii="Calibri" w:hAnsi="Calibri" w:cs="Calibri"/>
                <w:sz w:val="16"/>
                <w:szCs w:val="16"/>
                <w:lang w:eastAsia="en-AU"/>
              </w:rPr>
            </w:pPr>
          </w:p>
        </w:tc>
        <w:tc>
          <w:tcPr>
            <w:tcW w:w="851" w:type="dxa"/>
            <w:shd w:val="clear" w:color="auto" w:fill="auto"/>
            <w:noWrap/>
            <w:vAlign w:val="bottom"/>
            <w:hideMark/>
          </w:tcPr>
          <w:p w:rsidR="000A6E3B" w:rsidRPr="00666B76" w:rsidRDefault="000A6E3B" w:rsidP="00F102EB">
            <w:pPr>
              <w:spacing w:after="0" w:line="240" w:lineRule="auto"/>
              <w:ind w:left="-157" w:right="-113"/>
              <w:jc w:val="center"/>
              <w:rPr>
                <w:rFonts w:ascii="Calibri" w:hAnsi="Calibri" w:cs="Calibri"/>
                <w:sz w:val="16"/>
                <w:szCs w:val="16"/>
                <w:lang w:eastAsia="en-AU"/>
              </w:rPr>
            </w:pPr>
          </w:p>
        </w:tc>
        <w:tc>
          <w:tcPr>
            <w:tcW w:w="850" w:type="dxa"/>
            <w:shd w:val="clear" w:color="auto" w:fill="auto"/>
            <w:noWrap/>
            <w:vAlign w:val="bottom"/>
            <w:hideMark/>
          </w:tcPr>
          <w:p w:rsidR="000A6E3B" w:rsidRPr="00666B76" w:rsidRDefault="000A6E3B" w:rsidP="00F102EB">
            <w:pPr>
              <w:spacing w:after="0" w:line="240" w:lineRule="auto"/>
              <w:ind w:left="-108" w:right="-108"/>
              <w:jc w:val="center"/>
              <w:rPr>
                <w:rFonts w:ascii="Calibri" w:hAnsi="Calibri" w:cs="Calibri"/>
                <w:sz w:val="16"/>
                <w:szCs w:val="16"/>
                <w:lang w:eastAsia="en-AU"/>
              </w:rPr>
            </w:pPr>
            <w:r w:rsidRPr="00666B76">
              <w:rPr>
                <w:rFonts w:ascii="Calibri" w:hAnsi="Calibri" w:cs="Calibri"/>
                <w:sz w:val="16"/>
                <w:szCs w:val="16"/>
                <w:lang w:eastAsia="en-AU"/>
              </w:rPr>
              <w:t>42.3 ± 2</w:t>
            </w:r>
          </w:p>
        </w:tc>
        <w:tc>
          <w:tcPr>
            <w:tcW w:w="992" w:type="dxa"/>
            <w:shd w:val="clear" w:color="auto" w:fill="auto"/>
            <w:noWrap/>
            <w:vAlign w:val="bottom"/>
            <w:hideMark/>
          </w:tcPr>
          <w:p w:rsidR="000A6E3B" w:rsidRPr="00666B76" w:rsidRDefault="000A6E3B" w:rsidP="00F102EB">
            <w:pPr>
              <w:spacing w:after="0" w:line="240" w:lineRule="auto"/>
              <w:ind w:left="-108"/>
              <w:jc w:val="center"/>
              <w:rPr>
                <w:rFonts w:ascii="Calibri" w:hAnsi="Calibri" w:cs="Calibri"/>
                <w:sz w:val="16"/>
                <w:szCs w:val="16"/>
                <w:lang w:eastAsia="en-AU"/>
              </w:rPr>
            </w:pPr>
          </w:p>
        </w:tc>
      </w:tr>
    </w:tbl>
    <w:p w:rsidR="00EC4F53" w:rsidRDefault="00EC4F53" w:rsidP="009D3D38">
      <w:pPr>
        <w:sectPr w:rsidR="00EC4F53" w:rsidSect="000A6E3B">
          <w:pgSz w:w="16838" w:h="11906" w:orient="landscape" w:code="9"/>
          <w:pgMar w:top="1800" w:right="1276" w:bottom="1800" w:left="1276" w:header="1080" w:footer="835" w:gutter="0"/>
          <w:cols w:space="360"/>
          <w:noEndnote/>
          <w:docGrid w:linePitch="326"/>
        </w:sectPr>
      </w:pPr>
    </w:p>
    <w:p w:rsidR="00B57923" w:rsidRDefault="00B57923" w:rsidP="00B57923">
      <w:pPr>
        <w:pStyle w:val="Heading1"/>
      </w:pPr>
      <w:bookmarkStart w:id="570" w:name="_Toc413230140"/>
      <w:bookmarkStart w:id="571" w:name="_Toc398721810"/>
      <w:bookmarkStart w:id="572" w:name="_Toc411850636"/>
      <w:r>
        <w:t>Appendix 3</w:t>
      </w:r>
      <w:bookmarkEnd w:id="570"/>
    </w:p>
    <w:p w:rsidR="00B27E1C" w:rsidRDefault="00B27E1C" w:rsidP="00B27E1C">
      <w:pPr>
        <w:pStyle w:val="Heading2"/>
      </w:pPr>
      <w:bookmarkStart w:id="573" w:name="_Toc413230141"/>
      <w:r>
        <w:t>Bore water electrical conductivity and pH data</w:t>
      </w:r>
      <w:bookmarkEnd w:id="571"/>
      <w:bookmarkEnd w:id="572"/>
      <w:bookmarkEnd w:id="573"/>
    </w:p>
    <w:p w:rsidR="00B27E1C" w:rsidRDefault="00B27E1C" w:rsidP="00B27E1C">
      <w:pPr>
        <w:pStyle w:val="tablecaption"/>
      </w:pPr>
      <w:bookmarkStart w:id="574" w:name="_Toc386618591"/>
      <w:r w:rsidRPr="00910056">
        <w:t>Table A6</w:t>
      </w:r>
      <w:r>
        <w:t>2</w:t>
      </w:r>
      <w:r w:rsidRPr="00910056">
        <w:t xml:space="preserve"> </w:t>
      </w:r>
      <w:r>
        <w:t xml:space="preserve">Bore water electrical conductivity (EC) in </w:t>
      </w:r>
      <w:r>
        <w:rPr>
          <w:rFonts w:cs="Arial"/>
        </w:rPr>
        <w:t>µ</w:t>
      </w:r>
      <w:r>
        <w:t>S</w:t>
      </w:r>
      <w:r>
        <w:rPr>
          <w:rFonts w:cs="Arial"/>
        </w:rPr>
        <w:t>·</w:t>
      </w:r>
      <w:r>
        <w:t>cm</w:t>
      </w:r>
      <w:r w:rsidRPr="0066497E">
        <w:rPr>
          <w:snapToGrid w:val="0"/>
          <w:color w:val="000000"/>
          <w:position w:val="4"/>
          <w:sz w:val="12"/>
          <w:szCs w:val="0"/>
          <w:u w:color="000000"/>
        </w:rPr>
        <w:t>-1</w:t>
      </w:r>
      <w:r>
        <w:t xml:space="preserve"> and pH, measured by the Northern Territory Department of Mines and Energy.</w:t>
      </w:r>
      <w:bookmarkEnd w:id="574"/>
      <w:r>
        <w:t xml:space="preserve"> </w:t>
      </w:r>
    </w:p>
    <w:p w:rsidR="00EC4F53" w:rsidRPr="00EC4F53" w:rsidRDefault="00EC4F53" w:rsidP="00EC4F53"/>
    <w:p w:rsidR="00B27E1C" w:rsidRPr="00753CBF" w:rsidRDefault="00B27E1C" w:rsidP="00B27E1C">
      <w:pPr>
        <w:pStyle w:val="Heading4"/>
      </w:pPr>
      <w:bookmarkStart w:id="575" w:name="_Toc386618817"/>
      <w:bookmarkStart w:id="576" w:name="_Toc389217313"/>
      <w:bookmarkStart w:id="577" w:name="_Toc398721811"/>
      <w:bookmarkStart w:id="578" w:name="_Toc411850637"/>
      <w:r>
        <w:t>Bore OB23</w:t>
      </w:r>
      <w:bookmarkEnd w:id="575"/>
      <w:bookmarkEnd w:id="576"/>
      <w:bookmarkEnd w:id="577"/>
      <w:bookmarkEnd w:id="5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89"/>
        <w:gridCol w:w="691"/>
        <w:gridCol w:w="973"/>
        <w:gridCol w:w="581"/>
        <w:gridCol w:w="500"/>
      </w:tblGrid>
      <w:tr w:rsidR="00B27E1C" w:rsidRPr="00753CBF" w:rsidTr="00F102EB">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D46E86" w:rsidTr="00F102EB">
        <w:trPr>
          <w:trHeight w:val="170"/>
        </w:trPr>
        <w:tc>
          <w:tcPr>
            <w:tcW w:w="0" w:type="auto"/>
          </w:tcPr>
          <w:p w:rsidR="00B27E1C" w:rsidRPr="00D46E86" w:rsidRDefault="00B27E1C" w:rsidP="00F102EB">
            <w:pPr>
              <w:spacing w:after="0" w:line="240" w:lineRule="auto"/>
              <w:contextualSpacing/>
              <w:jc w:val="center"/>
              <w:rPr>
                <w:rFonts w:ascii="Calibri" w:hAnsi="Calibri" w:cs="Calibri"/>
                <w:sz w:val="16"/>
                <w:szCs w:val="16"/>
              </w:rPr>
            </w:pPr>
            <w:r w:rsidRPr="00D46E86">
              <w:rPr>
                <w:rFonts w:ascii="Calibri" w:hAnsi="Calibri" w:cs="Calibri"/>
                <w:sz w:val="16"/>
                <w:szCs w:val="16"/>
              </w:rPr>
              <w:t>OB04004</w:t>
            </w:r>
          </w:p>
        </w:tc>
        <w:tc>
          <w:tcPr>
            <w:tcW w:w="0" w:type="auto"/>
          </w:tcPr>
          <w:p w:rsidR="00B27E1C" w:rsidRPr="00D46E86" w:rsidRDefault="00B27E1C" w:rsidP="00F102EB">
            <w:pPr>
              <w:spacing w:after="0" w:line="240" w:lineRule="auto"/>
              <w:contextualSpacing/>
              <w:jc w:val="center"/>
              <w:rPr>
                <w:rFonts w:ascii="Calibri" w:hAnsi="Calibri" w:cs="Calibri"/>
                <w:color w:val="000000"/>
                <w:sz w:val="16"/>
                <w:szCs w:val="16"/>
              </w:rPr>
            </w:pPr>
            <w:r w:rsidRPr="00D46E86">
              <w:rPr>
                <w:rFonts w:ascii="Calibri" w:hAnsi="Calibri" w:cs="Calibri"/>
                <w:color w:val="000000"/>
                <w:sz w:val="16"/>
                <w:szCs w:val="16"/>
              </w:rPr>
              <w:t>15/09/2004</w:t>
            </w:r>
          </w:p>
        </w:tc>
        <w:tc>
          <w:tcPr>
            <w:tcW w:w="0" w:type="auto"/>
          </w:tcPr>
          <w:p w:rsidR="00B27E1C" w:rsidRPr="00D46E86" w:rsidRDefault="00B27E1C" w:rsidP="00F102EB">
            <w:pPr>
              <w:spacing w:after="0" w:line="240" w:lineRule="auto"/>
              <w:contextualSpacing/>
              <w:jc w:val="center"/>
              <w:rPr>
                <w:rFonts w:ascii="Calibri" w:hAnsi="Calibri" w:cs="Calibri"/>
                <w:sz w:val="16"/>
                <w:szCs w:val="16"/>
              </w:rPr>
            </w:pPr>
            <w:r w:rsidRPr="00D46E86">
              <w:rPr>
                <w:rFonts w:ascii="Calibri" w:hAnsi="Calibri" w:cs="Calibri"/>
                <w:sz w:val="16"/>
                <w:szCs w:val="16"/>
              </w:rPr>
              <w:t>OB23</w:t>
            </w:r>
          </w:p>
        </w:tc>
        <w:tc>
          <w:tcPr>
            <w:tcW w:w="0" w:type="auto"/>
          </w:tcPr>
          <w:p w:rsidR="00B27E1C" w:rsidRPr="00D46E86" w:rsidRDefault="00B27E1C" w:rsidP="00F102EB">
            <w:pPr>
              <w:spacing w:after="0" w:line="240" w:lineRule="auto"/>
              <w:contextualSpacing/>
              <w:jc w:val="center"/>
              <w:rPr>
                <w:rFonts w:ascii="Calibri" w:hAnsi="Calibri" w:cs="Calibri"/>
                <w:sz w:val="16"/>
                <w:szCs w:val="16"/>
              </w:rPr>
            </w:pPr>
            <w:r w:rsidRPr="00D46E86">
              <w:rPr>
                <w:rFonts w:ascii="Calibri" w:hAnsi="Calibri" w:cs="Calibri"/>
                <w:sz w:val="16"/>
                <w:szCs w:val="16"/>
              </w:rPr>
              <w:t>RN022937</w:t>
            </w:r>
          </w:p>
        </w:tc>
        <w:tc>
          <w:tcPr>
            <w:tcW w:w="0" w:type="auto"/>
          </w:tcPr>
          <w:p w:rsidR="00B27E1C" w:rsidRPr="00D46E86" w:rsidRDefault="00B27E1C" w:rsidP="00F102EB">
            <w:pPr>
              <w:spacing w:after="0" w:line="240" w:lineRule="auto"/>
              <w:contextualSpacing/>
              <w:jc w:val="center"/>
              <w:rPr>
                <w:rFonts w:ascii="Calibri" w:hAnsi="Calibri" w:cs="Calibri"/>
                <w:color w:val="000000"/>
                <w:sz w:val="16"/>
                <w:szCs w:val="16"/>
              </w:rPr>
            </w:pPr>
            <w:r w:rsidRPr="00D46E86">
              <w:rPr>
                <w:rFonts w:ascii="Calibri" w:hAnsi="Calibri" w:cs="Calibri"/>
                <w:color w:val="000000"/>
                <w:sz w:val="16"/>
                <w:szCs w:val="16"/>
              </w:rPr>
              <w:t>394.7</w:t>
            </w:r>
          </w:p>
        </w:tc>
        <w:tc>
          <w:tcPr>
            <w:tcW w:w="0" w:type="auto"/>
          </w:tcPr>
          <w:p w:rsidR="00B27E1C" w:rsidRPr="00D46E86" w:rsidRDefault="00B27E1C" w:rsidP="00F102EB">
            <w:pPr>
              <w:spacing w:after="0" w:line="240" w:lineRule="auto"/>
              <w:contextualSpacing/>
              <w:jc w:val="center"/>
              <w:rPr>
                <w:rFonts w:ascii="Calibri" w:hAnsi="Calibri" w:cs="Calibri"/>
                <w:color w:val="000000"/>
                <w:sz w:val="16"/>
                <w:szCs w:val="16"/>
              </w:rPr>
            </w:pPr>
            <w:r w:rsidRPr="00D46E86">
              <w:rPr>
                <w:rFonts w:ascii="Calibri" w:hAnsi="Calibri" w:cs="Calibri"/>
                <w:color w:val="000000"/>
                <w:sz w:val="16"/>
                <w:szCs w:val="16"/>
              </w:rPr>
              <w:t>6.91</w:t>
            </w:r>
          </w:p>
        </w:tc>
      </w:tr>
      <w:tr w:rsidR="00B27E1C" w:rsidRPr="00753CBF" w:rsidTr="00F102EB">
        <w:trPr>
          <w:trHeight w:val="170"/>
        </w:trPr>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OB05014</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8/09/2005</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OB23</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RN022937</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441.5</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7.27</w:t>
            </w:r>
          </w:p>
        </w:tc>
      </w:tr>
      <w:tr w:rsidR="00B27E1C" w:rsidRPr="00753CBF" w:rsidTr="00F102EB">
        <w:trPr>
          <w:trHeight w:val="170"/>
        </w:trPr>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OB06004</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14/09/2006</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OB23</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RN022937</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430.3</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7.04</w:t>
            </w:r>
          </w:p>
        </w:tc>
      </w:tr>
      <w:tr w:rsidR="00B27E1C" w:rsidRPr="00753CBF" w:rsidTr="00F102EB">
        <w:trPr>
          <w:trHeight w:val="170"/>
        </w:trPr>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OB07012</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14/09/2007</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OB23</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RN022937</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479.9</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7.16</w:t>
            </w:r>
          </w:p>
        </w:tc>
      </w:tr>
      <w:tr w:rsidR="00B27E1C" w:rsidRPr="00753CBF" w:rsidTr="00F102EB">
        <w:trPr>
          <w:trHeight w:val="170"/>
        </w:trPr>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OB08005</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4/09/2008</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OB23</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RN022937</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466.2</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7.48</w:t>
            </w:r>
          </w:p>
        </w:tc>
      </w:tr>
      <w:tr w:rsidR="00B27E1C" w:rsidRPr="00753CBF" w:rsidTr="00F102EB">
        <w:trPr>
          <w:trHeight w:val="170"/>
        </w:trPr>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OB09009</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23/09/2009</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OB23</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RN022937</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488.4</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7.5</w:t>
            </w:r>
          </w:p>
        </w:tc>
      </w:tr>
      <w:tr w:rsidR="00B27E1C" w:rsidRPr="00753CBF" w:rsidTr="00F102EB">
        <w:trPr>
          <w:trHeight w:val="170"/>
        </w:trPr>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RM10038</w:t>
            </w:r>
          </w:p>
        </w:tc>
        <w:tc>
          <w:tcPr>
            <w:tcW w:w="0" w:type="auto"/>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28/09/2010</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OB23</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RN022937</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446.8</w:t>
            </w:r>
          </w:p>
        </w:tc>
        <w:tc>
          <w:tcPr>
            <w:tcW w:w="0" w:type="auto"/>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7.18</w:t>
            </w:r>
          </w:p>
        </w:tc>
      </w:tr>
    </w:tbl>
    <w:p w:rsidR="00B27E1C" w:rsidRDefault="00B27E1C" w:rsidP="00B27E1C">
      <w:pPr>
        <w:spacing w:after="0"/>
      </w:pPr>
    </w:p>
    <w:p w:rsidR="00B27E1C" w:rsidRPr="00753CBF" w:rsidRDefault="00B27E1C" w:rsidP="00B27E1C">
      <w:pPr>
        <w:pStyle w:val="Heading4"/>
      </w:pPr>
      <w:bookmarkStart w:id="579" w:name="_Toc386618818"/>
      <w:bookmarkStart w:id="580" w:name="_Toc389217314"/>
      <w:bookmarkStart w:id="581" w:name="_Toc398721812"/>
      <w:bookmarkStart w:id="582" w:name="_Toc411850638"/>
      <w:r>
        <w:t>Bore OB1A</w:t>
      </w:r>
      <w:bookmarkEnd w:id="579"/>
      <w:bookmarkEnd w:id="580"/>
      <w:bookmarkEnd w:id="581"/>
      <w:bookmarkEnd w:id="5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89"/>
        <w:gridCol w:w="691"/>
        <w:gridCol w:w="973"/>
        <w:gridCol w:w="581"/>
        <w:gridCol w:w="500"/>
      </w:tblGrid>
      <w:tr w:rsidR="00B27E1C" w:rsidRPr="00753CBF" w:rsidTr="00F102EB">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jc w:val="center"/>
              <w:rPr>
                <w:rFonts w:ascii="Calibri" w:hAnsi="Calibri" w:cs="Calibri"/>
                <w:sz w:val="16"/>
                <w:szCs w:val="16"/>
                <w:lang w:eastAsia="en-AU"/>
              </w:rPr>
            </w:pPr>
            <w:r w:rsidRPr="00753CBF">
              <w:rPr>
                <w:rFonts w:ascii="Calibri" w:hAnsi="Calibri" w:cs="Calibri"/>
                <w:sz w:val="16"/>
                <w:szCs w:val="16"/>
                <w:lang w:eastAsia="en-AU"/>
              </w:rPr>
              <w:t>OB03009</w:t>
            </w:r>
          </w:p>
        </w:tc>
        <w:tc>
          <w:tcPr>
            <w:tcW w:w="0" w:type="auto"/>
            <w:hideMark/>
          </w:tcPr>
          <w:p w:rsidR="00B27E1C" w:rsidRPr="00753CBF" w:rsidRDefault="00B27E1C" w:rsidP="00F102EB">
            <w:pPr>
              <w:spacing w:after="0" w:line="240" w:lineRule="auto"/>
              <w:jc w:val="center"/>
              <w:rPr>
                <w:rFonts w:ascii="Calibri" w:hAnsi="Calibri" w:cs="Calibri"/>
                <w:color w:val="000000"/>
                <w:sz w:val="16"/>
                <w:szCs w:val="16"/>
              </w:rPr>
            </w:pPr>
            <w:r w:rsidRPr="00753CBF">
              <w:rPr>
                <w:rFonts w:ascii="Calibri" w:hAnsi="Calibri" w:cs="Calibri"/>
                <w:color w:val="000000"/>
                <w:sz w:val="16"/>
                <w:szCs w:val="16"/>
              </w:rPr>
              <w:t>19/09/2003</w:t>
            </w:r>
          </w:p>
        </w:tc>
        <w:tc>
          <w:tcPr>
            <w:tcW w:w="0" w:type="auto"/>
            <w:hideMark/>
          </w:tcPr>
          <w:p w:rsidR="00B27E1C" w:rsidRPr="00753CBF" w:rsidRDefault="00B27E1C" w:rsidP="00F102EB">
            <w:pPr>
              <w:spacing w:after="0" w:line="240" w:lineRule="auto"/>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hideMark/>
          </w:tcPr>
          <w:p w:rsidR="00B27E1C" w:rsidRPr="00753CBF" w:rsidRDefault="00B27E1C" w:rsidP="00F102EB">
            <w:pPr>
              <w:spacing w:after="0" w:line="240" w:lineRule="auto"/>
              <w:jc w:val="center"/>
              <w:rPr>
                <w:rFonts w:ascii="Calibri" w:hAnsi="Calibri" w:cs="Calibri"/>
                <w:sz w:val="16"/>
                <w:szCs w:val="16"/>
                <w:lang w:eastAsia="en-AU"/>
              </w:rPr>
            </w:pPr>
            <w:r w:rsidRPr="00753CBF">
              <w:rPr>
                <w:rFonts w:ascii="Calibri" w:hAnsi="Calibri" w:cs="Calibri"/>
                <w:sz w:val="16"/>
                <w:szCs w:val="16"/>
                <w:lang w:eastAsia="en-AU"/>
              </w:rPr>
              <w:t>205</w:t>
            </w:r>
          </w:p>
        </w:tc>
        <w:tc>
          <w:tcPr>
            <w:tcW w:w="0" w:type="auto"/>
            <w:hideMark/>
          </w:tcPr>
          <w:p w:rsidR="00B27E1C" w:rsidRPr="00753CBF" w:rsidRDefault="00B27E1C" w:rsidP="00F102EB">
            <w:pPr>
              <w:spacing w:after="0" w:line="240" w:lineRule="auto"/>
              <w:jc w:val="center"/>
              <w:rPr>
                <w:rFonts w:ascii="Calibri" w:hAnsi="Calibri" w:cs="Calibri"/>
                <w:sz w:val="16"/>
                <w:szCs w:val="16"/>
                <w:lang w:eastAsia="en-AU"/>
              </w:rPr>
            </w:pPr>
            <w:r w:rsidRPr="00753CBF">
              <w:rPr>
                <w:rFonts w:ascii="Calibri" w:hAnsi="Calibri" w:cs="Calibri"/>
                <w:sz w:val="16"/>
                <w:szCs w:val="16"/>
                <w:lang w:eastAsia="en-AU"/>
              </w:rPr>
              <w:t>6.08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OB04001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22/09/2004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123.7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5.73</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OB05011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7/09/2005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220.9</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5.87</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OB06001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12/09/2006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238.6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6.26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OB07007</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12/09/2007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251.3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6.71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OB08007</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5/09/2008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279.3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6.52</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OB09010</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16/09/2009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248.6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6.35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RM10041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30/09/2010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6.15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OB11008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21/09/2011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282.8</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6.4</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OB11008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21/09/2011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282.8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6.4</w:t>
            </w:r>
          </w:p>
        </w:tc>
      </w:tr>
    </w:tbl>
    <w:p w:rsidR="00B27E1C" w:rsidRDefault="00B27E1C" w:rsidP="00B27E1C">
      <w:pPr>
        <w:spacing w:after="0"/>
      </w:pPr>
    </w:p>
    <w:p w:rsidR="00B27E1C" w:rsidRPr="00753CBF" w:rsidRDefault="00B27E1C" w:rsidP="00B27E1C">
      <w:pPr>
        <w:pStyle w:val="Heading4"/>
      </w:pPr>
      <w:bookmarkStart w:id="583" w:name="_Toc386618819"/>
      <w:bookmarkStart w:id="584" w:name="_Toc389217315"/>
      <w:bookmarkStart w:id="585" w:name="_Toc398721813"/>
      <w:bookmarkStart w:id="586" w:name="_Toc411850639"/>
      <w:r>
        <w:t>Bore RN9329</w:t>
      </w:r>
      <w:bookmarkEnd w:id="583"/>
      <w:bookmarkEnd w:id="584"/>
      <w:bookmarkEnd w:id="585"/>
      <w:bookmarkEnd w:id="5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89"/>
        <w:gridCol w:w="731"/>
        <w:gridCol w:w="973"/>
        <w:gridCol w:w="581"/>
        <w:gridCol w:w="500"/>
      </w:tblGrid>
      <w:tr w:rsidR="00B27E1C" w:rsidRPr="00753CBF" w:rsidTr="00F102EB">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OB04009</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14/09/2004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RN009329</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212</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6.59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OB05019</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6/09/2005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RN009329</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185</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6.15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OB06009</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13/09/2005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193.9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6.25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OB07011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13/09/2007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222.4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6.41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OB08006</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4/09/2008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222.4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6.79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RM10045</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1/10/2010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177.5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6.38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OB11007</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20/09/2011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256.5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6.79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OB12016</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19/09/2011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RN009329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243.6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6.65</w:t>
            </w:r>
          </w:p>
        </w:tc>
      </w:tr>
    </w:tbl>
    <w:p w:rsidR="00B27E1C" w:rsidRDefault="00B27E1C" w:rsidP="00B27E1C">
      <w:pPr>
        <w:spacing w:after="0"/>
      </w:pPr>
    </w:p>
    <w:p w:rsidR="00B27E1C" w:rsidRPr="00753CBF" w:rsidRDefault="00B27E1C" w:rsidP="00B27E1C">
      <w:pPr>
        <w:pStyle w:val="Heading4"/>
      </w:pPr>
      <w:bookmarkStart w:id="587" w:name="_Toc386618820"/>
      <w:bookmarkStart w:id="588" w:name="_Toc389217316"/>
      <w:bookmarkStart w:id="589" w:name="_Toc398721814"/>
      <w:bookmarkStart w:id="590" w:name="_Toc411850640"/>
      <w:r>
        <w:t>Bore OB20</w:t>
      </w:r>
      <w:bookmarkEnd w:id="587"/>
      <w:bookmarkEnd w:id="588"/>
      <w:bookmarkEnd w:id="589"/>
      <w:bookmarkEnd w:id="5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89"/>
        <w:gridCol w:w="691"/>
        <w:gridCol w:w="973"/>
        <w:gridCol w:w="581"/>
        <w:gridCol w:w="500"/>
      </w:tblGrid>
      <w:tr w:rsidR="00B27E1C" w:rsidRPr="00753CBF" w:rsidTr="00F102EB">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vAlign w:val="bottom"/>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OB03011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16/09/2003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6.52</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OB04002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14/09/2004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255.5</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6.41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OB05012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6/09/2005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249.5</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6.48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OB07010</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13/09/2007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295.1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6.63</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OB08004</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4/09/2008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267.5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6.86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OB09008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18/09/2009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285.1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6.84</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RM10042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30/09/2010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276.3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6.65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OB11014</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22/09/2011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297.7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6.66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OB12014</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19/09/2012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291.3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6.67</w:t>
            </w:r>
          </w:p>
        </w:tc>
      </w:tr>
    </w:tbl>
    <w:p w:rsidR="00B27E1C" w:rsidRDefault="00B27E1C" w:rsidP="00B27E1C"/>
    <w:p w:rsidR="00EC4F53" w:rsidRDefault="00EC4F53" w:rsidP="00B27E1C"/>
    <w:p w:rsidR="00B27E1C" w:rsidRPr="00753CBF" w:rsidRDefault="00B27E1C" w:rsidP="00B27E1C">
      <w:pPr>
        <w:pStyle w:val="Heading4"/>
      </w:pPr>
      <w:bookmarkStart w:id="591" w:name="_Toc386618821"/>
      <w:bookmarkStart w:id="592" w:name="_Toc389217317"/>
      <w:bookmarkStart w:id="593" w:name="_Toc398721815"/>
      <w:bookmarkStart w:id="594" w:name="_Toc411850641"/>
      <w:r>
        <w:t>Bore OB21A</w:t>
      </w:r>
      <w:bookmarkEnd w:id="591"/>
      <w:bookmarkEnd w:id="592"/>
      <w:bookmarkEnd w:id="593"/>
      <w:bookmarkEnd w:id="5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89"/>
        <w:gridCol w:w="691"/>
        <w:gridCol w:w="973"/>
        <w:gridCol w:w="581"/>
        <w:gridCol w:w="500"/>
      </w:tblGrid>
      <w:tr w:rsidR="00B27E1C" w:rsidRPr="00753CBF" w:rsidTr="00F102EB">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OB03012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16/09/2003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282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7.01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OB04003</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14/09/2004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358.4</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7.42</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OB05013</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7/09/2005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357.8</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6.92</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OB06003</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13/09/2006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376.9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7.05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OB07008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12/09/2007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401.3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7.54</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OB08003</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3/09/2008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382.9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7.48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OB09006</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16/09/2009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387.1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7.58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RM10039</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28/09/2010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363.8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7.24</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OB11009</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21/09/2011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387.5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7.17</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OB12011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19/09/2012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OB21A</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RN022935</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360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7.42</w:t>
            </w:r>
          </w:p>
        </w:tc>
      </w:tr>
    </w:tbl>
    <w:p w:rsidR="00B27E1C" w:rsidRDefault="00B27E1C" w:rsidP="00B27E1C">
      <w:pPr>
        <w:spacing w:after="0"/>
      </w:pPr>
    </w:p>
    <w:p w:rsidR="00B27E1C" w:rsidRPr="00753CBF" w:rsidRDefault="00B27E1C" w:rsidP="00B27E1C">
      <w:pPr>
        <w:pStyle w:val="Heading4"/>
      </w:pPr>
      <w:bookmarkStart w:id="595" w:name="_Toc386618822"/>
      <w:bookmarkStart w:id="596" w:name="_Toc389217318"/>
      <w:bookmarkStart w:id="597" w:name="_Toc398721816"/>
      <w:bookmarkStart w:id="598" w:name="_Toc411850642"/>
      <w:r>
        <w:t>Bore OB30</w:t>
      </w:r>
      <w:bookmarkEnd w:id="595"/>
      <w:bookmarkEnd w:id="596"/>
      <w:bookmarkEnd w:id="597"/>
      <w:bookmarkEnd w:id="5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89"/>
        <w:gridCol w:w="691"/>
        <w:gridCol w:w="973"/>
        <w:gridCol w:w="581"/>
        <w:gridCol w:w="500"/>
      </w:tblGrid>
      <w:tr w:rsidR="00B27E1C" w:rsidRPr="00753CBF" w:rsidTr="00F102EB">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OB0108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25/05/2001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398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7.76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OB02001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27/05/2002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409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8.4</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OB03005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21/05/2003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391.6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7.72</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OB03013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19/09/2003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429</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7.33</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OB04007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rPr>
            </w:pPr>
            <w:r w:rsidRPr="00753CBF">
              <w:rPr>
                <w:rFonts w:ascii="Calibri" w:hAnsi="Calibri" w:cs="Calibri"/>
                <w:sz w:val="16"/>
                <w:szCs w:val="16"/>
              </w:rPr>
              <w:t>22/09/2004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478.2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6.99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OB05016</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7/09/2005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440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OB06007</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15/09/2006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531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7.38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OB07009</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12/09/2007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571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7.76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OB08002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2/09/2008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523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7.49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OB09002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15/09/2009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540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RM10040</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29/09/2010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524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7.43</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OB11011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21/09/2011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7.34</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OB12013</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19/09/2012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RN022941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521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7.49</w:t>
            </w:r>
          </w:p>
        </w:tc>
      </w:tr>
    </w:tbl>
    <w:p w:rsidR="00B27E1C" w:rsidRDefault="00B27E1C" w:rsidP="00B27E1C">
      <w:pPr>
        <w:spacing w:after="0"/>
      </w:pPr>
    </w:p>
    <w:p w:rsidR="00B27E1C" w:rsidRPr="00753CBF" w:rsidRDefault="00B27E1C" w:rsidP="00B27E1C">
      <w:pPr>
        <w:pStyle w:val="Heading4"/>
      </w:pPr>
      <w:bookmarkStart w:id="599" w:name="_Toc386618823"/>
      <w:bookmarkStart w:id="600" w:name="_Toc389217319"/>
      <w:bookmarkStart w:id="601" w:name="_Toc398721817"/>
      <w:bookmarkStart w:id="602" w:name="_Toc411850643"/>
      <w:r>
        <w:t>Bore OB27</w:t>
      </w:r>
      <w:bookmarkEnd w:id="599"/>
      <w:bookmarkEnd w:id="600"/>
      <w:bookmarkEnd w:id="601"/>
      <w:bookmarkEnd w:id="6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89"/>
        <w:gridCol w:w="691"/>
        <w:gridCol w:w="973"/>
        <w:gridCol w:w="581"/>
        <w:gridCol w:w="500"/>
      </w:tblGrid>
      <w:tr w:rsidR="00B27E1C" w:rsidRPr="00753CBF" w:rsidTr="00F102EB">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OB03010</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18/09/2003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277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6.59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OB04006</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17/09/2004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363.3</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6.53</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OB05015</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6/09/2005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270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6.59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OB06006</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11/09/2006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322.9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6.45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OB07004</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11/09/2007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175.5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6.56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OB09003</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15/09/2009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215.4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6.16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RM10036</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27/09/2010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167.8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5.75</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OB11012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22/09/2011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241.9</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6.38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OB12010</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18/09/2012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OB27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RN022930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175.3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6.25</w:t>
            </w:r>
          </w:p>
        </w:tc>
      </w:tr>
    </w:tbl>
    <w:p w:rsidR="00B27E1C" w:rsidRDefault="00B27E1C" w:rsidP="00B27E1C">
      <w:pPr>
        <w:spacing w:after="0"/>
      </w:pPr>
    </w:p>
    <w:p w:rsidR="00B27E1C" w:rsidRPr="00753CBF" w:rsidRDefault="00B27E1C" w:rsidP="00B27E1C">
      <w:pPr>
        <w:pStyle w:val="Heading4"/>
      </w:pPr>
      <w:bookmarkStart w:id="603" w:name="_Toc386618824"/>
      <w:bookmarkStart w:id="604" w:name="_Toc389217320"/>
      <w:bookmarkStart w:id="605" w:name="_Toc398721818"/>
      <w:bookmarkStart w:id="606" w:name="_Toc411850644"/>
      <w:r>
        <w:t>Bore 83_1</w:t>
      </w:r>
      <w:bookmarkEnd w:id="603"/>
      <w:bookmarkEnd w:id="604"/>
      <w:bookmarkEnd w:id="605"/>
      <w:bookmarkEnd w:id="6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989"/>
        <w:gridCol w:w="691"/>
        <w:gridCol w:w="973"/>
        <w:gridCol w:w="581"/>
        <w:gridCol w:w="500"/>
      </w:tblGrid>
      <w:tr w:rsidR="00B27E1C" w:rsidRPr="00753CBF" w:rsidTr="00F102EB">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OB03008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17/09/2003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120.8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6.76</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OB04008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20/09/2003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139.7</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6.89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OB05017</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7/09/2005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123.4</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6.37</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RM10037</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28/09/2010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130.8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7.03</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OB11002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19/09/2011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110.3</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6.77</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OB11004</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19/09/2011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110.3</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6.77</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OB06008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12/09/2006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126.8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6.78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OB07006</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11/09/2007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122.8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7.31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OB08001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2/09/2008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116.7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6.9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OB09004</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15/09/2009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130.4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7.11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OB12009</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17/09/2012</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83_1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RN023010</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123.6</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6.71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p>
        </w:tc>
      </w:tr>
    </w:tbl>
    <w:p w:rsidR="00B27E1C" w:rsidRDefault="00B27E1C" w:rsidP="00B27E1C">
      <w:pPr>
        <w:pStyle w:val="Heading4"/>
      </w:pPr>
      <w:bookmarkStart w:id="607" w:name="_Toc386618825"/>
      <w:bookmarkStart w:id="608" w:name="_Toc389217321"/>
      <w:bookmarkStart w:id="609" w:name="_Toc398721819"/>
    </w:p>
    <w:p w:rsidR="00B27E1C" w:rsidRPr="00753CBF" w:rsidRDefault="00B27E1C" w:rsidP="00B27E1C">
      <w:pPr>
        <w:pStyle w:val="Heading4"/>
      </w:pPr>
      <w:bookmarkStart w:id="610" w:name="_Toc411850645"/>
      <w:r>
        <w:t>Bore RN23551</w:t>
      </w:r>
      <w:bookmarkEnd w:id="607"/>
      <w:bookmarkEnd w:id="608"/>
      <w:bookmarkEnd w:id="609"/>
      <w:bookmarkEnd w:id="6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989"/>
        <w:gridCol w:w="812"/>
        <w:gridCol w:w="973"/>
        <w:gridCol w:w="541"/>
        <w:gridCol w:w="500"/>
      </w:tblGrid>
      <w:tr w:rsidR="00B27E1C" w:rsidRPr="00753CBF" w:rsidTr="00F102EB">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OB04010</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16/09/2004</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RN23551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RN023551</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1279</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5.58</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OB05018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8/09/2005</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RN23551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RN023551</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1488</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5.81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OB07002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10/09/2007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RN23551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RN023551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1299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5.89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OB11003</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20/09/2011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RN23551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RN023551</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996</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w:t>
            </w:r>
          </w:p>
        </w:tc>
      </w:tr>
    </w:tbl>
    <w:p w:rsidR="00B27E1C" w:rsidRDefault="00B27E1C" w:rsidP="00B27E1C"/>
    <w:p w:rsidR="00B27E1C" w:rsidRPr="00753CBF" w:rsidRDefault="00B27E1C" w:rsidP="00B27E1C">
      <w:pPr>
        <w:pStyle w:val="Heading4"/>
      </w:pPr>
      <w:bookmarkStart w:id="611" w:name="_Toc386618826"/>
      <w:bookmarkStart w:id="612" w:name="_Toc389217322"/>
      <w:bookmarkStart w:id="613" w:name="_Toc398721820"/>
      <w:bookmarkStart w:id="614" w:name="_Toc411850646"/>
      <w:r>
        <w:t>Bore B11</w:t>
      </w:r>
      <w:bookmarkEnd w:id="611"/>
      <w:bookmarkEnd w:id="612"/>
      <w:bookmarkEnd w:id="613"/>
      <w:bookmarkEnd w:id="6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989"/>
        <w:gridCol w:w="691"/>
        <w:gridCol w:w="973"/>
        <w:gridCol w:w="581"/>
        <w:gridCol w:w="500"/>
      </w:tblGrid>
      <w:tr w:rsidR="00B27E1C" w:rsidRPr="00753CBF" w:rsidTr="00F102EB">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eriss_ID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Date</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Site_ID</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RN number</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EC</w:t>
            </w:r>
          </w:p>
        </w:tc>
        <w:tc>
          <w:tcPr>
            <w:tcW w:w="0" w:type="auto"/>
          </w:tcPr>
          <w:p w:rsidR="00B27E1C" w:rsidRPr="00753CBF" w:rsidRDefault="00B27E1C" w:rsidP="00F102EB">
            <w:pPr>
              <w:spacing w:line="240" w:lineRule="auto"/>
              <w:contextualSpacing/>
              <w:jc w:val="center"/>
              <w:rPr>
                <w:rFonts w:ascii="Calibri" w:hAnsi="Calibri" w:cs="Calibri"/>
                <w:b/>
                <w:bCs/>
                <w:sz w:val="16"/>
                <w:szCs w:val="16"/>
                <w:lang w:eastAsia="en-AU"/>
              </w:rPr>
            </w:pPr>
            <w:r w:rsidRPr="00753CBF">
              <w:rPr>
                <w:rFonts w:ascii="Calibri" w:hAnsi="Calibri" w:cs="Calibri"/>
                <w:b/>
                <w:bCs/>
                <w:sz w:val="16"/>
                <w:szCs w:val="16"/>
                <w:lang w:eastAsia="en-AU"/>
              </w:rPr>
              <w:t>pH</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OB06002</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15/09/2006</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B11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RN007243</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147.3</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5.91</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OB07001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10/09/2007</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B11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RN007243</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151.7</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6.19</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OB08008</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5/09/2008</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B11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RN007243</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153.8</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6.32</w:t>
            </w:r>
          </w:p>
        </w:tc>
      </w:tr>
      <w:tr w:rsidR="00B27E1C" w:rsidRPr="00753CBF" w:rsidTr="00F102EB">
        <w:trPr>
          <w:trHeight w:val="227"/>
        </w:trPr>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OB09001</w:t>
            </w:r>
          </w:p>
        </w:tc>
        <w:tc>
          <w:tcPr>
            <w:tcW w:w="0" w:type="auto"/>
            <w:hideMark/>
          </w:tcPr>
          <w:p w:rsidR="00B27E1C" w:rsidRPr="00753CBF" w:rsidRDefault="00B27E1C" w:rsidP="00F102EB">
            <w:pPr>
              <w:spacing w:after="0" w:line="240" w:lineRule="auto"/>
              <w:contextualSpacing/>
              <w:jc w:val="center"/>
              <w:rPr>
                <w:rFonts w:ascii="Calibri" w:hAnsi="Calibri" w:cs="Calibri"/>
                <w:color w:val="000000"/>
                <w:sz w:val="16"/>
                <w:szCs w:val="16"/>
              </w:rPr>
            </w:pPr>
            <w:r w:rsidRPr="00753CBF">
              <w:rPr>
                <w:rFonts w:ascii="Calibri" w:hAnsi="Calibri" w:cs="Calibri"/>
                <w:color w:val="000000"/>
                <w:sz w:val="16"/>
                <w:szCs w:val="16"/>
              </w:rPr>
              <w:t>14/09/2009</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B11</w:t>
            </w:r>
          </w:p>
        </w:tc>
        <w:tc>
          <w:tcPr>
            <w:tcW w:w="0" w:type="auto"/>
            <w:hideMark/>
          </w:tcPr>
          <w:p w:rsidR="00B27E1C" w:rsidRPr="00753CBF" w:rsidRDefault="00B27E1C" w:rsidP="00F102EB">
            <w:pPr>
              <w:spacing w:after="0" w:line="240" w:lineRule="auto"/>
              <w:contextualSpacing/>
              <w:jc w:val="center"/>
              <w:rPr>
                <w:rFonts w:ascii="Calibri" w:hAnsi="Calibri" w:cs="Calibri"/>
                <w:sz w:val="16"/>
                <w:szCs w:val="16"/>
                <w:lang w:eastAsia="en-AU"/>
              </w:rPr>
            </w:pPr>
            <w:r w:rsidRPr="00753CBF">
              <w:rPr>
                <w:rFonts w:ascii="Calibri" w:hAnsi="Calibri" w:cs="Calibri"/>
                <w:sz w:val="16"/>
                <w:szCs w:val="16"/>
                <w:lang w:eastAsia="en-AU"/>
              </w:rPr>
              <w:t>RN007243</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146</w:t>
            </w:r>
          </w:p>
        </w:tc>
        <w:tc>
          <w:tcPr>
            <w:tcW w:w="0" w:type="auto"/>
            <w:noWrap/>
            <w:hideMark/>
          </w:tcPr>
          <w:p w:rsidR="00B27E1C" w:rsidRPr="00753CBF" w:rsidRDefault="00B27E1C" w:rsidP="00F102EB">
            <w:pPr>
              <w:spacing w:after="0" w:line="240" w:lineRule="auto"/>
              <w:contextualSpacing/>
              <w:jc w:val="center"/>
              <w:rPr>
                <w:rFonts w:ascii="Calibri" w:hAnsi="Calibri" w:cs="Calibri"/>
                <w:color w:val="000000"/>
                <w:sz w:val="16"/>
                <w:szCs w:val="16"/>
                <w:lang w:eastAsia="en-AU"/>
              </w:rPr>
            </w:pPr>
            <w:r w:rsidRPr="00753CBF">
              <w:rPr>
                <w:rFonts w:ascii="Calibri" w:hAnsi="Calibri" w:cs="Calibri"/>
                <w:color w:val="000000"/>
                <w:sz w:val="16"/>
                <w:szCs w:val="16"/>
                <w:lang w:eastAsia="en-AU"/>
              </w:rPr>
              <w:t>6.24</w:t>
            </w:r>
          </w:p>
        </w:tc>
      </w:tr>
    </w:tbl>
    <w:p w:rsidR="00B27E1C" w:rsidRDefault="00B27E1C" w:rsidP="00B27E1C"/>
    <w:p w:rsidR="000A6E3B" w:rsidRPr="009D3D38" w:rsidRDefault="000A6E3B" w:rsidP="009D3D38"/>
    <w:sectPr w:rsidR="000A6E3B" w:rsidRPr="009D3D38" w:rsidSect="00EC4F53">
      <w:pgSz w:w="11906" w:h="16838" w:code="9"/>
      <w:pgMar w:top="1276" w:right="1800" w:bottom="1276" w:left="1800" w:header="1080" w:footer="835" w:gutter="0"/>
      <w:cols w:space="3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829" w:rsidRDefault="00CA3829">
      <w:r>
        <w:separator/>
      </w:r>
    </w:p>
  </w:endnote>
  <w:endnote w:type="continuationSeparator" w:id="0">
    <w:p w:rsidR="00CA3829" w:rsidRDefault="00CA38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CA3829">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CA3829">
        <w:rPr>
          <w:noProof/>
        </w:rPr>
        <w:t>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CA3829">
    <w:pPr>
      <w:pStyle w:val="Footer"/>
    </w:pPr>
    <w:bookmarkStart w:id="2" w:name="_Toc513964624"/>
    <w:bookmarkEnd w:id="2"/>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CA3829">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2D5224">
        <w:rPr>
          <w:noProof/>
        </w:rPr>
        <w:t>v</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CA3829">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2D5224">
        <w:rPr>
          <w:noProof/>
        </w:rPr>
        <w:t>19</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CA3829">
        <w:rPr>
          <w:noProof/>
        </w:rPr>
        <w:t>1</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CA3829">
        <w:t>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Footer"/>
    </w:pPr>
    <w:fldSimple w:instr="PAGE">
      <w:r w:rsidR="002D5224">
        <w:rPr>
          <w:noProof/>
        </w:rPr>
        <w:t>221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829" w:rsidRDefault="00CA3829">
      <w:r>
        <w:separator/>
      </w:r>
    </w:p>
  </w:footnote>
  <w:footnote w:type="continuationSeparator" w:id="0">
    <w:p w:rsidR="00CA3829" w:rsidRDefault="00CA38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CA3829">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224" w:rsidRDefault="002D52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224" w:rsidRDefault="002D522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CA3829">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Header"/>
      <w:jc w:val="right"/>
      <w:rPr>
        <w:rFonts w:ascii="Arial" w:hAnsi="Arial"/>
        <w:sz w:val="14"/>
      </w:rPr>
    </w:pPr>
    <w:fldSimple w:instr=" FILENAME \* Lower\p  \* MERGEFORMAT ">
      <w:r w:rsidR="00CA3829">
        <w:rPr>
          <w:rFonts w:ascii="Arial" w:hAnsi="Arial"/>
          <w:noProof/>
          <w:sz w:val="14"/>
        </w:rPr>
        <w:t>\\pvnt01flpr01\user$\a02436\documents\sharepoint drafts\review of the groundwater program-final draft.doc</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CA3829">
    <w:pPr>
      <w:pStyle w:val="Header"/>
      <w:jc w:val="right"/>
      <w:rPr>
        <w:smallCaps/>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9" w:rsidRDefault="00BA3FC5">
    <w:pPr>
      <w:pStyle w:val="Header"/>
      <w:jc w:val="right"/>
      <w:rPr>
        <w:rFonts w:ascii="Arial" w:hAnsi="Arial"/>
        <w:sz w:val="14"/>
      </w:rPr>
    </w:pPr>
    <w:fldSimple w:instr=" FILENAME \* Lower\p  \* MERGEFORMAT ">
      <w:r w:rsidR="00CA3829" w:rsidRPr="00F16C2C">
        <w:rPr>
          <w:rFonts w:ascii="Arial" w:hAnsi="Arial"/>
          <w:noProof/>
          <w:sz w:val="14"/>
        </w:rPr>
        <w:t>document1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2E8EB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4">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5">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10">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BCA7E01"/>
    <w:multiLevelType w:val="hybridMultilevel"/>
    <w:tmpl w:val="8384D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7BE1AD7"/>
    <w:multiLevelType w:val="hybridMultilevel"/>
    <w:tmpl w:val="AE1CEB7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3F05A6B"/>
    <w:multiLevelType w:val="hybridMultilevel"/>
    <w:tmpl w:val="8FB224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EE0CC8"/>
    <w:multiLevelType w:val="singleLevel"/>
    <w:tmpl w:val="0409000F"/>
    <w:lvl w:ilvl="0">
      <w:start w:val="1"/>
      <w:numFmt w:val="decimal"/>
      <w:lvlText w:val="%1."/>
      <w:lvlJc w:val="left"/>
      <w:pPr>
        <w:tabs>
          <w:tab w:val="num" w:pos="360"/>
        </w:tabs>
        <w:ind w:left="360" w:hanging="360"/>
      </w:pPr>
    </w:lvl>
  </w:abstractNum>
  <w:abstractNum w:abstractNumId="15">
    <w:nsid w:val="3BE16F0B"/>
    <w:multiLevelType w:val="hybridMultilevel"/>
    <w:tmpl w:val="8B2811E2"/>
    <w:lvl w:ilvl="0" w:tplc="3E64F59E">
      <w:start w:val="1"/>
      <w:numFmt w:val="decimal"/>
      <w:lvlText w:val="%1."/>
      <w:lvlJc w:val="left"/>
      <w:pPr>
        <w:tabs>
          <w:tab w:val="num" w:pos="720"/>
        </w:tabs>
        <w:ind w:left="720"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4C006378"/>
    <w:multiLevelType w:val="hybridMultilevel"/>
    <w:tmpl w:val="5B9A9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AFF3375"/>
    <w:multiLevelType w:val="hybridMultilevel"/>
    <w:tmpl w:val="5ED237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DFF3908"/>
    <w:multiLevelType w:val="hybridMultilevel"/>
    <w:tmpl w:val="6602B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2081450"/>
    <w:multiLevelType w:val="hybridMultilevel"/>
    <w:tmpl w:val="B3F4283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429530D"/>
    <w:multiLevelType w:val="hybridMultilevel"/>
    <w:tmpl w:val="BE400D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4EA44A1"/>
    <w:multiLevelType w:val="hybridMultilevel"/>
    <w:tmpl w:val="2FECDA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D3026D6"/>
    <w:multiLevelType w:val="hybridMultilevel"/>
    <w:tmpl w:val="6190311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1F21AF8"/>
    <w:multiLevelType w:val="hybridMultilevel"/>
    <w:tmpl w:val="7D14E4D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F135F7D"/>
    <w:multiLevelType w:val="hybridMultilevel"/>
    <w:tmpl w:val="66D4327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9"/>
  </w:num>
  <w:num w:numId="3">
    <w:abstractNumId w:val="26"/>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8"/>
  </w:num>
  <w:num w:numId="15">
    <w:abstractNumId w:val="11"/>
  </w:num>
  <w:num w:numId="16">
    <w:abstractNumId w:val="25"/>
  </w:num>
  <w:num w:numId="17">
    <w:abstractNumId w:val="27"/>
  </w:num>
  <w:num w:numId="18">
    <w:abstractNumId w:val="24"/>
  </w:num>
  <w:num w:numId="19">
    <w:abstractNumId w:val="21"/>
  </w:num>
  <w:num w:numId="20">
    <w:abstractNumId w:val="13"/>
  </w:num>
  <w:num w:numId="21">
    <w:abstractNumId w:val="12"/>
  </w:num>
  <w:num w:numId="22">
    <w:abstractNumId w:val="16"/>
  </w:num>
  <w:num w:numId="23">
    <w:abstractNumId w:val="22"/>
  </w:num>
  <w:num w:numId="24">
    <w:abstractNumId w:val="23"/>
  </w:num>
  <w:num w:numId="25">
    <w:abstractNumId w:val="20"/>
  </w:num>
  <w:num w:numId="26">
    <w:abstractNumId w:val="14"/>
  </w:num>
  <w:num w:numId="27">
    <w:abstractNumId w:val="0"/>
  </w:num>
  <w:num w:numId="28">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intFractionalCharacterWidth/>
  <w:hideSpellingErrors/>
  <w:hideGrammaticalErrors/>
  <w:proofState w:grammar="clean"/>
  <w:stylePaneFormatFilter w:val="3F01"/>
  <w:defaultTabStop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rsids>
    <w:rsidRoot w:val="00912F47"/>
    <w:rsid w:val="0000163A"/>
    <w:rsid w:val="00045A8A"/>
    <w:rsid w:val="00053CAA"/>
    <w:rsid w:val="00056298"/>
    <w:rsid w:val="000564B1"/>
    <w:rsid w:val="000606DF"/>
    <w:rsid w:val="000A6E3B"/>
    <w:rsid w:val="000B1559"/>
    <w:rsid w:val="001156CD"/>
    <w:rsid w:val="0011663F"/>
    <w:rsid w:val="001314D8"/>
    <w:rsid w:val="00136483"/>
    <w:rsid w:val="001500CF"/>
    <w:rsid w:val="001923AC"/>
    <w:rsid w:val="001A6246"/>
    <w:rsid w:val="002108D7"/>
    <w:rsid w:val="002A37A6"/>
    <w:rsid w:val="002C00AF"/>
    <w:rsid w:val="002C4796"/>
    <w:rsid w:val="002D5224"/>
    <w:rsid w:val="002E2A12"/>
    <w:rsid w:val="002F6687"/>
    <w:rsid w:val="002F794E"/>
    <w:rsid w:val="003535B5"/>
    <w:rsid w:val="00371D2F"/>
    <w:rsid w:val="003E6A90"/>
    <w:rsid w:val="003F6691"/>
    <w:rsid w:val="00406C11"/>
    <w:rsid w:val="0046624D"/>
    <w:rsid w:val="00491071"/>
    <w:rsid w:val="00496178"/>
    <w:rsid w:val="004A043B"/>
    <w:rsid w:val="004A611F"/>
    <w:rsid w:val="004C5D4B"/>
    <w:rsid w:val="004C792C"/>
    <w:rsid w:val="004E6A3C"/>
    <w:rsid w:val="00524E70"/>
    <w:rsid w:val="00533490"/>
    <w:rsid w:val="0055164D"/>
    <w:rsid w:val="00584BB6"/>
    <w:rsid w:val="005A3AB9"/>
    <w:rsid w:val="005B2DA5"/>
    <w:rsid w:val="005D186A"/>
    <w:rsid w:val="005D2023"/>
    <w:rsid w:val="005E215F"/>
    <w:rsid w:val="005E32B8"/>
    <w:rsid w:val="00606E71"/>
    <w:rsid w:val="00615804"/>
    <w:rsid w:val="006178B1"/>
    <w:rsid w:val="00647F7A"/>
    <w:rsid w:val="00673F3E"/>
    <w:rsid w:val="006864EB"/>
    <w:rsid w:val="0069034A"/>
    <w:rsid w:val="00690CAE"/>
    <w:rsid w:val="00692730"/>
    <w:rsid w:val="00695F36"/>
    <w:rsid w:val="006B194D"/>
    <w:rsid w:val="006D057D"/>
    <w:rsid w:val="006D5408"/>
    <w:rsid w:val="006F79B2"/>
    <w:rsid w:val="007143E7"/>
    <w:rsid w:val="00740D64"/>
    <w:rsid w:val="007421B0"/>
    <w:rsid w:val="00743088"/>
    <w:rsid w:val="00755EEA"/>
    <w:rsid w:val="007834B2"/>
    <w:rsid w:val="007977EC"/>
    <w:rsid w:val="007A4E86"/>
    <w:rsid w:val="007B4E00"/>
    <w:rsid w:val="007C46B8"/>
    <w:rsid w:val="007C74F7"/>
    <w:rsid w:val="007D1ED6"/>
    <w:rsid w:val="007D51B9"/>
    <w:rsid w:val="00823D00"/>
    <w:rsid w:val="00832272"/>
    <w:rsid w:val="00837C19"/>
    <w:rsid w:val="00844AEB"/>
    <w:rsid w:val="00852362"/>
    <w:rsid w:val="00873CB1"/>
    <w:rsid w:val="0088157A"/>
    <w:rsid w:val="00885B0A"/>
    <w:rsid w:val="008A648B"/>
    <w:rsid w:val="008A719E"/>
    <w:rsid w:val="008B6579"/>
    <w:rsid w:val="00912F47"/>
    <w:rsid w:val="009137DB"/>
    <w:rsid w:val="0098269E"/>
    <w:rsid w:val="009A3C39"/>
    <w:rsid w:val="009B44F5"/>
    <w:rsid w:val="009D3D38"/>
    <w:rsid w:val="009E12F9"/>
    <w:rsid w:val="009F0281"/>
    <w:rsid w:val="009F31B4"/>
    <w:rsid w:val="00A4235F"/>
    <w:rsid w:val="00A553BE"/>
    <w:rsid w:val="00A6037B"/>
    <w:rsid w:val="00A720D3"/>
    <w:rsid w:val="00A933D1"/>
    <w:rsid w:val="00AA2431"/>
    <w:rsid w:val="00AA5D44"/>
    <w:rsid w:val="00AA64A3"/>
    <w:rsid w:val="00B27E1C"/>
    <w:rsid w:val="00B57923"/>
    <w:rsid w:val="00B75C50"/>
    <w:rsid w:val="00BA3FC5"/>
    <w:rsid w:val="00BA5CDD"/>
    <w:rsid w:val="00BC1DFC"/>
    <w:rsid w:val="00BF5E38"/>
    <w:rsid w:val="00C12534"/>
    <w:rsid w:val="00C220C4"/>
    <w:rsid w:val="00C5323A"/>
    <w:rsid w:val="00C533A2"/>
    <w:rsid w:val="00CA3829"/>
    <w:rsid w:val="00CA4F6A"/>
    <w:rsid w:val="00CB421B"/>
    <w:rsid w:val="00CC513C"/>
    <w:rsid w:val="00CF267F"/>
    <w:rsid w:val="00D1106C"/>
    <w:rsid w:val="00D24DD5"/>
    <w:rsid w:val="00D37FE4"/>
    <w:rsid w:val="00D425D9"/>
    <w:rsid w:val="00D44115"/>
    <w:rsid w:val="00D44E2C"/>
    <w:rsid w:val="00D7615D"/>
    <w:rsid w:val="00D77D1E"/>
    <w:rsid w:val="00DA6BB4"/>
    <w:rsid w:val="00DC4556"/>
    <w:rsid w:val="00E01A12"/>
    <w:rsid w:val="00E06246"/>
    <w:rsid w:val="00E232CD"/>
    <w:rsid w:val="00E47E3D"/>
    <w:rsid w:val="00E73717"/>
    <w:rsid w:val="00E82A74"/>
    <w:rsid w:val="00E9208F"/>
    <w:rsid w:val="00E961B5"/>
    <w:rsid w:val="00EC47D5"/>
    <w:rsid w:val="00EC4F53"/>
    <w:rsid w:val="00EC6996"/>
    <w:rsid w:val="00F102EB"/>
    <w:rsid w:val="00F16C2C"/>
    <w:rsid w:val="00F17389"/>
    <w:rsid w:val="00F353E7"/>
    <w:rsid w:val="00F9550F"/>
    <w:rsid w:val="00FA638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2"/>
    <w:lsdException w:name="footnote text" w:uiPriority="2"/>
    <w:lsdException w:name="caption" w:qFormat="1"/>
    <w:lsdException w:name="table of figures" w:uiPriority="99"/>
    <w:lsdException w:name="Title" w:uiPriority="2" w:qFormat="1"/>
    <w:lsdException w:name="Subtitle" w:uiPriority="2" w:qFormat="1"/>
    <w:lsdException w:name="Body Text 3" w:uiPriority="99"/>
    <w:lsdException w:name="Hyperlink" w:uiPriority="99"/>
    <w:lsdException w:name="Strong" w:uiPriority="2" w:qFormat="1"/>
    <w:lsdException w:name="Emphasis" w:uiPriority="2" w:qFormat="1"/>
    <w:lsdException w:name="annotation subject" w:uiPriority="99"/>
    <w:lsdException w:name="No List" w:uiPriority="99"/>
    <w:lsdException w:name="Balloon Text" w:uiPriority="2"/>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2" w:unhideWhenUsed="1"/>
    <w:lsdException w:name="TOC Heading" w:semiHidden="1" w:uiPriority="39" w:unhideWhenUsed="1" w:qFormat="1"/>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uiPriority w:val="1"/>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uiPriority w:val="1"/>
    <w:qFormat/>
    <w:rsid w:val="002C4796"/>
    <w:pPr>
      <w:keepNext/>
      <w:spacing w:before="100" w:after="20" w:line="250" w:lineRule="exact"/>
      <w:outlineLvl w:val="3"/>
    </w:pPr>
    <w:rPr>
      <w:rFonts w:ascii="Arial" w:hAnsi="Arial"/>
      <w:b/>
      <w:lang w:eastAsia="en-US"/>
    </w:rPr>
  </w:style>
  <w:style w:type="paragraph" w:styleId="Heading5">
    <w:name w:val="heading 5"/>
    <w:next w:val="Normal"/>
    <w:uiPriority w:val="1"/>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uiPriority w:val="1"/>
    <w:qFormat/>
    <w:rsid w:val="002C4796"/>
    <w:pPr>
      <w:keepNext/>
      <w:spacing w:before="60" w:after="20" w:line="250" w:lineRule="atLeast"/>
      <w:jc w:val="left"/>
      <w:outlineLvl w:val="5"/>
    </w:pPr>
    <w:rPr>
      <w:b/>
      <w:sz w:val="20"/>
    </w:rPr>
  </w:style>
  <w:style w:type="paragraph" w:styleId="Heading7">
    <w:name w:val="heading 7"/>
    <w:basedOn w:val="Normal"/>
    <w:next w:val="Normal"/>
    <w:uiPriority w:val="1"/>
    <w:qFormat/>
    <w:rsid w:val="002C4796"/>
    <w:pPr>
      <w:keepNext/>
      <w:outlineLvl w:val="6"/>
    </w:pPr>
    <w:rPr>
      <w:b/>
    </w:rPr>
  </w:style>
  <w:style w:type="paragraph" w:styleId="Heading8">
    <w:name w:val="heading 8"/>
    <w:uiPriority w:val="1"/>
    <w:qFormat/>
    <w:rsid w:val="002C4796"/>
    <w:pPr>
      <w:spacing w:after="240" w:line="260" w:lineRule="atLeast"/>
      <w:jc w:val="center"/>
      <w:outlineLvl w:val="7"/>
    </w:pPr>
    <w:rPr>
      <w:rFonts w:ascii="Arial" w:hAnsi="Arial"/>
      <w:lang w:eastAsia="en-US"/>
    </w:rPr>
  </w:style>
  <w:style w:type="paragraph" w:styleId="Heading9">
    <w:name w:val="heading 9"/>
    <w:uiPriority w:val="1"/>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uiPriority w:val="2"/>
    <w:rsid w:val="002C4796"/>
    <w:pPr>
      <w:ind w:firstLine="360"/>
    </w:pPr>
  </w:style>
  <w:style w:type="paragraph" w:customStyle="1" w:styleId="Normallist1">
    <w:name w:val="Normal list 1"/>
    <w:basedOn w:val="Normal"/>
    <w:uiPriority w:val="2"/>
    <w:qFormat/>
    <w:rsid w:val="002C4796"/>
    <w:pPr>
      <w:ind w:left="360" w:hanging="360"/>
    </w:pPr>
  </w:style>
  <w:style w:type="paragraph" w:customStyle="1" w:styleId="Normalno">
    <w:name w:val="Normal no #"/>
    <w:basedOn w:val="Normal"/>
    <w:uiPriority w:val="2"/>
    <w:rsid w:val="002C4796"/>
    <w:pPr>
      <w:spacing w:after="0"/>
    </w:pPr>
  </w:style>
  <w:style w:type="paragraph" w:customStyle="1" w:styleId="byline">
    <w:name w:val="byline"/>
    <w:next w:val="Normal"/>
    <w:uiPriority w:val="2"/>
    <w:rsid w:val="002C4796"/>
    <w:pPr>
      <w:spacing w:before="240" w:after="60"/>
    </w:pPr>
    <w:rPr>
      <w:rFonts w:ascii="Arial" w:hAnsi="Arial"/>
      <w:b/>
      <w:lang w:eastAsia="en-US"/>
    </w:rPr>
  </w:style>
  <w:style w:type="paragraph" w:customStyle="1" w:styleId="Normallist2">
    <w:name w:val="Normal list 2"/>
    <w:basedOn w:val="Normal"/>
    <w:uiPriority w:val="2"/>
    <w:qFormat/>
    <w:rsid w:val="002C4796"/>
    <w:pPr>
      <w:ind w:left="720" w:hanging="360"/>
    </w:pPr>
  </w:style>
  <w:style w:type="paragraph" w:customStyle="1" w:styleId="subhead">
    <w:name w:val="subhead"/>
    <w:next w:val="Normal"/>
    <w:uiPriority w:val="2"/>
    <w:rsid w:val="002C4796"/>
    <w:pPr>
      <w:spacing w:before="140" w:after="300"/>
      <w:jc w:val="center"/>
    </w:pPr>
    <w:rPr>
      <w:rFonts w:ascii="Arial" w:hAnsi="Arial"/>
      <w:sz w:val="30"/>
      <w:lang w:eastAsia="en-US"/>
    </w:rPr>
  </w:style>
  <w:style w:type="paragraph" w:customStyle="1" w:styleId="figurecaption">
    <w:name w:val="figure caption"/>
    <w:next w:val="Normal"/>
    <w:link w:val="figurecaptionChar"/>
    <w:uiPriority w:val="2"/>
    <w:qFormat/>
    <w:rsid w:val="002C4796"/>
    <w:pPr>
      <w:spacing w:after="240" w:line="240" w:lineRule="atLeast"/>
      <w:jc w:val="center"/>
    </w:pPr>
    <w:rPr>
      <w:rFonts w:ascii="Arial" w:hAnsi="Arial"/>
      <w:sz w:val="18"/>
      <w:lang w:eastAsia="en-US"/>
    </w:rPr>
  </w:style>
  <w:style w:type="character" w:customStyle="1" w:styleId="figurecaptionChar">
    <w:name w:val="figure caption Char"/>
    <w:link w:val="figurecaption"/>
    <w:uiPriority w:val="2"/>
    <w:rsid w:val="00F17389"/>
    <w:rPr>
      <w:rFonts w:ascii="Arial" w:hAnsi="Arial"/>
      <w:sz w:val="18"/>
      <w:lang w:eastAsia="en-US"/>
    </w:rPr>
  </w:style>
  <w:style w:type="paragraph" w:customStyle="1" w:styleId="tablecaption">
    <w:name w:val="table caption"/>
    <w:next w:val="Normal"/>
    <w:uiPriority w:val="2"/>
    <w:qFormat/>
    <w:rsid w:val="002C4796"/>
    <w:pPr>
      <w:keepNext/>
      <w:spacing w:before="120" w:after="120" w:line="240" w:lineRule="atLeast"/>
    </w:pPr>
    <w:rPr>
      <w:rFonts w:ascii="Arial" w:hAnsi="Arial"/>
      <w:sz w:val="18"/>
      <w:lang w:eastAsia="en-US"/>
    </w:rPr>
  </w:style>
  <w:style w:type="paragraph" w:customStyle="1" w:styleId="table1">
    <w:name w:val="table 1"/>
    <w:uiPriority w:val="2"/>
    <w:qFormat/>
    <w:rsid w:val="002C4796"/>
    <w:pPr>
      <w:spacing w:before="60" w:after="60" w:line="200" w:lineRule="atLeast"/>
    </w:pPr>
    <w:rPr>
      <w:rFonts w:ascii="Arial" w:hAnsi="Arial"/>
      <w:sz w:val="16"/>
      <w:lang w:eastAsia="en-US"/>
    </w:rPr>
  </w:style>
  <w:style w:type="paragraph" w:customStyle="1" w:styleId="table1list">
    <w:name w:val="table 1 list"/>
    <w:basedOn w:val="table1"/>
    <w:uiPriority w:val="2"/>
    <w:rsid w:val="002C4796"/>
    <w:pPr>
      <w:ind w:left="240" w:hanging="240"/>
    </w:pPr>
  </w:style>
  <w:style w:type="paragraph" w:customStyle="1" w:styleId="tablenote">
    <w:name w:val="table note"/>
    <w:basedOn w:val="table1"/>
    <w:uiPriority w:val="2"/>
    <w:qFormat/>
    <w:rsid w:val="002C4796"/>
    <w:pPr>
      <w:tabs>
        <w:tab w:val="left" w:pos="240"/>
      </w:tabs>
      <w:spacing w:after="180" w:line="180" w:lineRule="atLeast"/>
      <w:ind w:left="238" w:hanging="238"/>
    </w:pPr>
    <w:rPr>
      <w:sz w:val="14"/>
    </w:rPr>
  </w:style>
  <w:style w:type="paragraph" w:customStyle="1" w:styleId="bulletlist1">
    <w:name w:val="bullet list 1"/>
    <w:basedOn w:val="Normal"/>
    <w:uiPriority w:val="2"/>
    <w:qFormat/>
    <w:rsid w:val="002C4796"/>
    <w:pPr>
      <w:numPr>
        <w:numId w:val="1"/>
      </w:numPr>
      <w:tabs>
        <w:tab w:val="clear" w:pos="720"/>
      </w:tabs>
      <w:ind w:left="357" w:hanging="357"/>
    </w:pPr>
  </w:style>
  <w:style w:type="paragraph" w:customStyle="1" w:styleId="4point">
    <w:name w:val="4 point #"/>
    <w:uiPriority w:val="2"/>
    <w:qFormat/>
    <w:rsid w:val="002C4796"/>
    <w:rPr>
      <w:sz w:val="8"/>
      <w:lang w:eastAsia="en-US"/>
    </w:rPr>
  </w:style>
  <w:style w:type="paragraph" w:customStyle="1" w:styleId="referencelist1">
    <w:name w:val="reference list 1"/>
    <w:link w:val="referencelist1Char"/>
    <w:uiPriority w:val="2"/>
    <w:qFormat/>
    <w:rsid w:val="002C4796"/>
    <w:pPr>
      <w:spacing w:after="120" w:line="280" w:lineRule="atLeast"/>
      <w:ind w:left="360" w:hanging="360"/>
      <w:jc w:val="both"/>
    </w:pPr>
    <w:rPr>
      <w:sz w:val="22"/>
      <w:lang w:eastAsia="en-US"/>
    </w:rPr>
  </w:style>
  <w:style w:type="character" w:customStyle="1" w:styleId="referencelist1Char">
    <w:name w:val="reference list 1 Char"/>
    <w:basedOn w:val="DefaultParagraphFont"/>
    <w:link w:val="referencelist1"/>
    <w:uiPriority w:val="2"/>
    <w:rsid w:val="000606DF"/>
    <w:rPr>
      <w:sz w:val="22"/>
      <w:lang w:eastAsia="en-US"/>
    </w:rPr>
  </w:style>
  <w:style w:type="paragraph" w:customStyle="1" w:styleId="table2">
    <w:name w:val="table 2"/>
    <w:basedOn w:val="table1"/>
    <w:uiPriority w:val="2"/>
    <w:qFormat/>
    <w:rsid w:val="002C4796"/>
    <w:pPr>
      <w:spacing w:before="20" w:after="20"/>
    </w:pPr>
  </w:style>
  <w:style w:type="paragraph" w:customStyle="1" w:styleId="equation1">
    <w:name w:val="equation 1"/>
    <w:basedOn w:val="Normal"/>
    <w:uiPriority w:val="2"/>
    <w:rsid w:val="002C4796"/>
    <w:pPr>
      <w:tabs>
        <w:tab w:val="right" w:pos="5280"/>
      </w:tabs>
      <w:spacing w:before="40" w:after="140"/>
      <w:ind w:left="360"/>
      <w:jc w:val="left"/>
    </w:pPr>
    <w:rPr>
      <w:rFonts w:ascii="Arial" w:hAnsi="Arial"/>
      <w:sz w:val="20"/>
    </w:rPr>
  </w:style>
  <w:style w:type="paragraph" w:customStyle="1" w:styleId="verso1">
    <w:name w:val="verso 1"/>
    <w:uiPriority w:val="2"/>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uiPriority w:val="2"/>
    <w:semiHidden/>
    <w:rsid w:val="002C4796"/>
    <w:pPr>
      <w:tabs>
        <w:tab w:val="left" w:pos="240"/>
      </w:tabs>
      <w:spacing w:after="80" w:line="240" w:lineRule="atLeast"/>
      <w:ind w:left="240" w:hanging="240"/>
    </w:pPr>
    <w:rPr>
      <w:sz w:val="18"/>
    </w:rPr>
  </w:style>
  <w:style w:type="paragraph" w:styleId="Bibliography">
    <w:name w:val="Bibliography"/>
    <w:basedOn w:val="referencelist1"/>
    <w:uiPriority w:val="2"/>
    <w:rsid w:val="002C4796"/>
  </w:style>
  <w:style w:type="paragraph" w:customStyle="1" w:styleId="address">
    <w:name w:val="address"/>
    <w:basedOn w:val="Heading4"/>
    <w:uiPriority w:val="2"/>
    <w:qFormat/>
    <w:rsid w:val="002C4796"/>
    <w:pPr>
      <w:spacing w:after="800"/>
      <w:jc w:val="center"/>
    </w:pPr>
    <w:rPr>
      <w:b w:val="0"/>
    </w:rPr>
  </w:style>
  <w:style w:type="paragraph" w:customStyle="1" w:styleId="Normallist3">
    <w:name w:val="Normal list 3"/>
    <w:basedOn w:val="Normallist2"/>
    <w:uiPriority w:val="2"/>
    <w:rsid w:val="002C4796"/>
    <w:pPr>
      <w:ind w:left="1320"/>
    </w:pPr>
  </w:style>
  <w:style w:type="paragraph" w:customStyle="1" w:styleId="quote">
    <w:name w:val="quote"/>
    <w:basedOn w:val="Normal"/>
    <w:uiPriority w:val="2"/>
    <w:qFormat/>
    <w:rsid w:val="002C4796"/>
    <w:pPr>
      <w:spacing w:line="260" w:lineRule="atLeast"/>
      <w:ind w:left="360"/>
    </w:pPr>
    <w:rPr>
      <w:sz w:val="20"/>
    </w:rPr>
  </w:style>
  <w:style w:type="paragraph" w:customStyle="1" w:styleId="bulletlist2">
    <w:name w:val="bullet list 2"/>
    <w:basedOn w:val="Normal"/>
    <w:uiPriority w:val="2"/>
    <w:qFormat/>
    <w:rsid w:val="002C4796"/>
    <w:pPr>
      <w:numPr>
        <w:ilvl w:val="1"/>
        <w:numId w:val="2"/>
      </w:numPr>
      <w:ind w:left="714" w:hanging="357"/>
    </w:pPr>
  </w:style>
  <w:style w:type="paragraph" w:customStyle="1" w:styleId="landscape">
    <w:name w:val="landscape#"/>
    <w:basedOn w:val="Normal"/>
    <w:uiPriority w:val="2"/>
    <w:qFormat/>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link w:val="TitleChar"/>
    <w:uiPriority w:val="2"/>
    <w:qFormat/>
    <w:rsid w:val="002C4796"/>
    <w:pPr>
      <w:pBdr>
        <w:top w:val="single" w:sz="12" w:space="1" w:color="auto"/>
        <w:bottom w:val="single" w:sz="12" w:space="1" w:color="auto"/>
      </w:pBdr>
      <w:spacing w:before="240" w:after="240"/>
      <w:jc w:val="center"/>
    </w:pPr>
    <w:rPr>
      <w:rFonts w:ascii="Arial" w:hAnsi="Arial"/>
      <w:b/>
      <w:sz w:val="30"/>
    </w:rPr>
  </w:style>
  <w:style w:type="character" w:customStyle="1" w:styleId="TitleChar">
    <w:name w:val="Title Char"/>
    <w:link w:val="Title"/>
    <w:uiPriority w:val="2"/>
    <w:rsid w:val="00F17389"/>
    <w:rPr>
      <w:rFonts w:ascii="Arial" w:hAnsi="Arial"/>
      <w:b/>
      <w:sz w:val="30"/>
      <w:lang w:eastAsia="en-US"/>
    </w:rPr>
  </w:style>
  <w:style w:type="paragraph" w:customStyle="1" w:styleId="authors">
    <w:name w:val="authors"/>
    <w:basedOn w:val="Heading3"/>
    <w:rsid w:val="002C4796"/>
    <w:pPr>
      <w:jc w:val="center"/>
    </w:pPr>
  </w:style>
  <w:style w:type="paragraph" w:customStyle="1" w:styleId="numberlist1">
    <w:name w:val="number list 1"/>
    <w:basedOn w:val="Normal"/>
    <w:uiPriority w:val="2"/>
    <w:qFormat/>
    <w:rsid w:val="002C4796"/>
    <w:pPr>
      <w:numPr>
        <w:numId w:val="3"/>
      </w:numPr>
      <w:tabs>
        <w:tab w:val="left" w:pos="357"/>
      </w:tabs>
    </w:pPr>
  </w:style>
  <w:style w:type="paragraph" w:customStyle="1" w:styleId="platecaption">
    <w:name w:val="plate caption"/>
    <w:basedOn w:val="figurecaption"/>
    <w:uiPriority w:val="2"/>
    <w:qFormat/>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link w:val="BodyText3Char"/>
    <w:uiPriority w:val="99"/>
    <w:rsid w:val="00AA64A3"/>
    <w:pPr>
      <w:jc w:val="center"/>
    </w:pPr>
  </w:style>
  <w:style w:type="character" w:customStyle="1" w:styleId="BodyText3Char">
    <w:name w:val="Body Text 3 Char"/>
    <w:link w:val="BodyText3"/>
    <w:uiPriority w:val="99"/>
    <w:rsid w:val="00F17389"/>
    <w:rPr>
      <w:rFonts w:ascii="Garamond" w:hAnsi="Garamond"/>
      <w:sz w:val="24"/>
      <w:lang w:eastAsia="en-US"/>
    </w:rPr>
  </w:style>
  <w:style w:type="paragraph" w:styleId="TOC5">
    <w:name w:val="toc 5"/>
    <w:basedOn w:val="Normal"/>
    <w:next w:val="Normal"/>
    <w:autoRedefine/>
    <w:uiPriority w:val="39"/>
    <w:rsid w:val="002C4796"/>
    <w:pPr>
      <w:ind w:left="880"/>
    </w:pPr>
  </w:style>
  <w:style w:type="paragraph" w:styleId="TOC6">
    <w:name w:val="toc 6"/>
    <w:basedOn w:val="Normal"/>
    <w:next w:val="Normal"/>
    <w:autoRedefine/>
    <w:uiPriority w:val="39"/>
    <w:rsid w:val="002C4796"/>
    <w:pPr>
      <w:ind w:left="1100"/>
    </w:pPr>
  </w:style>
  <w:style w:type="paragraph" w:styleId="TOC7">
    <w:name w:val="toc 7"/>
    <w:basedOn w:val="Normal"/>
    <w:next w:val="Normal"/>
    <w:autoRedefine/>
    <w:uiPriority w:val="39"/>
    <w:rsid w:val="002C4796"/>
    <w:pPr>
      <w:ind w:left="1320"/>
    </w:pPr>
  </w:style>
  <w:style w:type="paragraph" w:styleId="TOC8">
    <w:name w:val="toc 8"/>
    <w:basedOn w:val="Normal"/>
    <w:next w:val="Normal"/>
    <w:autoRedefine/>
    <w:uiPriority w:val="39"/>
    <w:rsid w:val="002C4796"/>
    <w:pPr>
      <w:ind w:left="1540"/>
    </w:pPr>
  </w:style>
  <w:style w:type="paragraph" w:styleId="TOC9">
    <w:name w:val="toc 9"/>
    <w:basedOn w:val="Normal"/>
    <w:next w:val="Normal"/>
    <w:autoRedefine/>
    <w:uiPriority w:val="39"/>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semiHidden/>
    <w:rsid w:val="002C4796"/>
    <w:rPr>
      <w:sz w:val="20"/>
    </w:rPr>
  </w:style>
  <w:style w:type="character" w:customStyle="1" w:styleId="CommentTextChar">
    <w:name w:val="Comment Text Char"/>
    <w:link w:val="CommentText"/>
    <w:semiHidden/>
    <w:rsid w:val="00F17389"/>
    <w:rPr>
      <w:rFonts w:ascii="Garamond" w:hAnsi="Garamond"/>
      <w:lang w:eastAsia="en-US"/>
    </w:rPr>
  </w:style>
  <w:style w:type="paragraph" w:styleId="Date">
    <w:name w:val="Date"/>
    <w:basedOn w:val="Normal"/>
    <w:next w:val="Normal"/>
    <w:link w:val="DateChar"/>
    <w:rsid w:val="002C4796"/>
  </w:style>
  <w:style w:type="character" w:customStyle="1" w:styleId="DateChar">
    <w:name w:val="Date Char"/>
    <w:link w:val="Date"/>
    <w:rsid w:val="00F17389"/>
    <w:rPr>
      <w:rFonts w:ascii="Garamond" w:hAnsi="Garamond"/>
      <w:sz w:val="24"/>
      <w:lang w:eastAsia="en-US"/>
    </w:rPr>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2C4796"/>
    <w:rPr>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link w:val="SubtitleChar"/>
    <w:uiPriority w:val="2"/>
    <w:qFormat/>
    <w:rsid w:val="002C4796"/>
    <w:pPr>
      <w:spacing w:after="60"/>
      <w:jc w:val="center"/>
      <w:outlineLvl w:val="1"/>
    </w:pPr>
    <w:rPr>
      <w:rFonts w:ascii="Arial" w:hAnsi="Arial" w:cs="Arial"/>
      <w:szCs w:val="24"/>
    </w:rPr>
  </w:style>
  <w:style w:type="character" w:customStyle="1" w:styleId="SubtitleChar">
    <w:name w:val="Subtitle Char"/>
    <w:link w:val="Subtitle"/>
    <w:uiPriority w:val="2"/>
    <w:rsid w:val="00F17389"/>
    <w:rPr>
      <w:rFonts w:ascii="Arial" w:hAnsi="Arial" w:cs="Arial"/>
      <w:sz w:val="24"/>
      <w:szCs w:val="24"/>
      <w:lang w:eastAsia="en-US"/>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link w:val="CommentSubjectChar"/>
    <w:uiPriority w:val="99"/>
    <w:semiHidden/>
    <w:rsid w:val="00BC1DFC"/>
    <w:rPr>
      <w:b/>
      <w:bCs/>
    </w:rPr>
  </w:style>
  <w:style w:type="character" w:customStyle="1" w:styleId="CommentSubjectChar">
    <w:name w:val="Comment Subject Char"/>
    <w:link w:val="CommentSubject"/>
    <w:uiPriority w:val="99"/>
    <w:semiHidden/>
    <w:rsid w:val="00F17389"/>
    <w:rPr>
      <w:rFonts w:ascii="Garamond" w:hAnsi="Garamond"/>
      <w:b/>
      <w:bCs/>
      <w:lang w:eastAsia="en-US"/>
    </w:rPr>
  </w:style>
  <w:style w:type="paragraph" w:styleId="BalloonText">
    <w:name w:val="Balloon Text"/>
    <w:basedOn w:val="Normal"/>
    <w:link w:val="BalloonTextChar"/>
    <w:uiPriority w:val="2"/>
    <w:rsid w:val="00BC1DFC"/>
    <w:rPr>
      <w:rFonts w:ascii="Tahoma" w:hAnsi="Tahoma" w:cs="Tahoma"/>
      <w:sz w:val="16"/>
      <w:szCs w:val="16"/>
    </w:rPr>
  </w:style>
  <w:style w:type="character" w:customStyle="1" w:styleId="BalloonTextChar">
    <w:name w:val="Balloon Text Char"/>
    <w:link w:val="BalloonText"/>
    <w:uiPriority w:val="2"/>
    <w:rsid w:val="00F17389"/>
    <w:rPr>
      <w:rFonts w:ascii="Tahoma" w:hAnsi="Tahoma" w:cs="Tahoma"/>
      <w:sz w:val="16"/>
      <w:szCs w:val="16"/>
      <w:lang w:eastAsia="en-US"/>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character" w:customStyle="1" w:styleId="Style9ptItalicRed">
    <w:name w:val="Style 9 pt Italic Red"/>
    <w:basedOn w:val="DefaultParagraphFont"/>
    <w:rsid w:val="00AA64A3"/>
    <w:rPr>
      <w:rFonts w:ascii="Garamond" w:hAnsi="Garamond"/>
      <w:i/>
      <w:iCs/>
      <w:color w:val="FF0000"/>
      <w:sz w:val="20"/>
    </w:rPr>
  </w:style>
  <w:style w:type="paragraph" w:customStyle="1" w:styleId="Text">
    <w:name w:val="Text"/>
    <w:basedOn w:val="Normal"/>
    <w:rsid w:val="00F17389"/>
    <w:pPr>
      <w:widowControl w:val="0"/>
      <w:tabs>
        <w:tab w:val="left" w:pos="567"/>
        <w:tab w:val="left" w:pos="2268"/>
        <w:tab w:val="left" w:pos="3969"/>
        <w:tab w:val="left" w:pos="7371"/>
      </w:tabs>
      <w:suppressAutoHyphens/>
      <w:spacing w:after="0" w:line="240" w:lineRule="auto"/>
      <w:jc w:val="left"/>
    </w:pPr>
    <w:rPr>
      <w:rFonts w:ascii="Arial" w:hAnsi="Arial"/>
      <w:lang w:val="en-US"/>
    </w:rPr>
  </w:style>
  <w:style w:type="character" w:styleId="FootnoteReference">
    <w:name w:val="footnote reference"/>
    <w:rsid w:val="00F17389"/>
    <w:rPr>
      <w:vertAlign w:val="superscript"/>
    </w:rPr>
  </w:style>
  <w:style w:type="character" w:styleId="Emphasis">
    <w:name w:val="Emphasis"/>
    <w:uiPriority w:val="2"/>
    <w:qFormat/>
    <w:rsid w:val="00F17389"/>
    <w:rPr>
      <w:i/>
      <w:iCs/>
    </w:rPr>
  </w:style>
  <w:style w:type="character" w:customStyle="1" w:styleId="ColorfulGrid-Accent1Char">
    <w:name w:val="Colorful Grid - Accent 1 Char"/>
    <w:link w:val="ColorfulGrid-Accent1"/>
    <w:uiPriority w:val="2"/>
    <w:rsid w:val="00F17389"/>
    <w:rPr>
      <w:rFonts w:ascii="Garamond" w:hAnsi="Garamond"/>
      <w:i/>
      <w:iCs/>
      <w:color w:val="000000"/>
      <w:sz w:val="24"/>
      <w:lang w:eastAsia="en-US"/>
    </w:rPr>
  </w:style>
  <w:style w:type="table" w:styleId="ColorfulGrid-Accent1">
    <w:name w:val="Colorful Grid Accent 1"/>
    <w:basedOn w:val="TableNormal"/>
    <w:link w:val="ColorfulGrid-Accent1Char"/>
    <w:uiPriority w:val="2"/>
    <w:rsid w:val="00F17389"/>
    <w:rPr>
      <w:rFonts w:ascii="Garamond" w:hAnsi="Garamond"/>
      <w:i/>
      <w:iCs/>
      <w:color w:val="000000"/>
      <w:sz w:val="24"/>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Spacing1">
    <w:name w:val="No Spacing1"/>
    <w:uiPriority w:val="2"/>
    <w:rsid w:val="00F17389"/>
    <w:pPr>
      <w:jc w:val="both"/>
    </w:pPr>
    <w:rPr>
      <w:rFonts w:ascii="Garamond" w:hAnsi="Garamond"/>
      <w:sz w:val="24"/>
      <w:lang w:eastAsia="en-US"/>
    </w:rPr>
  </w:style>
  <w:style w:type="character" w:customStyle="1" w:styleId="SubtleEmphasis1">
    <w:name w:val="Subtle Emphasis1"/>
    <w:uiPriority w:val="2"/>
    <w:rsid w:val="00F17389"/>
    <w:rPr>
      <w:i/>
      <w:iCs/>
      <w:color w:val="808080"/>
    </w:rPr>
  </w:style>
  <w:style w:type="character" w:customStyle="1" w:styleId="IntenseEmphasis1">
    <w:name w:val="Intense Emphasis1"/>
    <w:uiPriority w:val="2"/>
    <w:rsid w:val="00F17389"/>
    <w:rPr>
      <w:b/>
      <w:bCs/>
      <w:i/>
      <w:iCs/>
      <w:color w:val="4F81BD"/>
    </w:rPr>
  </w:style>
  <w:style w:type="character" w:customStyle="1" w:styleId="LightShading-Accent2Char">
    <w:name w:val="Light Shading - Accent 2 Char"/>
    <w:link w:val="LightShading-Accent2"/>
    <w:uiPriority w:val="2"/>
    <w:rsid w:val="00F17389"/>
    <w:rPr>
      <w:rFonts w:ascii="Garamond" w:hAnsi="Garamond"/>
      <w:b/>
      <w:bCs/>
      <w:i/>
      <w:iCs/>
      <w:color w:val="4F81BD"/>
      <w:sz w:val="24"/>
      <w:lang w:eastAsia="en-US"/>
    </w:rPr>
  </w:style>
  <w:style w:type="table" w:styleId="LightShading-Accent2">
    <w:name w:val="Light Shading Accent 2"/>
    <w:basedOn w:val="TableNormal"/>
    <w:link w:val="LightShading-Accent2Char"/>
    <w:uiPriority w:val="2"/>
    <w:rsid w:val="00F17389"/>
    <w:rPr>
      <w:rFonts w:ascii="Garamond" w:hAnsi="Garamond"/>
      <w:b/>
      <w:bCs/>
      <w:i/>
      <w:iCs/>
      <w:color w:val="4F81BD"/>
      <w:sz w:val="24"/>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SubtleReference1">
    <w:name w:val="Subtle Reference1"/>
    <w:uiPriority w:val="2"/>
    <w:rsid w:val="00F17389"/>
    <w:rPr>
      <w:smallCaps/>
      <w:color w:val="C0504D"/>
      <w:u w:val="single"/>
    </w:rPr>
  </w:style>
  <w:style w:type="character" w:customStyle="1" w:styleId="IntenseReference1">
    <w:name w:val="Intense Reference1"/>
    <w:uiPriority w:val="2"/>
    <w:rsid w:val="00F17389"/>
    <w:rPr>
      <w:b/>
      <w:bCs/>
      <w:smallCaps/>
      <w:color w:val="C0504D"/>
      <w:spacing w:val="5"/>
      <w:u w:val="single"/>
    </w:rPr>
  </w:style>
  <w:style w:type="character" w:styleId="Strong">
    <w:name w:val="Strong"/>
    <w:uiPriority w:val="2"/>
    <w:qFormat/>
    <w:rsid w:val="00F17389"/>
    <w:rPr>
      <w:b/>
      <w:bCs/>
    </w:rPr>
  </w:style>
  <w:style w:type="character" w:customStyle="1" w:styleId="BookTitle1">
    <w:name w:val="Book Title1"/>
    <w:uiPriority w:val="2"/>
    <w:rsid w:val="00F17389"/>
    <w:rPr>
      <w:b/>
      <w:bCs/>
      <w:smallCaps/>
      <w:spacing w:val="5"/>
    </w:rPr>
  </w:style>
  <w:style w:type="table" w:styleId="TableGrid">
    <w:name w:val="Table Grid"/>
    <w:basedOn w:val="TableNormal"/>
    <w:rsid w:val="00C22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0A6E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B57923"/>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divs>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image" Target="media/image5.tiff"/><Relationship Id="rId42" Type="http://schemas.openxmlformats.org/officeDocument/2006/relationships/image" Target="media/image19.emf"/><Relationship Id="rId63" Type="http://schemas.openxmlformats.org/officeDocument/2006/relationships/image" Target="media/image35.emf"/><Relationship Id="rId84" Type="http://schemas.openxmlformats.org/officeDocument/2006/relationships/image" Target="media/image56.emf"/><Relationship Id="rId138" Type="http://schemas.openxmlformats.org/officeDocument/2006/relationships/image" Target="media/image110.emf"/><Relationship Id="rId159" Type="http://schemas.openxmlformats.org/officeDocument/2006/relationships/image" Target="media/image131.emf"/><Relationship Id="rId170" Type="http://schemas.openxmlformats.org/officeDocument/2006/relationships/image" Target="media/image142.emf"/><Relationship Id="rId191" Type="http://schemas.openxmlformats.org/officeDocument/2006/relationships/image" Target="media/image163.emf"/><Relationship Id="rId205" Type="http://schemas.openxmlformats.org/officeDocument/2006/relationships/image" Target="media/image177.emf"/><Relationship Id="rId107" Type="http://schemas.openxmlformats.org/officeDocument/2006/relationships/image" Target="media/image79.emf"/><Relationship Id="rId11" Type="http://schemas.openxmlformats.org/officeDocument/2006/relationships/image" Target="media/image1.jpeg"/><Relationship Id="rId32" Type="http://schemas.openxmlformats.org/officeDocument/2006/relationships/image" Target="media/image9.jpeg"/><Relationship Id="rId53" Type="http://schemas.openxmlformats.org/officeDocument/2006/relationships/image" Target="media/image25.emf"/><Relationship Id="rId74" Type="http://schemas.openxmlformats.org/officeDocument/2006/relationships/image" Target="media/image46.emf"/><Relationship Id="rId128" Type="http://schemas.openxmlformats.org/officeDocument/2006/relationships/image" Target="media/image100.emf"/><Relationship Id="rId149" Type="http://schemas.openxmlformats.org/officeDocument/2006/relationships/image" Target="media/image121.emf"/><Relationship Id="rId5" Type="http://schemas.openxmlformats.org/officeDocument/2006/relationships/numbering" Target="numbering.xml"/><Relationship Id="rId90" Type="http://schemas.openxmlformats.org/officeDocument/2006/relationships/image" Target="media/image62.emf"/><Relationship Id="rId95" Type="http://schemas.openxmlformats.org/officeDocument/2006/relationships/image" Target="media/image67.emf"/><Relationship Id="rId160" Type="http://schemas.openxmlformats.org/officeDocument/2006/relationships/image" Target="media/image132.emf"/><Relationship Id="rId165" Type="http://schemas.openxmlformats.org/officeDocument/2006/relationships/image" Target="media/image137.emf"/><Relationship Id="rId181" Type="http://schemas.openxmlformats.org/officeDocument/2006/relationships/image" Target="media/image153.emf"/><Relationship Id="rId186" Type="http://schemas.openxmlformats.org/officeDocument/2006/relationships/image" Target="media/image158.emf"/><Relationship Id="rId216" Type="http://schemas.openxmlformats.org/officeDocument/2006/relationships/image" Target="media/image188.emf"/><Relationship Id="rId211" Type="http://schemas.openxmlformats.org/officeDocument/2006/relationships/image" Target="media/image183.emf"/><Relationship Id="rId22" Type="http://schemas.openxmlformats.org/officeDocument/2006/relationships/hyperlink" Target="http://creativecommons.org/licenses/by/3.0/au/%20" TargetMode="External"/><Relationship Id="rId27" Type="http://schemas.openxmlformats.org/officeDocument/2006/relationships/footer" Target="footer5.xml"/><Relationship Id="rId43" Type="http://schemas.openxmlformats.org/officeDocument/2006/relationships/header" Target="header6.xml"/><Relationship Id="rId48" Type="http://schemas.openxmlformats.org/officeDocument/2006/relationships/image" Target="media/image20.emf"/><Relationship Id="rId64" Type="http://schemas.openxmlformats.org/officeDocument/2006/relationships/image" Target="media/image36.emf"/><Relationship Id="rId69" Type="http://schemas.openxmlformats.org/officeDocument/2006/relationships/image" Target="media/image41.emf"/><Relationship Id="rId113" Type="http://schemas.openxmlformats.org/officeDocument/2006/relationships/image" Target="media/image85.emf"/><Relationship Id="rId118" Type="http://schemas.openxmlformats.org/officeDocument/2006/relationships/image" Target="media/image90.emf"/><Relationship Id="rId134" Type="http://schemas.openxmlformats.org/officeDocument/2006/relationships/image" Target="media/image106.emf"/><Relationship Id="rId139" Type="http://schemas.openxmlformats.org/officeDocument/2006/relationships/image" Target="media/image111.emf"/><Relationship Id="rId80" Type="http://schemas.openxmlformats.org/officeDocument/2006/relationships/image" Target="media/image52.emf"/><Relationship Id="rId85" Type="http://schemas.openxmlformats.org/officeDocument/2006/relationships/image" Target="media/image57.emf"/><Relationship Id="rId150" Type="http://schemas.openxmlformats.org/officeDocument/2006/relationships/image" Target="media/image122.emf"/><Relationship Id="rId155" Type="http://schemas.openxmlformats.org/officeDocument/2006/relationships/image" Target="media/image127.emf"/><Relationship Id="rId171" Type="http://schemas.openxmlformats.org/officeDocument/2006/relationships/image" Target="media/image143.emf"/><Relationship Id="rId176" Type="http://schemas.openxmlformats.org/officeDocument/2006/relationships/image" Target="media/image148.emf"/><Relationship Id="rId192" Type="http://schemas.openxmlformats.org/officeDocument/2006/relationships/image" Target="media/image164.emf"/><Relationship Id="rId197" Type="http://schemas.openxmlformats.org/officeDocument/2006/relationships/image" Target="media/image169.emf"/><Relationship Id="rId206" Type="http://schemas.openxmlformats.org/officeDocument/2006/relationships/image" Target="media/image178.emf"/><Relationship Id="rId201" Type="http://schemas.openxmlformats.org/officeDocument/2006/relationships/image" Target="media/image173.emf"/><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image" Target="media/image31.emf"/><Relationship Id="rId103" Type="http://schemas.openxmlformats.org/officeDocument/2006/relationships/image" Target="media/image75.emf"/><Relationship Id="rId108" Type="http://schemas.openxmlformats.org/officeDocument/2006/relationships/image" Target="media/image80.emf"/><Relationship Id="rId124" Type="http://schemas.openxmlformats.org/officeDocument/2006/relationships/image" Target="media/image96.emf"/><Relationship Id="rId129" Type="http://schemas.openxmlformats.org/officeDocument/2006/relationships/image" Target="media/image101.emf"/><Relationship Id="rId54" Type="http://schemas.openxmlformats.org/officeDocument/2006/relationships/image" Target="media/image26.emf"/><Relationship Id="rId70" Type="http://schemas.openxmlformats.org/officeDocument/2006/relationships/image" Target="media/image42.emf"/><Relationship Id="rId75" Type="http://schemas.openxmlformats.org/officeDocument/2006/relationships/image" Target="media/image47.jpeg"/><Relationship Id="rId91" Type="http://schemas.openxmlformats.org/officeDocument/2006/relationships/image" Target="media/image63.emf"/><Relationship Id="rId96" Type="http://schemas.openxmlformats.org/officeDocument/2006/relationships/image" Target="media/image68.emf"/><Relationship Id="rId140" Type="http://schemas.openxmlformats.org/officeDocument/2006/relationships/image" Target="media/image112.emf"/><Relationship Id="rId145" Type="http://schemas.openxmlformats.org/officeDocument/2006/relationships/image" Target="media/image117.emf"/><Relationship Id="rId161" Type="http://schemas.openxmlformats.org/officeDocument/2006/relationships/image" Target="media/image133.emf"/><Relationship Id="rId166" Type="http://schemas.openxmlformats.org/officeDocument/2006/relationships/image" Target="media/image138.emf"/><Relationship Id="rId182" Type="http://schemas.openxmlformats.org/officeDocument/2006/relationships/image" Target="media/image154.emf"/><Relationship Id="rId187" Type="http://schemas.openxmlformats.org/officeDocument/2006/relationships/image" Target="media/image159.emf"/><Relationship Id="rId217" Type="http://schemas.openxmlformats.org/officeDocument/2006/relationships/image" Target="media/image189.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84.emf"/><Relationship Id="rId23" Type="http://schemas.openxmlformats.org/officeDocument/2006/relationships/footer" Target="footer4.xml"/><Relationship Id="rId28" Type="http://schemas.openxmlformats.org/officeDocument/2006/relationships/footer" Target="footer6.xml"/><Relationship Id="rId49" Type="http://schemas.openxmlformats.org/officeDocument/2006/relationships/image" Target="media/image21.emf"/><Relationship Id="rId114" Type="http://schemas.openxmlformats.org/officeDocument/2006/relationships/image" Target="media/image86.emf"/><Relationship Id="rId119" Type="http://schemas.openxmlformats.org/officeDocument/2006/relationships/image" Target="media/image91.emf"/><Relationship Id="rId44" Type="http://schemas.openxmlformats.org/officeDocument/2006/relationships/footer" Target="footer8.xml"/><Relationship Id="rId60" Type="http://schemas.openxmlformats.org/officeDocument/2006/relationships/image" Target="media/image32.emf"/><Relationship Id="rId65" Type="http://schemas.openxmlformats.org/officeDocument/2006/relationships/image" Target="media/image37.emf"/><Relationship Id="rId81" Type="http://schemas.openxmlformats.org/officeDocument/2006/relationships/image" Target="media/image53.emf"/><Relationship Id="rId86" Type="http://schemas.openxmlformats.org/officeDocument/2006/relationships/image" Target="media/image58.emf"/><Relationship Id="rId130" Type="http://schemas.openxmlformats.org/officeDocument/2006/relationships/image" Target="media/image102.emf"/><Relationship Id="rId135" Type="http://schemas.openxmlformats.org/officeDocument/2006/relationships/image" Target="media/image107.emf"/><Relationship Id="rId151" Type="http://schemas.openxmlformats.org/officeDocument/2006/relationships/image" Target="media/image123.emf"/><Relationship Id="rId156" Type="http://schemas.openxmlformats.org/officeDocument/2006/relationships/image" Target="media/image128.emf"/><Relationship Id="rId177" Type="http://schemas.openxmlformats.org/officeDocument/2006/relationships/image" Target="media/image149.emf"/><Relationship Id="rId198" Type="http://schemas.openxmlformats.org/officeDocument/2006/relationships/image" Target="media/image170.emf"/><Relationship Id="rId172" Type="http://schemas.openxmlformats.org/officeDocument/2006/relationships/image" Target="media/image144.emf"/><Relationship Id="rId193" Type="http://schemas.openxmlformats.org/officeDocument/2006/relationships/image" Target="media/image165.emf"/><Relationship Id="rId202" Type="http://schemas.openxmlformats.org/officeDocument/2006/relationships/image" Target="media/image174.emf"/><Relationship Id="rId207" Type="http://schemas.openxmlformats.org/officeDocument/2006/relationships/image" Target="media/image179.emf"/><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6.jpeg"/><Relationship Id="rId109" Type="http://schemas.openxmlformats.org/officeDocument/2006/relationships/image" Target="media/image81.emf"/><Relationship Id="rId34" Type="http://schemas.openxmlformats.org/officeDocument/2006/relationships/image" Target="media/image11.jpeg"/><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8.emf"/><Relationship Id="rId97" Type="http://schemas.openxmlformats.org/officeDocument/2006/relationships/image" Target="media/image69.emf"/><Relationship Id="rId104" Type="http://schemas.openxmlformats.org/officeDocument/2006/relationships/image" Target="media/image76.emf"/><Relationship Id="rId120" Type="http://schemas.openxmlformats.org/officeDocument/2006/relationships/image" Target="media/image92.emf"/><Relationship Id="rId125" Type="http://schemas.openxmlformats.org/officeDocument/2006/relationships/image" Target="media/image97.emf"/><Relationship Id="rId141" Type="http://schemas.openxmlformats.org/officeDocument/2006/relationships/image" Target="media/image113.emf"/><Relationship Id="rId146" Type="http://schemas.openxmlformats.org/officeDocument/2006/relationships/image" Target="media/image118.emf"/><Relationship Id="rId167" Type="http://schemas.openxmlformats.org/officeDocument/2006/relationships/image" Target="media/image139.emf"/><Relationship Id="rId188" Type="http://schemas.openxmlformats.org/officeDocument/2006/relationships/image" Target="media/image160.emf"/><Relationship Id="rId7" Type="http://schemas.openxmlformats.org/officeDocument/2006/relationships/settings" Target="settings.xml"/><Relationship Id="rId71" Type="http://schemas.openxmlformats.org/officeDocument/2006/relationships/image" Target="media/image43.emf"/><Relationship Id="rId92" Type="http://schemas.openxmlformats.org/officeDocument/2006/relationships/image" Target="media/image64.emf"/><Relationship Id="rId162" Type="http://schemas.openxmlformats.org/officeDocument/2006/relationships/image" Target="media/image134.emf"/><Relationship Id="rId183" Type="http://schemas.openxmlformats.org/officeDocument/2006/relationships/image" Target="media/image155.emf"/><Relationship Id="rId213" Type="http://schemas.openxmlformats.org/officeDocument/2006/relationships/image" Target="media/image185.emf"/><Relationship Id="rId218" Type="http://schemas.openxmlformats.org/officeDocument/2006/relationships/image" Target="media/image190.emf"/><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image" Target="media/image6.jpeg"/><Relationship Id="rId40" Type="http://schemas.openxmlformats.org/officeDocument/2006/relationships/image" Target="media/image17.jpeg"/><Relationship Id="rId45" Type="http://schemas.openxmlformats.org/officeDocument/2006/relationships/footer" Target="footer9.xml"/><Relationship Id="rId66" Type="http://schemas.openxmlformats.org/officeDocument/2006/relationships/image" Target="media/image38.emf"/><Relationship Id="rId87" Type="http://schemas.openxmlformats.org/officeDocument/2006/relationships/image" Target="media/image59.emf"/><Relationship Id="rId110" Type="http://schemas.openxmlformats.org/officeDocument/2006/relationships/image" Target="media/image82.emf"/><Relationship Id="rId115" Type="http://schemas.openxmlformats.org/officeDocument/2006/relationships/image" Target="media/image87.emf"/><Relationship Id="rId131" Type="http://schemas.openxmlformats.org/officeDocument/2006/relationships/image" Target="media/image103.emf"/><Relationship Id="rId136" Type="http://schemas.openxmlformats.org/officeDocument/2006/relationships/image" Target="media/image108.emf"/><Relationship Id="rId157" Type="http://schemas.openxmlformats.org/officeDocument/2006/relationships/image" Target="media/image129.emf"/><Relationship Id="rId178" Type="http://schemas.openxmlformats.org/officeDocument/2006/relationships/image" Target="media/image150.emf"/><Relationship Id="rId61" Type="http://schemas.openxmlformats.org/officeDocument/2006/relationships/image" Target="media/image33.emf"/><Relationship Id="rId82" Type="http://schemas.openxmlformats.org/officeDocument/2006/relationships/image" Target="media/image54.emf"/><Relationship Id="rId152" Type="http://schemas.openxmlformats.org/officeDocument/2006/relationships/image" Target="media/image124.emf"/><Relationship Id="rId173" Type="http://schemas.openxmlformats.org/officeDocument/2006/relationships/image" Target="media/image145.emf"/><Relationship Id="rId194" Type="http://schemas.openxmlformats.org/officeDocument/2006/relationships/image" Target="media/image166.emf"/><Relationship Id="rId199" Type="http://schemas.openxmlformats.org/officeDocument/2006/relationships/image" Target="media/image171.emf"/><Relationship Id="rId203" Type="http://schemas.openxmlformats.org/officeDocument/2006/relationships/image" Target="media/image175.emf"/><Relationship Id="rId208" Type="http://schemas.openxmlformats.org/officeDocument/2006/relationships/image" Target="media/image180.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image" Target="media/image12.jpeg"/><Relationship Id="rId56" Type="http://schemas.openxmlformats.org/officeDocument/2006/relationships/image" Target="media/image28.emf"/><Relationship Id="rId77" Type="http://schemas.openxmlformats.org/officeDocument/2006/relationships/image" Target="media/image49.emf"/><Relationship Id="rId100" Type="http://schemas.openxmlformats.org/officeDocument/2006/relationships/image" Target="media/image72.emf"/><Relationship Id="rId105" Type="http://schemas.openxmlformats.org/officeDocument/2006/relationships/image" Target="media/image77.emf"/><Relationship Id="rId126" Type="http://schemas.openxmlformats.org/officeDocument/2006/relationships/image" Target="media/image98.emf"/><Relationship Id="rId147" Type="http://schemas.openxmlformats.org/officeDocument/2006/relationships/image" Target="media/image119.emf"/><Relationship Id="rId168" Type="http://schemas.openxmlformats.org/officeDocument/2006/relationships/image" Target="media/image140.emf"/><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image" Target="media/image44.emf"/><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image" Target="media/image93.emf"/><Relationship Id="rId142" Type="http://schemas.openxmlformats.org/officeDocument/2006/relationships/image" Target="media/image114.emf"/><Relationship Id="rId163" Type="http://schemas.openxmlformats.org/officeDocument/2006/relationships/image" Target="media/image135.emf"/><Relationship Id="rId184" Type="http://schemas.openxmlformats.org/officeDocument/2006/relationships/image" Target="media/image156.emf"/><Relationship Id="rId189" Type="http://schemas.openxmlformats.org/officeDocument/2006/relationships/image" Target="media/image161.emf"/><Relationship Id="rId219" Type="http://schemas.openxmlformats.org/officeDocument/2006/relationships/image" Target="media/image191.emf"/><Relationship Id="rId3" Type="http://schemas.openxmlformats.org/officeDocument/2006/relationships/customXml" Target="../customXml/item3.xml"/><Relationship Id="rId214" Type="http://schemas.openxmlformats.org/officeDocument/2006/relationships/image" Target="media/image186.emf"/><Relationship Id="rId25" Type="http://schemas.openxmlformats.org/officeDocument/2006/relationships/image" Target="media/image7.emf"/><Relationship Id="rId46" Type="http://schemas.openxmlformats.org/officeDocument/2006/relationships/header" Target="header7.xml"/><Relationship Id="rId67" Type="http://schemas.openxmlformats.org/officeDocument/2006/relationships/image" Target="media/image39.emf"/><Relationship Id="rId116" Type="http://schemas.openxmlformats.org/officeDocument/2006/relationships/image" Target="media/image88.emf"/><Relationship Id="rId137" Type="http://schemas.openxmlformats.org/officeDocument/2006/relationships/image" Target="media/image109.emf"/><Relationship Id="rId158" Type="http://schemas.openxmlformats.org/officeDocument/2006/relationships/image" Target="media/image130.emf"/><Relationship Id="rId20" Type="http://schemas.openxmlformats.org/officeDocument/2006/relationships/image" Target="media/image4.png"/><Relationship Id="rId41" Type="http://schemas.openxmlformats.org/officeDocument/2006/relationships/image" Target="media/image18.emf"/><Relationship Id="rId62" Type="http://schemas.openxmlformats.org/officeDocument/2006/relationships/image" Target="media/image34.emf"/><Relationship Id="rId83" Type="http://schemas.openxmlformats.org/officeDocument/2006/relationships/image" Target="media/image55.emf"/><Relationship Id="rId88" Type="http://schemas.openxmlformats.org/officeDocument/2006/relationships/image" Target="media/image60.emf"/><Relationship Id="rId111" Type="http://schemas.openxmlformats.org/officeDocument/2006/relationships/image" Target="media/image83.emf"/><Relationship Id="rId132" Type="http://schemas.openxmlformats.org/officeDocument/2006/relationships/image" Target="media/image104.emf"/><Relationship Id="rId153" Type="http://schemas.openxmlformats.org/officeDocument/2006/relationships/image" Target="media/image125.emf"/><Relationship Id="rId174" Type="http://schemas.openxmlformats.org/officeDocument/2006/relationships/image" Target="media/image146.emf"/><Relationship Id="rId179" Type="http://schemas.openxmlformats.org/officeDocument/2006/relationships/image" Target="media/image151.emf"/><Relationship Id="rId195" Type="http://schemas.openxmlformats.org/officeDocument/2006/relationships/image" Target="media/image167.emf"/><Relationship Id="rId209" Type="http://schemas.openxmlformats.org/officeDocument/2006/relationships/image" Target="media/image181.emf"/><Relationship Id="rId190" Type="http://schemas.openxmlformats.org/officeDocument/2006/relationships/image" Target="media/image162.emf"/><Relationship Id="rId204" Type="http://schemas.openxmlformats.org/officeDocument/2006/relationships/image" Target="media/image176.emf"/><Relationship Id="rId220"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image" Target="media/image13.jpeg"/><Relationship Id="rId57" Type="http://schemas.openxmlformats.org/officeDocument/2006/relationships/image" Target="media/image29.emf"/><Relationship Id="rId106" Type="http://schemas.openxmlformats.org/officeDocument/2006/relationships/image" Target="media/image78.emf"/><Relationship Id="rId127" Type="http://schemas.openxmlformats.org/officeDocument/2006/relationships/image" Target="media/image99.emf"/><Relationship Id="rId10" Type="http://schemas.openxmlformats.org/officeDocument/2006/relationships/endnotes" Target="endnotes.xml"/><Relationship Id="rId31" Type="http://schemas.openxmlformats.org/officeDocument/2006/relationships/image" Target="media/image8.jpeg"/><Relationship Id="rId52" Type="http://schemas.openxmlformats.org/officeDocument/2006/relationships/image" Target="media/image24.emf"/><Relationship Id="rId73" Type="http://schemas.openxmlformats.org/officeDocument/2006/relationships/image" Target="media/image45.jpeg"/><Relationship Id="rId78" Type="http://schemas.openxmlformats.org/officeDocument/2006/relationships/image" Target="media/image50.emf"/><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image" Target="media/image94.emf"/><Relationship Id="rId143" Type="http://schemas.openxmlformats.org/officeDocument/2006/relationships/image" Target="media/image115.emf"/><Relationship Id="rId148" Type="http://schemas.openxmlformats.org/officeDocument/2006/relationships/image" Target="media/image120.emf"/><Relationship Id="rId164" Type="http://schemas.openxmlformats.org/officeDocument/2006/relationships/image" Target="media/image136.emf"/><Relationship Id="rId169" Type="http://schemas.openxmlformats.org/officeDocument/2006/relationships/image" Target="media/image141.emf"/><Relationship Id="rId185" Type="http://schemas.openxmlformats.org/officeDocument/2006/relationships/image" Target="media/image157.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2.emf"/><Relationship Id="rId210" Type="http://schemas.openxmlformats.org/officeDocument/2006/relationships/image" Target="media/image182.emf"/><Relationship Id="rId215" Type="http://schemas.openxmlformats.org/officeDocument/2006/relationships/image" Target="media/image187.emf"/><Relationship Id="rId26" Type="http://schemas.openxmlformats.org/officeDocument/2006/relationships/header" Target="header4.xml"/><Relationship Id="rId47" Type="http://schemas.openxmlformats.org/officeDocument/2006/relationships/footer" Target="footer10.xml"/><Relationship Id="rId68" Type="http://schemas.openxmlformats.org/officeDocument/2006/relationships/image" Target="media/image40.emf"/><Relationship Id="rId89" Type="http://schemas.openxmlformats.org/officeDocument/2006/relationships/image" Target="media/image61.emf"/><Relationship Id="rId112" Type="http://schemas.openxmlformats.org/officeDocument/2006/relationships/image" Target="media/image84.emf"/><Relationship Id="rId133" Type="http://schemas.openxmlformats.org/officeDocument/2006/relationships/image" Target="media/image105.emf"/><Relationship Id="rId154" Type="http://schemas.openxmlformats.org/officeDocument/2006/relationships/image" Target="media/image126.emf"/><Relationship Id="rId175" Type="http://schemas.openxmlformats.org/officeDocument/2006/relationships/image" Target="media/image147.emf"/><Relationship Id="rId196" Type="http://schemas.openxmlformats.org/officeDocument/2006/relationships/image" Target="media/image168.emf"/><Relationship Id="rId200" Type="http://schemas.openxmlformats.org/officeDocument/2006/relationships/image" Target="media/image172.emf"/><Relationship Id="rId16" Type="http://schemas.openxmlformats.org/officeDocument/2006/relationships/footer" Target="footer1.xml"/><Relationship Id="rId221" Type="http://schemas.openxmlformats.org/officeDocument/2006/relationships/theme" Target="theme/theme1.xml"/><Relationship Id="rId37" Type="http://schemas.openxmlformats.org/officeDocument/2006/relationships/image" Target="media/image14.jpeg"/><Relationship Id="rId58" Type="http://schemas.openxmlformats.org/officeDocument/2006/relationships/image" Target="media/image30.emf"/><Relationship Id="rId79" Type="http://schemas.openxmlformats.org/officeDocument/2006/relationships/image" Target="media/image51.emf"/><Relationship Id="rId102" Type="http://schemas.openxmlformats.org/officeDocument/2006/relationships/image" Target="media/image74.emf"/><Relationship Id="rId123" Type="http://schemas.openxmlformats.org/officeDocument/2006/relationships/image" Target="media/image95.emf"/><Relationship Id="rId144" Type="http://schemas.openxmlformats.org/officeDocument/2006/relationships/image" Target="media/image1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7edb32c0c440f15a0a68115de1d1a964">
  <xsd:schema xmlns:xsd="http://www.w3.org/2001/XMLSchema" xmlns:xs="http://www.w3.org/2001/XMLSchema" xmlns:p="http://schemas.microsoft.com/office/2006/metadata/properties" xmlns:ns1="http://schemas.microsoft.com/sharepoint/v3" targetNamespace="http://schemas.microsoft.com/office/2006/metadata/properties" ma:root="true" ma:fieldsID="e61f34ccb267cd65e499a7af272e4e7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description="" ma:hidden="true" ma:internalName="PublishingStartDate">
      <xsd:simpleType>
        <xsd:restriction base="dms:Unknown"/>
      </xsd:simpleType>
    </xsd:element>
    <xsd:element name="PublishingExpirationDate" ma:index="6"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43A52-1E1A-4C77-AB4D-921621DDB336}">
  <ds:schemaRefs>
    <ds:schemaRef ds:uri="http://schemas.microsoft.com/sharepoint/v3/contenttype/forms"/>
  </ds:schemaRefs>
</ds:datastoreItem>
</file>

<file path=customXml/itemProps2.xml><?xml version="1.0" encoding="utf-8"?>
<ds:datastoreItem xmlns:ds="http://schemas.openxmlformats.org/officeDocument/2006/customXml" ds:itemID="{F52EDF88-9042-4C63-AA1B-36EBF0D80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58EB6A-91B8-4396-B05B-7967E37A03CB}">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A9F3E8BB-8756-45C9-A3DE-BBFBBD6EB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1915</TotalTime>
  <Pages>223</Pages>
  <Words>27494</Words>
  <Characters>146902</Characters>
  <Application>Microsoft Office Word</Application>
  <DocSecurity>0</DocSecurity>
  <Lines>1224</Lines>
  <Paragraphs>348</Paragraphs>
  <ScaleCrop>false</ScaleCrop>
  <HeadingPairs>
    <vt:vector size="2" baseType="variant">
      <vt:variant>
        <vt:lpstr>Title</vt:lpstr>
      </vt:variant>
      <vt:variant>
        <vt:i4>1</vt:i4>
      </vt:variant>
    </vt:vector>
  </HeadingPairs>
  <TitlesOfParts>
    <vt:vector size="1" baseType="lpstr">
      <vt:lpstr>IR template_2015</vt:lpstr>
    </vt:vector>
  </TitlesOfParts>
  <Company>EA</Company>
  <LinksUpToDate>false</LinksUpToDate>
  <CharactersWithSpaces>174048</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 631 - A summary and review of eriss’ groundwater chemistry data at Ranger uranium mine</dc:title>
  <dc:creator>Australian Government Department of the Environment</dc:creator>
  <cp:lastModifiedBy>a06368</cp:lastModifiedBy>
  <cp:revision>30</cp:revision>
  <cp:lastPrinted>2003-09-10T07:40:00Z</cp:lastPrinted>
  <dcterms:created xsi:type="dcterms:W3CDTF">2015-02-16T00:21:00Z</dcterms:created>
  <dcterms:modified xsi:type="dcterms:W3CDTF">2015-03-25T05:44:00Z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ies>
</file>