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7C5F8B" w:rsidP="00AA64A3">
      <w:pPr>
        <w:pStyle w:val="StyleCentered"/>
      </w:pPr>
      <w:r>
        <w:rPr>
          <w:noProof/>
          <w:lang w:eastAsia="en-AU"/>
        </w:rPr>
        <w:pict>
          <v:group id="_x0000_s1031" style="position:absolute;left:0;text-align:left;margin-left:398.95pt;margin-top:5.8pt;width:130.1pt;height:153.2pt;z-index:251659264" coordorigin="8546,683" coordsize="2602,3064">
            <v:rect id="_x0000_s1032" style="position:absolute;left:9951;top:683;width:1197;height:2984" fillcolor="black"/>
            <v:shapetype id="_x0000_t202" coordsize="21600,21600" o:spt="202" path="m,l,21600r21600,l21600,xe">
              <v:stroke joinstyle="miter"/>
              <v:path gradientshapeok="t" o:connecttype="rect"/>
            </v:shapetype>
            <v:shape id="_x0000_s1033" type="#_x0000_t202" style="position:absolute;left:10041;top:2337;width:1052;height:1273" fillcolor="black" stroked="f">
              <v:textbox style="mso-next-textbox:#_x0000_s1033" inset="0,0,0,0">
                <w:txbxContent>
                  <w:p w:rsidR="00590F7C" w:rsidRPr="0086045D" w:rsidRDefault="00590F7C"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642</w:t>
                    </w:r>
                  </w:p>
                </w:txbxContent>
              </v:textbox>
            </v:shape>
            <v:shape id="_x0000_s1034" type="#_x0000_t202" style="position:absolute;left:8546;top:2515;width:1302;height:1232" stroked="f">
              <v:textbox style="mso-next-textbox:#_x0000_s1034">
                <w:txbxContent>
                  <w:p w:rsidR="00590F7C" w:rsidRPr="0086045D" w:rsidRDefault="00590F7C"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v:textbox>
            </v:shape>
          </v:group>
        </w:pict>
      </w:r>
      <w:r>
        <w:rPr>
          <w:noProof/>
          <w:lang w:eastAsia="en-AU"/>
        </w:rPr>
        <w:pict>
          <v:shape id="_x0000_s1029" type="#_x0000_t202" style="position:absolute;left:0;text-align:left;margin-left:327.4pt;margin-top:246pt;width:206.45pt;height:196.9pt;z-index:251657216" stroked="f">
            <v:textbox style="mso-next-textbox:#_x0000_s1029">
              <w:txbxContent>
                <w:p w:rsidR="00590F7C" w:rsidRPr="007A4E86" w:rsidRDefault="00590F7C" w:rsidP="00E9208F">
                  <w:pPr>
                    <w:spacing w:after="0" w:line="720" w:lineRule="atLeast"/>
                    <w:jc w:val="left"/>
                    <w:rPr>
                      <w:rFonts w:ascii="Arial" w:hAnsi="Arial" w:cs="Arial"/>
                      <w:spacing w:val="-2"/>
                      <w:sz w:val="36"/>
                      <w:szCs w:val="36"/>
                    </w:rPr>
                  </w:pPr>
                  <w:bookmarkStart w:id="0" w:name="OLE_LINK1"/>
                  <w:bookmarkStart w:id="1" w:name="OLE_LINK2"/>
                  <w:r>
                    <w:rPr>
                      <w:rFonts w:ascii="Arial" w:hAnsi="Arial" w:cs="Arial"/>
                      <w:spacing w:val="-2"/>
                      <w:sz w:val="36"/>
                      <w:szCs w:val="36"/>
                    </w:rPr>
                    <w:t xml:space="preserve">Gamma dose rates and </w:t>
                  </w:r>
                  <w:r w:rsidRPr="005834C6">
                    <w:rPr>
                      <w:rFonts w:ascii="Arial" w:hAnsi="Arial" w:cs="Arial"/>
                      <w:spacing w:val="-2"/>
                      <w:sz w:val="36"/>
                      <w:szCs w:val="36"/>
                      <w:vertAlign w:val="superscript"/>
                    </w:rPr>
                    <w:t>222</w:t>
                  </w:r>
                  <w:r>
                    <w:rPr>
                      <w:rFonts w:ascii="Arial" w:hAnsi="Arial" w:cs="Arial"/>
                      <w:spacing w:val="-2"/>
                      <w:sz w:val="36"/>
                      <w:szCs w:val="36"/>
                    </w:rPr>
                    <w:t>Rn activity flux densities at the El </w:t>
                  </w:r>
                  <w:proofErr w:type="spellStart"/>
                  <w:r>
                    <w:rPr>
                      <w:rFonts w:ascii="Arial" w:hAnsi="Arial" w:cs="Arial"/>
                      <w:spacing w:val="-2"/>
                      <w:sz w:val="36"/>
                      <w:szCs w:val="36"/>
                    </w:rPr>
                    <w:t>Sherana</w:t>
                  </w:r>
                  <w:proofErr w:type="spellEnd"/>
                  <w:r>
                    <w:rPr>
                      <w:rFonts w:ascii="Arial" w:hAnsi="Arial" w:cs="Arial"/>
                      <w:spacing w:val="-2"/>
                      <w:sz w:val="36"/>
                      <w:szCs w:val="36"/>
                    </w:rPr>
                    <w:t xml:space="preserve"> containment</w:t>
                  </w:r>
                  <w:bookmarkEnd w:id="0"/>
                  <w:bookmarkEnd w:id="1"/>
                  <w:r>
                    <w:rPr>
                      <w:rFonts w:ascii="Arial" w:hAnsi="Arial" w:cs="Arial"/>
                      <w:spacing w:val="-2"/>
                      <w:sz w:val="36"/>
                      <w:szCs w:val="36"/>
                    </w:rPr>
                    <w:t xml:space="preserve"> </w:t>
                  </w:r>
                </w:p>
              </w:txbxContent>
            </v:textbox>
          </v:shape>
        </w:pict>
      </w:r>
      <w:r w:rsidR="003F6691">
        <w:rPr>
          <w:noProof/>
          <w:lang w:eastAsia="en-AU"/>
        </w:rPr>
        <w:drawing>
          <wp:anchor distT="0" distB="0" distL="114300" distR="114300" simplePos="0" relativeHeight="25165619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12"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26" style="position:absolute;left:0;text-align:left;margin-left:18.35pt;margin-top:193.95pt;width:288.9pt;height:596.9pt;z-index:251655168;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24;top:4703;width:5708;height:10323">
              <v:imagedata r:id="rId13" o:title="pandanus"/>
            </v:shape>
            <v:rect id="_x0000_s1028" style="position:absolute;left:989;top:3418;width:5933;height:11208" filled="f" strokeweight="4.5pt"/>
          </v:group>
        </w:pict>
      </w:r>
    </w:p>
    <w:p w:rsidR="00371D2F" w:rsidRDefault="007C5F8B" w:rsidP="005A73B9">
      <w:r>
        <w:rPr>
          <w:noProof/>
          <w:lang w:eastAsia="en-AU"/>
        </w:rPr>
        <w:pict>
          <v:shape id="_x0000_s1030" type="#_x0000_t202" style="position:absolute;left:0;text-align:left;margin-left:327.4pt;margin-top:473.85pt;width:225pt;height:214.3pt;z-index:251658240" stroked="f">
            <v:textbox style="mso-next-textbox:#_x0000_s1030">
              <w:txbxContent>
                <w:p w:rsidR="00590F7C" w:rsidRPr="00172461" w:rsidRDefault="00590F7C" w:rsidP="00371D2F">
                  <w:pPr>
                    <w:pStyle w:val="cover-author"/>
                  </w:pPr>
                  <w:r>
                    <w:t xml:space="preserve">Andreas </w:t>
                  </w:r>
                  <w:proofErr w:type="spellStart"/>
                  <w:r>
                    <w:t>Bollhöfer</w:t>
                  </w:r>
                  <w:proofErr w:type="spellEnd"/>
                  <w:r>
                    <w:t xml:space="preserve">, </w:t>
                  </w:r>
                  <w:proofErr w:type="spellStart"/>
                  <w:r>
                    <w:t>Che</w:t>
                  </w:r>
                  <w:proofErr w:type="spellEnd"/>
                  <w:r>
                    <w:t xml:space="preserve"> </w:t>
                  </w:r>
                  <w:proofErr w:type="spellStart"/>
                  <w:r>
                    <w:t>Doering</w:t>
                  </w:r>
                  <w:proofErr w:type="spellEnd"/>
                  <w:r>
                    <w:t>, Gary Fox</w:t>
                  </w:r>
                </w:p>
                <w:p w:rsidR="00590F7C" w:rsidRPr="00172461" w:rsidRDefault="00590F7C" w:rsidP="00E9208F">
                  <w:pPr>
                    <w:spacing w:after="0" w:line="600" w:lineRule="atLeast"/>
                    <w:jc w:val="left"/>
                    <w:rPr>
                      <w:rFonts w:ascii="Calibri" w:hAnsi="Calibri"/>
                      <w:spacing w:val="-2"/>
                      <w:sz w:val="28"/>
                      <w:szCs w:val="28"/>
                    </w:rPr>
                  </w:pPr>
                </w:p>
                <w:p w:rsidR="00590F7C" w:rsidRPr="00172461" w:rsidRDefault="00590F7C" w:rsidP="00371D2F">
                  <w:pPr>
                    <w:pStyle w:val="cover-author"/>
                  </w:pPr>
                  <w:r>
                    <w:t>July 2015</w:t>
                  </w:r>
                </w:p>
                <w:p w:rsidR="00590F7C" w:rsidRPr="00172461" w:rsidRDefault="00590F7C" w:rsidP="00E9208F">
                  <w:pPr>
                    <w:spacing w:after="0" w:line="600" w:lineRule="atLeast"/>
                    <w:jc w:val="left"/>
                    <w:rPr>
                      <w:rFonts w:ascii="Calibri" w:hAnsi="Calibri"/>
                      <w:spacing w:val="-2"/>
                      <w:sz w:val="28"/>
                      <w:szCs w:val="28"/>
                    </w:rPr>
                  </w:pPr>
                </w:p>
                <w:p w:rsidR="00590F7C" w:rsidRDefault="00590F7C" w:rsidP="00371D2F">
                  <w:pPr>
                    <w:pStyle w:val="cover-author"/>
                  </w:pPr>
                  <w:r w:rsidRPr="003535B5">
                    <w:t xml:space="preserve">Release </w:t>
                  </w:r>
                  <w:r w:rsidRPr="00371D2F">
                    <w:t>status</w:t>
                  </w:r>
                  <w:r w:rsidRPr="003535B5">
                    <w:t xml:space="preserve"> – </w:t>
                  </w:r>
                  <w:r>
                    <w:t>unrestricted</w:t>
                  </w:r>
                </w:p>
                <w:p w:rsidR="00590F7C" w:rsidRPr="003535B5" w:rsidRDefault="00590F7C" w:rsidP="00371D2F">
                  <w:pPr>
                    <w:pStyle w:val="cover-author"/>
                  </w:pPr>
                  <w:r>
                    <w:t xml:space="preserve">Project number – </w:t>
                  </w:r>
                  <w:r w:rsidRPr="005834C6">
                    <w:t>MON-2013-006</w:t>
                  </w:r>
                </w:p>
              </w:txbxContent>
            </v:textbox>
          </v:shape>
        </w:pict>
      </w:r>
      <w:r w:rsidR="003F6691">
        <w:rPr>
          <w:noProof/>
          <w:lang w:eastAsia="en-AU"/>
        </w:rPr>
        <w:drawing>
          <wp:anchor distT="0" distB="0" distL="114300" distR="114300" simplePos="0" relativeHeight="251660288" behindDoc="0" locked="0" layoutInCell="1" allowOverlap="1">
            <wp:simplePos x="0" y="0"/>
            <wp:positionH relativeFrom="column">
              <wp:posOffset>1097280</wp:posOffset>
            </wp:positionH>
            <wp:positionV relativeFrom="paragraph">
              <wp:posOffset>443230</wp:posOffset>
            </wp:positionV>
            <wp:extent cx="2051685" cy="1414145"/>
            <wp:effectExtent l="19050" t="0" r="5715"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4" cstate="print"/>
                    <a:stretch>
                      <a:fillRect/>
                    </a:stretch>
                  </pic:blipFill>
                  <pic:spPr>
                    <a:xfrm>
                      <a:off x="0" y="0"/>
                      <a:ext cx="2051685" cy="1414145"/>
                    </a:xfrm>
                    <a:prstGeom prst="rect">
                      <a:avLst/>
                    </a:prstGeom>
                  </pic:spPr>
                </pic:pic>
              </a:graphicData>
            </a:graphic>
          </wp:anchor>
        </w:drawing>
      </w:r>
    </w:p>
    <w:p w:rsidR="00371D2F" w:rsidRDefault="00371D2F" w:rsidP="00371D2F">
      <w:pPr>
        <w:sectPr w:rsidR="00371D2F" w:rsidSect="00371D2F">
          <w:headerReference w:type="even" r:id="rId15"/>
          <w:footerReference w:type="even" r:id="rId16"/>
          <w:footerReference w:type="default" r:id="rId17"/>
          <w:footerReference w:type="first" r:id="rId18"/>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885B0A" w:rsidRDefault="005834C6" w:rsidP="00841E20">
      <w:pPr>
        <w:jc w:val="center"/>
      </w:pPr>
      <w:r w:rsidRPr="005834C6">
        <w:rPr>
          <w:rFonts w:ascii="Arial" w:hAnsi="Arial"/>
          <w:b/>
          <w:sz w:val="36"/>
        </w:rPr>
        <w:lastRenderedPageBreak/>
        <w:t xml:space="preserve">Gamma dose rates and </w:t>
      </w:r>
      <w:r w:rsidRPr="005834C6">
        <w:rPr>
          <w:rFonts w:ascii="Arial" w:hAnsi="Arial"/>
          <w:b/>
          <w:snapToGrid w:val="0"/>
          <w:color w:val="000000"/>
          <w:position w:val="9"/>
          <w:szCs w:val="0"/>
          <w:u w:color="000000"/>
        </w:rPr>
        <w:t>222</w:t>
      </w:r>
      <w:r w:rsidRPr="005834C6">
        <w:rPr>
          <w:rFonts w:ascii="Arial" w:hAnsi="Arial"/>
          <w:b/>
          <w:sz w:val="36"/>
        </w:rPr>
        <w:t xml:space="preserve">Rn activity flux densities at the El </w:t>
      </w:r>
      <w:proofErr w:type="spellStart"/>
      <w:r w:rsidRPr="005834C6">
        <w:rPr>
          <w:rFonts w:ascii="Arial" w:hAnsi="Arial"/>
          <w:b/>
          <w:sz w:val="36"/>
        </w:rPr>
        <w:t>Sherana</w:t>
      </w:r>
      <w:proofErr w:type="spellEnd"/>
      <w:r w:rsidRPr="005834C6">
        <w:rPr>
          <w:rFonts w:ascii="Arial" w:hAnsi="Arial"/>
          <w:b/>
          <w:sz w:val="36"/>
        </w:rPr>
        <w:t xml:space="preserve"> containment</w:t>
      </w:r>
    </w:p>
    <w:p w:rsidR="00885B0A" w:rsidRDefault="00885B0A"/>
    <w:p w:rsidR="00885B0A" w:rsidRDefault="00885B0A"/>
    <w:p w:rsidR="00885B0A" w:rsidRDefault="005834C6">
      <w:pPr>
        <w:pStyle w:val="authors"/>
      </w:pPr>
      <w:bookmarkStart w:id="3" w:name="_Toc425412099"/>
      <w:bookmarkStart w:id="4" w:name="_Toc425414050"/>
      <w:r>
        <w:t xml:space="preserve">Andreas </w:t>
      </w:r>
      <w:proofErr w:type="spellStart"/>
      <w:r>
        <w:t>Bollhöfer</w:t>
      </w:r>
      <w:proofErr w:type="spellEnd"/>
      <w:r>
        <w:t xml:space="preserve">, </w:t>
      </w:r>
      <w:proofErr w:type="spellStart"/>
      <w:r>
        <w:t>Che</w:t>
      </w:r>
      <w:proofErr w:type="spellEnd"/>
      <w:r>
        <w:t xml:space="preserve"> </w:t>
      </w:r>
      <w:proofErr w:type="spellStart"/>
      <w:r>
        <w:t>Doering</w:t>
      </w:r>
      <w:proofErr w:type="spellEnd"/>
      <w:r>
        <w:t>, Gary Fox</w:t>
      </w:r>
      <w:bookmarkEnd w:id="3"/>
      <w:bookmarkEnd w:id="4"/>
    </w:p>
    <w:p w:rsidR="00885B0A" w:rsidRDefault="00885B0A" w:rsidP="008F19A8">
      <w:pPr>
        <w:pStyle w:val="StyleCentered"/>
      </w:pPr>
    </w:p>
    <w:p w:rsidR="00885B0A" w:rsidRDefault="00885B0A" w:rsidP="008F19A8">
      <w:pPr>
        <w:pStyle w:val="StyleCentered"/>
      </w:pPr>
    </w:p>
    <w:p w:rsidR="00885B0A" w:rsidRDefault="00690CAE" w:rsidP="008F19A8">
      <w:pPr>
        <w:pStyle w:val="StyleCentered"/>
      </w:pPr>
      <w:r>
        <w:t>Supervising Scientist</w:t>
      </w:r>
    </w:p>
    <w:p w:rsidR="00885B0A" w:rsidRDefault="00885B0A" w:rsidP="008F19A8">
      <w:pPr>
        <w:pStyle w:val="StyleCentered"/>
      </w:pPr>
      <w:r>
        <w:t>GPO Box 461, Darwin NT 0801</w:t>
      </w:r>
    </w:p>
    <w:p w:rsidR="00885B0A" w:rsidRDefault="00885B0A" w:rsidP="008F19A8">
      <w:pPr>
        <w:pStyle w:val="StyleCentered"/>
      </w:pPr>
    </w:p>
    <w:p w:rsidR="00885B0A" w:rsidRDefault="00885B0A" w:rsidP="008F19A8">
      <w:pPr>
        <w:pStyle w:val="StyleCentered"/>
      </w:pPr>
    </w:p>
    <w:p w:rsidR="00885B0A" w:rsidRDefault="00885B0A" w:rsidP="008F19A8">
      <w:pPr>
        <w:pStyle w:val="StyleCentered"/>
      </w:pPr>
    </w:p>
    <w:p w:rsidR="00885B0A" w:rsidRDefault="00885B0A" w:rsidP="008F19A8">
      <w:pPr>
        <w:pStyle w:val="StyleCentered"/>
      </w:pPr>
    </w:p>
    <w:p w:rsidR="00885B0A" w:rsidRDefault="005834C6" w:rsidP="008F19A8">
      <w:pPr>
        <w:pStyle w:val="StyleCentered"/>
      </w:pPr>
      <w:r>
        <w:t>July</w:t>
      </w:r>
      <w:r w:rsidR="00885B0A">
        <w:t xml:space="preserve"> </w:t>
      </w:r>
      <w:r>
        <w:t>2015</w:t>
      </w:r>
    </w:p>
    <w:p w:rsidR="00885B0A" w:rsidRDefault="00885B0A" w:rsidP="008F19A8">
      <w:pPr>
        <w:pStyle w:val="StyleCentered"/>
      </w:pPr>
    </w:p>
    <w:p w:rsidR="003535B5" w:rsidRDefault="003535B5" w:rsidP="008F19A8">
      <w:pPr>
        <w:pStyle w:val="StyleCentered"/>
      </w:pPr>
    </w:p>
    <w:p w:rsidR="00885B0A" w:rsidRDefault="00885B0A" w:rsidP="008F19A8">
      <w:pPr>
        <w:pStyle w:val="StyleCentered"/>
      </w:pPr>
    </w:p>
    <w:p w:rsidR="00885B0A" w:rsidRDefault="00885B0A" w:rsidP="008F19A8">
      <w:pPr>
        <w:pStyle w:val="StyleCentered"/>
      </w:pPr>
      <w:r>
        <w:t xml:space="preserve">(Release status – </w:t>
      </w:r>
      <w:r w:rsidR="005834C6">
        <w:t>unrestricted</w:t>
      </w:r>
      <w:r>
        <w:t>)</w:t>
      </w:r>
    </w:p>
    <w:p w:rsidR="00885B0A" w:rsidRDefault="00885B0A" w:rsidP="008F19A8">
      <w:pPr>
        <w:pStyle w:val="StyleCentered"/>
      </w:pPr>
    </w:p>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44AEB" w:rsidRDefault="00844AEB" w:rsidP="00AA64A3">
      <w:pPr>
        <w:pStyle w:val="StyleCentered"/>
      </w:pPr>
      <w:r>
        <w:rPr>
          <w:noProof/>
          <w:lang w:eastAsia="en-AU"/>
        </w:rPr>
        <w:drawing>
          <wp:inline distT="0" distB="0" distL="0" distR="0">
            <wp:extent cx="2672442" cy="990600"/>
            <wp:effectExtent l="0" t="0" r="0" b="0"/>
            <wp:docPr id="7"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9" cstate="print"/>
                    <a:stretch>
                      <a:fillRect/>
                    </a:stretch>
                  </pic:blipFill>
                  <pic:spPr>
                    <a:xfrm>
                      <a:off x="0" y="0"/>
                      <a:ext cx="2672442" cy="990600"/>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885B0A" w:rsidRDefault="00C12534">
      <w:pPr>
        <w:rPr>
          <w:i/>
          <w:sz w:val="18"/>
        </w:rPr>
      </w:pPr>
      <w:r>
        <w:rPr>
          <w:i/>
          <w:sz w:val="18"/>
        </w:rPr>
        <w:t>How to cite this report:</w:t>
      </w:r>
    </w:p>
    <w:p w:rsidR="008D016A" w:rsidRPr="00F01B51" w:rsidRDefault="008D016A" w:rsidP="008D016A">
      <w:pPr>
        <w:pStyle w:val="referencelist1"/>
        <w:rPr>
          <w:b/>
        </w:rPr>
      </w:pPr>
      <w:proofErr w:type="spellStart"/>
      <w:r w:rsidRPr="00B15CB6">
        <w:rPr>
          <w:szCs w:val="24"/>
        </w:rPr>
        <w:t>Bollhöfer</w:t>
      </w:r>
      <w:proofErr w:type="spellEnd"/>
      <w:r w:rsidRPr="00B15CB6">
        <w:rPr>
          <w:szCs w:val="24"/>
        </w:rPr>
        <w:t xml:space="preserve"> A,</w:t>
      </w:r>
      <w:r w:rsidR="00B15CB6">
        <w:t xml:space="preserve"> </w:t>
      </w:r>
      <w:proofErr w:type="spellStart"/>
      <w:r w:rsidR="00B15CB6">
        <w:t>Doering</w:t>
      </w:r>
      <w:proofErr w:type="spellEnd"/>
      <w:r w:rsidR="00B15CB6">
        <w:t xml:space="preserve"> C &amp; Fox G 2015</w:t>
      </w:r>
      <w:r w:rsidRPr="00F01B51">
        <w:t xml:space="preserve">. </w:t>
      </w:r>
      <w:proofErr w:type="gramStart"/>
      <w:r w:rsidRPr="008D016A">
        <w:t xml:space="preserve">Gamma dose rates and </w:t>
      </w:r>
      <w:r w:rsidRPr="008D016A">
        <w:rPr>
          <w:vertAlign w:val="superscript"/>
        </w:rPr>
        <w:t>222</w:t>
      </w:r>
      <w:r w:rsidRPr="008D016A">
        <w:t xml:space="preserve">Rn activity flux densities at the El </w:t>
      </w:r>
      <w:proofErr w:type="spellStart"/>
      <w:r w:rsidRPr="008D016A">
        <w:t>Sherana</w:t>
      </w:r>
      <w:proofErr w:type="spellEnd"/>
      <w:r w:rsidRPr="008D016A">
        <w:t xml:space="preserve"> containment</w:t>
      </w:r>
      <w:r w:rsidRPr="00F01B51">
        <w:t>.</w:t>
      </w:r>
      <w:proofErr w:type="gramEnd"/>
      <w:r w:rsidR="00B15CB6">
        <w:t xml:space="preserve"> Internal Report 642</w:t>
      </w:r>
      <w:r w:rsidR="00450823">
        <w:t>, July</w:t>
      </w:r>
      <w:r>
        <w:rPr>
          <w:spacing w:val="-2"/>
        </w:rPr>
        <w:t>, Supervising Scientist, Darwin.</w:t>
      </w:r>
    </w:p>
    <w:p w:rsidR="003535B5" w:rsidRPr="00962D28" w:rsidRDefault="003535B5" w:rsidP="00AA2431">
      <w:pPr>
        <w:rPr>
          <w:i/>
          <w:sz w:val="18"/>
        </w:rPr>
      </w:pPr>
      <w:r w:rsidRPr="00962D28">
        <w:rPr>
          <w:i/>
          <w:sz w:val="18"/>
        </w:rPr>
        <w:t>Project number</w:t>
      </w:r>
      <w:r w:rsidR="00690CAE" w:rsidRPr="00962D28">
        <w:rPr>
          <w:i/>
          <w:sz w:val="18"/>
        </w:rPr>
        <w:t>:</w:t>
      </w:r>
      <w:r w:rsidRPr="00962D28">
        <w:rPr>
          <w:i/>
          <w:sz w:val="18"/>
        </w:rPr>
        <w:t xml:space="preserve"> </w:t>
      </w:r>
      <w:r w:rsidR="00347955" w:rsidRPr="00347955">
        <w:rPr>
          <w:i/>
          <w:sz w:val="18"/>
        </w:rPr>
        <w:t>MON-2013-006</w:t>
      </w:r>
    </w:p>
    <w:p w:rsidR="004A611F" w:rsidRDefault="004A611F" w:rsidP="004A611F">
      <w:pPr>
        <w:rPr>
          <w:i/>
          <w:sz w:val="18"/>
        </w:rPr>
      </w:pPr>
      <w:r>
        <w:rPr>
          <w:i/>
          <w:sz w:val="18"/>
        </w:rPr>
        <w:t>Authors of this report:</w:t>
      </w:r>
    </w:p>
    <w:p w:rsidR="004A611F" w:rsidRPr="008D016A" w:rsidRDefault="004A611F" w:rsidP="004A611F">
      <w:pPr>
        <w:spacing w:after="80" w:line="240" w:lineRule="auto"/>
        <w:ind w:left="357"/>
        <w:rPr>
          <w:sz w:val="20"/>
        </w:rPr>
      </w:pPr>
      <w:r w:rsidRPr="008D016A">
        <w:rPr>
          <w:sz w:val="20"/>
        </w:rPr>
        <w:t xml:space="preserve">Andreas </w:t>
      </w:r>
      <w:proofErr w:type="spellStart"/>
      <w:r w:rsidRPr="008D016A">
        <w:rPr>
          <w:sz w:val="20"/>
        </w:rPr>
        <w:t>Bollhöfer</w:t>
      </w:r>
      <w:proofErr w:type="spellEnd"/>
      <w:r w:rsidRPr="008D016A">
        <w:rPr>
          <w:sz w:val="20"/>
        </w:rPr>
        <w:t xml:space="preserve"> – Environmental Research Institute of the Supervising Scientist, GPO Box 461, Darwin NT 0801, Australia</w:t>
      </w:r>
    </w:p>
    <w:p w:rsidR="004A611F" w:rsidRPr="008D016A" w:rsidRDefault="005834C6" w:rsidP="004A611F">
      <w:pPr>
        <w:spacing w:after="80" w:line="240" w:lineRule="auto"/>
        <w:ind w:left="357"/>
        <w:rPr>
          <w:sz w:val="20"/>
        </w:rPr>
      </w:pPr>
      <w:r w:rsidRPr="008D016A">
        <w:rPr>
          <w:sz w:val="20"/>
        </w:rPr>
        <w:t>Che Doering</w:t>
      </w:r>
      <w:r w:rsidR="005D2023" w:rsidRPr="008D016A">
        <w:rPr>
          <w:sz w:val="20"/>
        </w:rPr>
        <w:t xml:space="preserve"> – </w:t>
      </w:r>
      <w:r w:rsidRPr="008D016A">
        <w:rPr>
          <w:sz w:val="20"/>
        </w:rPr>
        <w:t>Environmental Research Institute of the Supervising Scientist, GPO Box 461, Darwin NT 0801, Australia</w:t>
      </w:r>
    </w:p>
    <w:p w:rsidR="005834C6" w:rsidRPr="00962D28" w:rsidRDefault="005834C6" w:rsidP="005834C6">
      <w:pPr>
        <w:spacing w:after="80" w:line="240" w:lineRule="auto"/>
        <w:ind w:left="357"/>
        <w:rPr>
          <w:sz w:val="20"/>
        </w:rPr>
      </w:pPr>
      <w:r w:rsidRPr="008D016A">
        <w:rPr>
          <w:sz w:val="20"/>
        </w:rPr>
        <w:t>Gary Fox – Environmental Research Institute of the Supervising Scientist, GPO Box 461, Darwin NT 0801, Australia</w:t>
      </w:r>
    </w:p>
    <w:p w:rsidR="00743088" w:rsidRPr="005A73B9" w:rsidRDefault="00743088" w:rsidP="005A73B9">
      <w:r w:rsidRPr="005A73B9">
        <w:t xml:space="preserve">Supervising Scientist is a branch of the Australian Government </w:t>
      </w:r>
      <w:r w:rsidRPr="005A73B9">
        <w:rPr>
          <w:lang w:eastAsia="en-AU"/>
        </w:rPr>
        <w:t xml:space="preserve">Department of </w:t>
      </w:r>
      <w:r w:rsidR="005A73B9">
        <w:rPr>
          <w:lang w:eastAsia="en-AU"/>
        </w:rPr>
        <w:br/>
      </w:r>
      <w:r w:rsidRPr="005A73B9">
        <w:rPr>
          <w:lang w:eastAsia="en-AU"/>
        </w:rPr>
        <w:t>the Environment.</w:t>
      </w:r>
    </w:p>
    <w:p w:rsidR="00743088" w:rsidRDefault="00743088" w:rsidP="00743088">
      <w:r>
        <w:rPr>
          <w:noProof/>
          <w:lang w:eastAsia="en-AU"/>
        </w:rPr>
        <w:drawing>
          <wp:inline distT="0" distB="0" distL="0" distR="0">
            <wp:extent cx="1524000" cy="533400"/>
            <wp:effectExtent l="19050" t="0" r="0" b="0"/>
            <wp:docPr id="2"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20" cstate="print"/>
                    <a:stretch>
                      <a:fillRect/>
                    </a:stretch>
                  </pic:blipFill>
                  <pic:spPr>
                    <a:xfrm>
                      <a:off x="0" y="0"/>
                      <a:ext cx="1524000" cy="533400"/>
                    </a:xfrm>
                    <a:prstGeom prst="rect">
                      <a:avLst/>
                    </a:prstGeom>
                  </pic:spPr>
                </pic:pic>
              </a:graphicData>
            </a:graphic>
          </wp:inline>
        </w:drawing>
      </w:r>
    </w:p>
    <w:p w:rsidR="00743088" w:rsidRPr="005A73B9" w:rsidRDefault="00743088" w:rsidP="005A73B9">
      <w:r w:rsidRPr="005A73B9">
        <w:t>© Commonwealth of Australia 201</w:t>
      </w:r>
      <w:r w:rsidR="004A043B" w:rsidRPr="005A73B9">
        <w:t>5</w:t>
      </w:r>
    </w:p>
    <w:p w:rsidR="00743088" w:rsidRDefault="00743088" w:rsidP="00743088">
      <w:pPr>
        <w:spacing w:after="0"/>
      </w:pPr>
      <w:r>
        <w:t>Supervising Scientist</w:t>
      </w:r>
    </w:p>
    <w:p w:rsidR="00743088" w:rsidRDefault="00743088" w:rsidP="00743088">
      <w:pPr>
        <w:spacing w:after="0"/>
      </w:pPr>
      <w:r>
        <w:rPr>
          <w:lang w:eastAsia="en-AU"/>
        </w:rPr>
        <w:t xml:space="preserve">Department of the Environment </w:t>
      </w:r>
    </w:p>
    <w:p w:rsidR="00743088" w:rsidRDefault="00743088" w:rsidP="00743088">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Australia</w:t>
      </w:r>
    </w:p>
    <w:p w:rsidR="00743088" w:rsidRPr="006F2AA7" w:rsidRDefault="00743088" w:rsidP="00743088">
      <w:pPr>
        <w:rPr>
          <w:lang w:val="de-DE"/>
        </w:rPr>
      </w:pPr>
      <w:r w:rsidRPr="00543AAF">
        <w:rPr>
          <w:b/>
          <w:lang w:val="de-DE"/>
        </w:rPr>
        <w:t>environment</w:t>
      </w:r>
      <w:r>
        <w:rPr>
          <w:lang w:val="de-DE"/>
        </w:rPr>
        <w:t>.gov.au/</w:t>
      </w:r>
      <w:r w:rsidR="00052FB9" w:rsidRPr="00052FB9">
        <w:rPr>
          <w:lang w:val="de-DE"/>
        </w:rPr>
        <w:t>science/supervising-scientist/publications</w:t>
      </w:r>
    </w:p>
    <w:p w:rsidR="00743088" w:rsidRDefault="00BF5E38" w:rsidP="005A73B9">
      <w:r>
        <w:t>IR</w:t>
      </w:r>
      <w:r w:rsidR="00C75CC5" w:rsidRPr="008D016A">
        <w:t>642</w:t>
      </w:r>
      <w:r>
        <w:t xml:space="preserve"> </w:t>
      </w:r>
      <w:r w:rsidR="00743088">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00743088" w:rsidRPr="005A73B9">
        <w:t>http://creative</w:t>
      </w:r>
      <w:bookmarkStart w:id="5" w:name="_Toc513964642"/>
      <w:bookmarkStart w:id="6" w:name="_Toc529153317"/>
      <w:bookmarkStart w:id="7" w:name="_Toc529257114"/>
      <w:bookmarkStart w:id="8" w:name="_Toc530561182"/>
      <w:bookmarkStart w:id="9" w:name="_Toc328494"/>
      <w:bookmarkStart w:id="10" w:name="_Toc10348567"/>
      <w:bookmarkStart w:id="11" w:name="_Toc10440452"/>
      <w:bookmarkStart w:id="12" w:name="_Toc14069262"/>
      <w:bookmarkStart w:id="13" w:name="_Toc44923914"/>
      <w:bookmarkStart w:id="14" w:name="_Toc44999410"/>
      <w:bookmarkStart w:id="15" w:name="_Toc45098428"/>
      <w:bookmarkStart w:id="16" w:name="_Toc45703076"/>
      <w:r w:rsidR="005A73B9">
        <w:t>commons.org/licenses/by/3.0/au/</w:t>
      </w:r>
    </w:p>
    <w:p w:rsidR="00743088" w:rsidRPr="00892A8E" w:rsidRDefault="00743088" w:rsidP="00743088">
      <w:pPr>
        <w:rPr>
          <w:b/>
          <w:spacing w:val="-2"/>
          <w:lang w:val="en-US" w:eastAsia="en-AU"/>
        </w:rPr>
      </w:pPr>
      <w:r w:rsidRPr="00892A8E">
        <w:rPr>
          <w:b/>
          <w:spacing w:val="-2"/>
          <w:lang w:val="en-US" w:eastAsia="en-AU"/>
        </w:rPr>
        <w:t>Disclaimer</w:t>
      </w:r>
    </w:p>
    <w:p w:rsidR="00743088" w:rsidRPr="00614CAF" w:rsidRDefault="00743088" w:rsidP="00743088">
      <w:pPr>
        <w:rPr>
          <w:spacing w:val="-4"/>
          <w:lang w:val="en-US" w:eastAsia="en-AU"/>
        </w:rPr>
      </w:pPr>
      <w:r w:rsidRPr="00614CAF">
        <w:rPr>
          <w:spacing w:val="-4"/>
          <w:lang w:val="en-US" w:eastAsia="en-AU"/>
        </w:rPr>
        <w:t xml:space="preserve">The views and opinions expressed in this publication are those of the authors and do not necessarily reflect those of the Australian Government or the Minister for the Environment. </w:t>
      </w:r>
    </w:p>
    <w:p w:rsidR="00743088" w:rsidRPr="00F61808" w:rsidRDefault="00743088" w:rsidP="00743088">
      <w:r w:rsidRPr="00F61808">
        <w:rPr>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743088" w:rsidRPr="005A73B9" w:rsidRDefault="00B203AA" w:rsidP="00743088">
      <w:proofErr w:type="gramStart"/>
      <w:r>
        <w:t>Produced</w:t>
      </w:r>
      <w:r w:rsidR="00743088" w:rsidRPr="005A73B9">
        <w:t xml:space="preserve"> in Darwin NT by Supervising Scientist</w:t>
      </w:r>
      <w:r w:rsidR="00614CAF" w:rsidRPr="005A73B9">
        <w:t>.</w:t>
      </w:r>
      <w:proofErr w:type="gramEnd"/>
    </w:p>
    <w:p w:rsidR="00743088" w:rsidRPr="005A73B9" w:rsidRDefault="00743088" w:rsidP="005A73B9">
      <w:pPr>
        <w:sectPr w:rsidR="00743088" w:rsidRPr="005A73B9" w:rsidSect="009F0281">
          <w:pgSz w:w="11906" w:h="16838" w:code="9"/>
          <w:pgMar w:top="1440" w:right="1800" w:bottom="1440" w:left="1800" w:header="1080" w:footer="835" w:gutter="0"/>
          <w:pgNumType w:fmt="lowerRoman"/>
          <w:cols w:space="360"/>
          <w:noEndnote/>
        </w:sectPr>
      </w:pPr>
    </w:p>
    <w:p w:rsidR="006D48C6" w:rsidRDefault="00885B0A" w:rsidP="002F5632">
      <w:pPr>
        <w:pStyle w:val="Heading1"/>
        <w:rPr>
          <w:rFonts w:asciiTheme="minorHAnsi" w:eastAsiaTheme="minorEastAsia" w:hAnsiTheme="minorHAnsi" w:cstheme="minorBidi"/>
          <w:b w:val="0"/>
          <w:noProof/>
          <w:sz w:val="22"/>
          <w:szCs w:val="22"/>
          <w:lang w:eastAsia="en-AU"/>
        </w:rPr>
      </w:pPr>
      <w:bookmarkStart w:id="17" w:name="_Toc52076361"/>
      <w:bookmarkStart w:id="18" w:name="_Toc52076386"/>
      <w:bookmarkStart w:id="19" w:name="_Toc425412100"/>
      <w:bookmarkStart w:id="20" w:name="_Toc425414051"/>
      <w:r>
        <w:t>Contents</w:t>
      </w:r>
      <w:bookmarkStart w:id="21" w:name="_Toc529153318"/>
      <w:bookmarkStart w:id="22" w:name="_Toc529257115"/>
      <w:bookmarkStart w:id="23" w:name="_Toc530561183"/>
      <w:bookmarkStart w:id="24" w:name="_Toc1034856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7C5F8B" w:rsidRPr="007C5F8B">
        <w:rPr>
          <w:b w:val="0"/>
        </w:rPr>
        <w:fldChar w:fldCharType="begin"/>
      </w:r>
      <w:r w:rsidR="00242E91">
        <w:rPr>
          <w:b w:val="0"/>
        </w:rPr>
        <w:instrText xml:space="preserve"> TOC \o "1-3" \h \z \t "Heading 4,3,Subtitle,2" </w:instrText>
      </w:r>
      <w:r w:rsidR="007C5F8B" w:rsidRPr="007C5F8B">
        <w:rPr>
          <w:b w:val="0"/>
        </w:rPr>
        <w:fldChar w:fldCharType="separate"/>
      </w:r>
    </w:p>
    <w:p w:rsidR="006D48C6" w:rsidRDefault="007C5F8B">
      <w:pPr>
        <w:pStyle w:val="TOC1"/>
        <w:rPr>
          <w:rFonts w:asciiTheme="minorHAnsi" w:eastAsiaTheme="minorEastAsia" w:hAnsiTheme="minorHAnsi" w:cstheme="minorBidi"/>
          <w:b w:val="0"/>
          <w:noProof/>
          <w:sz w:val="22"/>
          <w:szCs w:val="22"/>
          <w:lang w:eastAsia="en-AU"/>
        </w:rPr>
      </w:pPr>
      <w:hyperlink w:anchor="_Toc425414052" w:history="1">
        <w:r w:rsidR="006D48C6" w:rsidRPr="00EA22EC">
          <w:rPr>
            <w:rStyle w:val="Hyperlink"/>
            <w:noProof/>
          </w:rPr>
          <w:t>Executive summary</w:t>
        </w:r>
        <w:r w:rsidR="006D48C6">
          <w:rPr>
            <w:noProof/>
            <w:webHidden/>
          </w:rPr>
          <w:tab/>
        </w:r>
        <w:r>
          <w:rPr>
            <w:noProof/>
            <w:webHidden/>
          </w:rPr>
          <w:fldChar w:fldCharType="begin"/>
        </w:r>
        <w:r w:rsidR="006D48C6">
          <w:rPr>
            <w:noProof/>
            <w:webHidden/>
          </w:rPr>
          <w:instrText xml:space="preserve"> PAGEREF _Toc425414052 \h </w:instrText>
        </w:r>
        <w:r>
          <w:rPr>
            <w:noProof/>
            <w:webHidden/>
          </w:rPr>
        </w:r>
        <w:r>
          <w:rPr>
            <w:noProof/>
            <w:webHidden/>
          </w:rPr>
          <w:fldChar w:fldCharType="separate"/>
        </w:r>
        <w:r w:rsidR="00DD77D7">
          <w:rPr>
            <w:noProof/>
            <w:webHidden/>
          </w:rPr>
          <w:t>iii</w:t>
        </w:r>
        <w:r>
          <w:rPr>
            <w:noProof/>
            <w:webHidden/>
          </w:rPr>
          <w:fldChar w:fldCharType="end"/>
        </w:r>
      </w:hyperlink>
    </w:p>
    <w:p w:rsidR="006D48C6" w:rsidRDefault="007C5F8B">
      <w:pPr>
        <w:pStyle w:val="TOC1"/>
        <w:rPr>
          <w:rFonts w:asciiTheme="minorHAnsi" w:eastAsiaTheme="minorEastAsia" w:hAnsiTheme="minorHAnsi" w:cstheme="minorBidi"/>
          <w:b w:val="0"/>
          <w:noProof/>
          <w:sz w:val="22"/>
          <w:szCs w:val="22"/>
          <w:lang w:eastAsia="en-AU"/>
        </w:rPr>
      </w:pPr>
      <w:hyperlink w:anchor="_Toc425414053" w:history="1">
        <w:r w:rsidR="006D48C6" w:rsidRPr="00EA22EC">
          <w:rPr>
            <w:rStyle w:val="Hyperlink"/>
            <w:noProof/>
          </w:rPr>
          <w:t>1  Introduction</w:t>
        </w:r>
        <w:r w:rsidR="006D48C6">
          <w:rPr>
            <w:noProof/>
            <w:webHidden/>
          </w:rPr>
          <w:tab/>
        </w:r>
        <w:r>
          <w:rPr>
            <w:noProof/>
            <w:webHidden/>
          </w:rPr>
          <w:fldChar w:fldCharType="begin"/>
        </w:r>
        <w:r w:rsidR="006D48C6">
          <w:rPr>
            <w:noProof/>
            <w:webHidden/>
          </w:rPr>
          <w:instrText xml:space="preserve"> PAGEREF _Toc425414053 \h </w:instrText>
        </w:r>
        <w:r>
          <w:rPr>
            <w:noProof/>
            <w:webHidden/>
          </w:rPr>
        </w:r>
        <w:r>
          <w:rPr>
            <w:noProof/>
            <w:webHidden/>
          </w:rPr>
          <w:fldChar w:fldCharType="separate"/>
        </w:r>
        <w:r w:rsidR="00DD77D7">
          <w:rPr>
            <w:noProof/>
            <w:webHidden/>
          </w:rPr>
          <w:t>5</w:t>
        </w:r>
        <w:r>
          <w:rPr>
            <w:noProof/>
            <w:webHidden/>
          </w:rPr>
          <w:fldChar w:fldCharType="end"/>
        </w:r>
      </w:hyperlink>
    </w:p>
    <w:p w:rsidR="006D48C6" w:rsidRDefault="007C5F8B">
      <w:pPr>
        <w:pStyle w:val="TOC1"/>
        <w:rPr>
          <w:rFonts w:asciiTheme="minorHAnsi" w:eastAsiaTheme="minorEastAsia" w:hAnsiTheme="minorHAnsi" w:cstheme="minorBidi"/>
          <w:b w:val="0"/>
          <w:noProof/>
          <w:sz w:val="22"/>
          <w:szCs w:val="22"/>
          <w:lang w:eastAsia="en-AU"/>
        </w:rPr>
      </w:pPr>
      <w:hyperlink w:anchor="_Toc425414054" w:history="1">
        <w:r w:rsidR="006D48C6" w:rsidRPr="00EA22EC">
          <w:rPr>
            <w:rStyle w:val="Hyperlink"/>
            <w:noProof/>
          </w:rPr>
          <w:t>2  Methods</w:t>
        </w:r>
        <w:r w:rsidR="006D48C6">
          <w:rPr>
            <w:noProof/>
            <w:webHidden/>
          </w:rPr>
          <w:tab/>
        </w:r>
        <w:r>
          <w:rPr>
            <w:noProof/>
            <w:webHidden/>
          </w:rPr>
          <w:fldChar w:fldCharType="begin"/>
        </w:r>
        <w:r w:rsidR="006D48C6">
          <w:rPr>
            <w:noProof/>
            <w:webHidden/>
          </w:rPr>
          <w:instrText xml:space="preserve"> PAGEREF _Toc425414054 \h </w:instrText>
        </w:r>
        <w:r>
          <w:rPr>
            <w:noProof/>
            <w:webHidden/>
          </w:rPr>
        </w:r>
        <w:r>
          <w:rPr>
            <w:noProof/>
            <w:webHidden/>
          </w:rPr>
          <w:fldChar w:fldCharType="separate"/>
        </w:r>
        <w:r w:rsidR="00DD77D7">
          <w:rPr>
            <w:noProof/>
            <w:webHidden/>
          </w:rPr>
          <w:t>7</w:t>
        </w:r>
        <w:r>
          <w:rPr>
            <w:noProof/>
            <w:webHidden/>
          </w:rPr>
          <w:fldChar w:fldCharType="end"/>
        </w:r>
      </w:hyperlink>
    </w:p>
    <w:p w:rsidR="006D48C6" w:rsidRDefault="007C5F8B">
      <w:pPr>
        <w:pStyle w:val="TOC2"/>
        <w:rPr>
          <w:rFonts w:asciiTheme="minorHAnsi" w:eastAsiaTheme="minorEastAsia" w:hAnsiTheme="minorHAnsi" w:cstheme="minorBidi"/>
          <w:noProof/>
          <w:szCs w:val="22"/>
          <w:lang w:eastAsia="en-AU"/>
        </w:rPr>
      </w:pPr>
      <w:hyperlink w:anchor="_Toc425414055" w:history="1">
        <w:r w:rsidR="006D48C6" w:rsidRPr="00EA22EC">
          <w:rPr>
            <w:rStyle w:val="Hyperlink"/>
            <w:noProof/>
          </w:rPr>
          <w:t>2.1 Geospatial coordinates</w:t>
        </w:r>
        <w:r w:rsidR="006D48C6">
          <w:rPr>
            <w:noProof/>
            <w:webHidden/>
          </w:rPr>
          <w:tab/>
        </w:r>
        <w:r>
          <w:rPr>
            <w:noProof/>
            <w:webHidden/>
          </w:rPr>
          <w:fldChar w:fldCharType="begin"/>
        </w:r>
        <w:r w:rsidR="006D48C6">
          <w:rPr>
            <w:noProof/>
            <w:webHidden/>
          </w:rPr>
          <w:instrText xml:space="preserve"> PAGEREF _Toc425414055 \h </w:instrText>
        </w:r>
        <w:r>
          <w:rPr>
            <w:noProof/>
            <w:webHidden/>
          </w:rPr>
        </w:r>
        <w:r>
          <w:rPr>
            <w:noProof/>
            <w:webHidden/>
          </w:rPr>
          <w:fldChar w:fldCharType="separate"/>
        </w:r>
        <w:r w:rsidR="00DD77D7">
          <w:rPr>
            <w:noProof/>
            <w:webHidden/>
          </w:rPr>
          <w:t>7</w:t>
        </w:r>
        <w:r>
          <w:rPr>
            <w:noProof/>
            <w:webHidden/>
          </w:rPr>
          <w:fldChar w:fldCharType="end"/>
        </w:r>
      </w:hyperlink>
    </w:p>
    <w:p w:rsidR="006D48C6" w:rsidRDefault="007C5F8B">
      <w:pPr>
        <w:pStyle w:val="TOC2"/>
        <w:rPr>
          <w:rFonts w:asciiTheme="minorHAnsi" w:eastAsiaTheme="minorEastAsia" w:hAnsiTheme="minorHAnsi" w:cstheme="minorBidi"/>
          <w:noProof/>
          <w:szCs w:val="22"/>
          <w:lang w:eastAsia="en-AU"/>
        </w:rPr>
      </w:pPr>
      <w:hyperlink w:anchor="_Toc425414056" w:history="1">
        <w:r w:rsidR="006D48C6" w:rsidRPr="00EA22EC">
          <w:rPr>
            <w:rStyle w:val="Hyperlink"/>
            <w:noProof/>
          </w:rPr>
          <w:t>2.2 External gamma radiation measurements</w:t>
        </w:r>
        <w:r w:rsidR="006D48C6">
          <w:rPr>
            <w:noProof/>
            <w:webHidden/>
          </w:rPr>
          <w:tab/>
        </w:r>
        <w:r>
          <w:rPr>
            <w:noProof/>
            <w:webHidden/>
          </w:rPr>
          <w:fldChar w:fldCharType="begin"/>
        </w:r>
        <w:r w:rsidR="006D48C6">
          <w:rPr>
            <w:noProof/>
            <w:webHidden/>
          </w:rPr>
          <w:instrText xml:space="preserve"> PAGEREF _Toc425414056 \h </w:instrText>
        </w:r>
        <w:r>
          <w:rPr>
            <w:noProof/>
            <w:webHidden/>
          </w:rPr>
        </w:r>
        <w:r>
          <w:rPr>
            <w:noProof/>
            <w:webHidden/>
          </w:rPr>
          <w:fldChar w:fldCharType="separate"/>
        </w:r>
        <w:r w:rsidR="00DD77D7">
          <w:rPr>
            <w:noProof/>
            <w:webHidden/>
          </w:rPr>
          <w:t>7</w:t>
        </w:r>
        <w:r>
          <w:rPr>
            <w:noProof/>
            <w:webHidden/>
          </w:rPr>
          <w:fldChar w:fldCharType="end"/>
        </w:r>
      </w:hyperlink>
    </w:p>
    <w:p w:rsidR="006D48C6" w:rsidRDefault="007C5F8B">
      <w:pPr>
        <w:pStyle w:val="TOC2"/>
        <w:rPr>
          <w:rFonts w:asciiTheme="minorHAnsi" w:eastAsiaTheme="minorEastAsia" w:hAnsiTheme="minorHAnsi" w:cstheme="minorBidi"/>
          <w:noProof/>
          <w:szCs w:val="22"/>
          <w:lang w:eastAsia="en-AU"/>
        </w:rPr>
      </w:pPr>
      <w:hyperlink w:anchor="_Toc425414057" w:history="1">
        <w:r w:rsidR="006D48C6" w:rsidRPr="00EA22EC">
          <w:rPr>
            <w:rStyle w:val="Hyperlink"/>
            <w:noProof/>
          </w:rPr>
          <w:t xml:space="preserve">2.3 </w:t>
        </w:r>
        <w:r w:rsidR="006D48C6" w:rsidRPr="002F5632">
          <w:rPr>
            <w:rStyle w:val="Hyperlink"/>
            <w:noProof/>
            <w:snapToGrid w:val="0"/>
            <w:position w:val="7"/>
            <w:sz w:val="18"/>
            <w:szCs w:val="18"/>
            <w:u w:color="000000"/>
          </w:rPr>
          <w:t>222</w:t>
        </w:r>
        <w:r w:rsidR="006D48C6" w:rsidRPr="00EA22EC">
          <w:rPr>
            <w:rStyle w:val="Hyperlink"/>
            <w:noProof/>
          </w:rPr>
          <w:t>Rn activity flux density measurements</w:t>
        </w:r>
        <w:r w:rsidR="006D48C6">
          <w:rPr>
            <w:noProof/>
            <w:webHidden/>
          </w:rPr>
          <w:tab/>
        </w:r>
        <w:r>
          <w:rPr>
            <w:noProof/>
            <w:webHidden/>
          </w:rPr>
          <w:fldChar w:fldCharType="begin"/>
        </w:r>
        <w:r w:rsidR="006D48C6">
          <w:rPr>
            <w:noProof/>
            <w:webHidden/>
          </w:rPr>
          <w:instrText xml:space="preserve"> PAGEREF _Toc425414057 \h </w:instrText>
        </w:r>
        <w:r>
          <w:rPr>
            <w:noProof/>
            <w:webHidden/>
          </w:rPr>
        </w:r>
        <w:r>
          <w:rPr>
            <w:noProof/>
            <w:webHidden/>
          </w:rPr>
          <w:fldChar w:fldCharType="separate"/>
        </w:r>
        <w:r w:rsidR="00DD77D7">
          <w:rPr>
            <w:noProof/>
            <w:webHidden/>
          </w:rPr>
          <w:t>7</w:t>
        </w:r>
        <w:r>
          <w:rPr>
            <w:noProof/>
            <w:webHidden/>
          </w:rPr>
          <w:fldChar w:fldCharType="end"/>
        </w:r>
      </w:hyperlink>
    </w:p>
    <w:p w:rsidR="006D48C6" w:rsidRDefault="007C5F8B">
      <w:pPr>
        <w:pStyle w:val="TOC1"/>
        <w:rPr>
          <w:rFonts w:asciiTheme="minorHAnsi" w:eastAsiaTheme="minorEastAsia" w:hAnsiTheme="minorHAnsi" w:cstheme="minorBidi"/>
          <w:b w:val="0"/>
          <w:noProof/>
          <w:sz w:val="22"/>
          <w:szCs w:val="22"/>
          <w:lang w:eastAsia="en-AU"/>
        </w:rPr>
      </w:pPr>
      <w:hyperlink w:anchor="_Toc425414058" w:history="1">
        <w:r w:rsidR="006D48C6" w:rsidRPr="00EA22EC">
          <w:rPr>
            <w:rStyle w:val="Hyperlink"/>
            <w:noProof/>
          </w:rPr>
          <w:t>3  Results</w:t>
        </w:r>
        <w:r w:rsidR="006D48C6">
          <w:rPr>
            <w:noProof/>
            <w:webHidden/>
          </w:rPr>
          <w:tab/>
        </w:r>
        <w:r>
          <w:rPr>
            <w:noProof/>
            <w:webHidden/>
          </w:rPr>
          <w:fldChar w:fldCharType="begin"/>
        </w:r>
        <w:r w:rsidR="006D48C6">
          <w:rPr>
            <w:noProof/>
            <w:webHidden/>
          </w:rPr>
          <w:instrText xml:space="preserve"> PAGEREF _Toc425414058 \h </w:instrText>
        </w:r>
        <w:r>
          <w:rPr>
            <w:noProof/>
            <w:webHidden/>
          </w:rPr>
        </w:r>
        <w:r>
          <w:rPr>
            <w:noProof/>
            <w:webHidden/>
          </w:rPr>
          <w:fldChar w:fldCharType="separate"/>
        </w:r>
        <w:r w:rsidR="00DD77D7">
          <w:rPr>
            <w:noProof/>
            <w:webHidden/>
          </w:rPr>
          <w:t>7</w:t>
        </w:r>
        <w:r>
          <w:rPr>
            <w:noProof/>
            <w:webHidden/>
          </w:rPr>
          <w:fldChar w:fldCharType="end"/>
        </w:r>
      </w:hyperlink>
    </w:p>
    <w:p w:rsidR="006D48C6" w:rsidRDefault="007C5F8B">
      <w:pPr>
        <w:pStyle w:val="TOC2"/>
        <w:rPr>
          <w:rFonts w:asciiTheme="minorHAnsi" w:eastAsiaTheme="minorEastAsia" w:hAnsiTheme="minorHAnsi" w:cstheme="minorBidi"/>
          <w:noProof/>
          <w:szCs w:val="22"/>
          <w:lang w:eastAsia="en-AU"/>
        </w:rPr>
      </w:pPr>
      <w:hyperlink w:anchor="_Toc425414059" w:history="1">
        <w:r w:rsidR="006D48C6" w:rsidRPr="00EA22EC">
          <w:rPr>
            <w:rStyle w:val="Hyperlink"/>
            <w:noProof/>
          </w:rPr>
          <w:t>3.1 External gamma radiation</w:t>
        </w:r>
        <w:r w:rsidR="006D48C6">
          <w:rPr>
            <w:noProof/>
            <w:webHidden/>
          </w:rPr>
          <w:tab/>
        </w:r>
        <w:r>
          <w:rPr>
            <w:noProof/>
            <w:webHidden/>
          </w:rPr>
          <w:fldChar w:fldCharType="begin"/>
        </w:r>
        <w:r w:rsidR="006D48C6">
          <w:rPr>
            <w:noProof/>
            <w:webHidden/>
          </w:rPr>
          <w:instrText xml:space="preserve"> PAGEREF _Toc425414059 \h </w:instrText>
        </w:r>
        <w:r>
          <w:rPr>
            <w:noProof/>
            <w:webHidden/>
          </w:rPr>
        </w:r>
        <w:r>
          <w:rPr>
            <w:noProof/>
            <w:webHidden/>
          </w:rPr>
          <w:fldChar w:fldCharType="separate"/>
        </w:r>
        <w:r w:rsidR="00DD77D7">
          <w:rPr>
            <w:noProof/>
            <w:webHidden/>
          </w:rPr>
          <w:t>7</w:t>
        </w:r>
        <w:r>
          <w:rPr>
            <w:noProof/>
            <w:webHidden/>
          </w:rPr>
          <w:fldChar w:fldCharType="end"/>
        </w:r>
      </w:hyperlink>
    </w:p>
    <w:p w:rsidR="006D48C6" w:rsidRDefault="007C5F8B">
      <w:pPr>
        <w:pStyle w:val="TOC2"/>
        <w:rPr>
          <w:rFonts w:asciiTheme="minorHAnsi" w:eastAsiaTheme="minorEastAsia" w:hAnsiTheme="minorHAnsi" w:cstheme="minorBidi"/>
          <w:noProof/>
          <w:szCs w:val="22"/>
          <w:lang w:eastAsia="en-AU"/>
        </w:rPr>
      </w:pPr>
      <w:hyperlink w:anchor="_Toc425414060" w:history="1">
        <w:r w:rsidR="006D48C6" w:rsidRPr="00EA22EC">
          <w:rPr>
            <w:rStyle w:val="Hyperlink"/>
            <w:noProof/>
          </w:rPr>
          <w:t xml:space="preserve">3.2 </w:t>
        </w:r>
        <w:r w:rsidR="006D48C6" w:rsidRPr="002F5632">
          <w:rPr>
            <w:rStyle w:val="Hyperlink"/>
            <w:noProof/>
            <w:snapToGrid w:val="0"/>
            <w:position w:val="5"/>
            <w:sz w:val="18"/>
            <w:szCs w:val="18"/>
            <w:u w:color="000000"/>
          </w:rPr>
          <w:t>222</w:t>
        </w:r>
        <w:r w:rsidR="006D48C6" w:rsidRPr="00EA22EC">
          <w:rPr>
            <w:rStyle w:val="Hyperlink"/>
            <w:noProof/>
          </w:rPr>
          <w:t>Rn activity flux densities</w:t>
        </w:r>
        <w:r w:rsidR="006D48C6">
          <w:rPr>
            <w:noProof/>
            <w:webHidden/>
          </w:rPr>
          <w:tab/>
        </w:r>
        <w:r>
          <w:rPr>
            <w:noProof/>
            <w:webHidden/>
          </w:rPr>
          <w:fldChar w:fldCharType="begin"/>
        </w:r>
        <w:r w:rsidR="006D48C6">
          <w:rPr>
            <w:noProof/>
            <w:webHidden/>
          </w:rPr>
          <w:instrText xml:space="preserve"> PAGEREF _Toc425414060 \h </w:instrText>
        </w:r>
        <w:r>
          <w:rPr>
            <w:noProof/>
            <w:webHidden/>
          </w:rPr>
        </w:r>
        <w:r>
          <w:rPr>
            <w:noProof/>
            <w:webHidden/>
          </w:rPr>
          <w:fldChar w:fldCharType="separate"/>
        </w:r>
        <w:r w:rsidR="00DD77D7">
          <w:rPr>
            <w:noProof/>
            <w:webHidden/>
          </w:rPr>
          <w:t>7</w:t>
        </w:r>
        <w:r>
          <w:rPr>
            <w:noProof/>
            <w:webHidden/>
          </w:rPr>
          <w:fldChar w:fldCharType="end"/>
        </w:r>
      </w:hyperlink>
    </w:p>
    <w:p w:rsidR="006D48C6" w:rsidRDefault="007C5F8B">
      <w:pPr>
        <w:pStyle w:val="TOC1"/>
        <w:rPr>
          <w:rFonts w:asciiTheme="minorHAnsi" w:eastAsiaTheme="minorEastAsia" w:hAnsiTheme="minorHAnsi" w:cstheme="minorBidi"/>
          <w:b w:val="0"/>
          <w:noProof/>
          <w:sz w:val="22"/>
          <w:szCs w:val="22"/>
          <w:lang w:eastAsia="en-AU"/>
        </w:rPr>
      </w:pPr>
      <w:hyperlink w:anchor="_Toc425414061" w:history="1">
        <w:r w:rsidR="006D48C6" w:rsidRPr="00EA22EC">
          <w:rPr>
            <w:rStyle w:val="Hyperlink"/>
            <w:noProof/>
          </w:rPr>
          <w:t>4  Discussion and Conclusion</w:t>
        </w:r>
        <w:r w:rsidR="006D48C6">
          <w:rPr>
            <w:noProof/>
            <w:webHidden/>
          </w:rPr>
          <w:tab/>
        </w:r>
        <w:r>
          <w:rPr>
            <w:noProof/>
            <w:webHidden/>
          </w:rPr>
          <w:fldChar w:fldCharType="begin"/>
        </w:r>
        <w:r w:rsidR="006D48C6">
          <w:rPr>
            <w:noProof/>
            <w:webHidden/>
          </w:rPr>
          <w:instrText xml:space="preserve"> PAGEREF _Toc425414061 \h </w:instrText>
        </w:r>
        <w:r>
          <w:rPr>
            <w:noProof/>
            <w:webHidden/>
          </w:rPr>
        </w:r>
        <w:r>
          <w:rPr>
            <w:noProof/>
            <w:webHidden/>
          </w:rPr>
          <w:fldChar w:fldCharType="separate"/>
        </w:r>
        <w:r w:rsidR="00DD77D7">
          <w:rPr>
            <w:noProof/>
            <w:webHidden/>
          </w:rPr>
          <w:t>7</w:t>
        </w:r>
        <w:r>
          <w:rPr>
            <w:noProof/>
            <w:webHidden/>
          </w:rPr>
          <w:fldChar w:fldCharType="end"/>
        </w:r>
      </w:hyperlink>
    </w:p>
    <w:p w:rsidR="006D48C6" w:rsidRDefault="007C5F8B">
      <w:pPr>
        <w:pStyle w:val="TOC1"/>
        <w:rPr>
          <w:rFonts w:asciiTheme="minorHAnsi" w:eastAsiaTheme="minorEastAsia" w:hAnsiTheme="minorHAnsi" w:cstheme="minorBidi"/>
          <w:b w:val="0"/>
          <w:noProof/>
          <w:sz w:val="22"/>
          <w:szCs w:val="22"/>
          <w:lang w:eastAsia="en-AU"/>
        </w:rPr>
      </w:pPr>
      <w:hyperlink w:anchor="_Toc425414062" w:history="1">
        <w:r w:rsidR="006D48C6" w:rsidRPr="00EA22EC">
          <w:rPr>
            <w:rStyle w:val="Hyperlink"/>
            <w:noProof/>
          </w:rPr>
          <w:t>References</w:t>
        </w:r>
        <w:r w:rsidR="006D48C6">
          <w:rPr>
            <w:noProof/>
            <w:webHidden/>
          </w:rPr>
          <w:tab/>
        </w:r>
        <w:r>
          <w:rPr>
            <w:noProof/>
            <w:webHidden/>
          </w:rPr>
          <w:fldChar w:fldCharType="begin"/>
        </w:r>
        <w:r w:rsidR="006D48C6">
          <w:rPr>
            <w:noProof/>
            <w:webHidden/>
          </w:rPr>
          <w:instrText xml:space="preserve"> PAGEREF _Toc425414062 \h </w:instrText>
        </w:r>
        <w:r>
          <w:rPr>
            <w:noProof/>
            <w:webHidden/>
          </w:rPr>
        </w:r>
        <w:r>
          <w:rPr>
            <w:noProof/>
            <w:webHidden/>
          </w:rPr>
          <w:fldChar w:fldCharType="separate"/>
        </w:r>
        <w:r w:rsidR="00DD77D7">
          <w:rPr>
            <w:noProof/>
            <w:webHidden/>
          </w:rPr>
          <w:t>7</w:t>
        </w:r>
        <w:r>
          <w:rPr>
            <w:noProof/>
            <w:webHidden/>
          </w:rPr>
          <w:fldChar w:fldCharType="end"/>
        </w:r>
      </w:hyperlink>
    </w:p>
    <w:p w:rsidR="006D48C6" w:rsidRDefault="007C5F8B">
      <w:pPr>
        <w:pStyle w:val="TOC1"/>
        <w:rPr>
          <w:rFonts w:asciiTheme="minorHAnsi" w:eastAsiaTheme="minorEastAsia" w:hAnsiTheme="minorHAnsi" w:cstheme="minorBidi"/>
          <w:b w:val="0"/>
          <w:noProof/>
          <w:sz w:val="22"/>
          <w:szCs w:val="22"/>
          <w:lang w:eastAsia="en-AU"/>
        </w:rPr>
      </w:pPr>
      <w:hyperlink w:anchor="_Toc425414063" w:history="1">
        <w:r w:rsidR="006D48C6" w:rsidRPr="00EA22EC">
          <w:rPr>
            <w:rStyle w:val="Hyperlink"/>
            <w:noProof/>
          </w:rPr>
          <w:t>Appendix</w:t>
        </w:r>
        <w:r w:rsidR="006D48C6">
          <w:rPr>
            <w:noProof/>
            <w:webHidden/>
          </w:rPr>
          <w:tab/>
        </w:r>
        <w:r>
          <w:rPr>
            <w:noProof/>
            <w:webHidden/>
          </w:rPr>
          <w:fldChar w:fldCharType="begin"/>
        </w:r>
        <w:r w:rsidR="006D48C6">
          <w:rPr>
            <w:noProof/>
            <w:webHidden/>
          </w:rPr>
          <w:instrText xml:space="preserve"> PAGEREF _Toc425414063 \h </w:instrText>
        </w:r>
        <w:r>
          <w:rPr>
            <w:noProof/>
            <w:webHidden/>
          </w:rPr>
        </w:r>
        <w:r>
          <w:rPr>
            <w:noProof/>
            <w:webHidden/>
          </w:rPr>
          <w:fldChar w:fldCharType="separate"/>
        </w:r>
        <w:r w:rsidR="00DD77D7">
          <w:rPr>
            <w:noProof/>
            <w:webHidden/>
          </w:rPr>
          <w:t>7</w:t>
        </w:r>
        <w:r>
          <w:rPr>
            <w:noProof/>
            <w:webHidden/>
          </w:rPr>
          <w:fldChar w:fldCharType="end"/>
        </w:r>
      </w:hyperlink>
    </w:p>
    <w:p w:rsidR="002F5632" w:rsidRDefault="007C5F8B" w:rsidP="005F0498">
      <w:pPr>
        <w:pStyle w:val="Heading2"/>
      </w:pPr>
      <w:r>
        <w:fldChar w:fldCharType="end"/>
      </w:r>
      <w:r w:rsidR="002F5632">
        <w:t>List of Figures</w:t>
      </w:r>
    </w:p>
    <w:bookmarkStart w:id="25" w:name="_Toc425414052"/>
    <w:p w:rsidR="005F0498" w:rsidRDefault="007C5F8B">
      <w:pPr>
        <w:pStyle w:val="TableofFigures"/>
        <w:tabs>
          <w:tab w:val="right" w:leader="dot" w:pos="8296"/>
        </w:tabs>
        <w:rPr>
          <w:rFonts w:asciiTheme="minorHAnsi" w:eastAsiaTheme="minorEastAsia" w:hAnsiTheme="minorHAnsi" w:cstheme="minorBidi"/>
          <w:noProof/>
          <w:sz w:val="22"/>
          <w:szCs w:val="22"/>
          <w:lang w:eastAsia="en-AU"/>
        </w:rPr>
      </w:pPr>
      <w:r w:rsidRPr="007C5F8B">
        <w:fldChar w:fldCharType="begin"/>
      </w:r>
      <w:r w:rsidR="005F0498">
        <w:instrText xml:space="preserve"> TOC \h \z \t "figure caption" \c </w:instrText>
      </w:r>
      <w:r w:rsidRPr="007C5F8B">
        <w:fldChar w:fldCharType="separate"/>
      </w:r>
      <w:hyperlink w:anchor="_Toc425414719" w:history="1">
        <w:r w:rsidR="005F0498" w:rsidRPr="000C61B3">
          <w:rPr>
            <w:rStyle w:val="Hyperlink"/>
            <w:noProof/>
          </w:rPr>
          <w:t>Figure 1: 2007 (baseline) and 2015 external gamma dose rates [</w:t>
        </w:r>
        <w:r w:rsidR="005F0498" w:rsidRPr="000C61B3">
          <w:rPr>
            <w:rStyle w:val="Hyperlink"/>
            <w:rFonts w:cs="Arial"/>
            <w:noProof/>
          </w:rPr>
          <w:t>µ</w:t>
        </w:r>
        <w:r w:rsidR="005F0498" w:rsidRPr="000C61B3">
          <w:rPr>
            <w:rStyle w:val="Hyperlink"/>
            <w:noProof/>
          </w:rPr>
          <w:t>Gy</w:t>
        </w:r>
        <w:r w:rsidR="005F0498" w:rsidRPr="000C61B3">
          <w:rPr>
            <w:rStyle w:val="Hyperlink"/>
            <w:rFonts w:ascii="Times New Roman" w:hAnsi="Times New Roman"/>
            <w:noProof/>
          </w:rPr>
          <w:t>∙</w:t>
        </w:r>
        <w:r w:rsidR="005F0498" w:rsidRPr="000C61B3">
          <w:rPr>
            <w:rStyle w:val="Hyperlink"/>
            <w:noProof/>
          </w:rPr>
          <w:t>hr</w:t>
        </w:r>
        <w:r w:rsidR="005F0498" w:rsidRPr="000C61B3">
          <w:rPr>
            <w:rStyle w:val="Hyperlink"/>
            <w:noProof/>
            <w:snapToGrid w:val="0"/>
            <w:position w:val="4"/>
            <w:u w:color="000000"/>
          </w:rPr>
          <w:t>-1</w:t>
        </w:r>
        <w:r w:rsidR="005F0498" w:rsidRPr="000C61B3">
          <w:rPr>
            <w:rStyle w:val="Hyperlink"/>
            <w:noProof/>
          </w:rPr>
          <w:t>] measured at the South Alligator Containment Facility.</w:t>
        </w:r>
        <w:r w:rsidR="005F0498">
          <w:rPr>
            <w:noProof/>
            <w:webHidden/>
          </w:rPr>
          <w:tab/>
        </w:r>
        <w:r>
          <w:rPr>
            <w:noProof/>
            <w:webHidden/>
          </w:rPr>
          <w:fldChar w:fldCharType="begin"/>
        </w:r>
        <w:r w:rsidR="005F0498">
          <w:rPr>
            <w:noProof/>
            <w:webHidden/>
          </w:rPr>
          <w:instrText xml:space="preserve"> PAGEREF _Toc425414719 \h </w:instrText>
        </w:r>
        <w:r>
          <w:rPr>
            <w:noProof/>
            <w:webHidden/>
          </w:rPr>
        </w:r>
        <w:r>
          <w:rPr>
            <w:noProof/>
            <w:webHidden/>
          </w:rPr>
          <w:fldChar w:fldCharType="separate"/>
        </w:r>
        <w:r w:rsidR="00DD77D7">
          <w:rPr>
            <w:noProof/>
            <w:webHidden/>
          </w:rPr>
          <w:t>7</w:t>
        </w:r>
        <w:r>
          <w:rPr>
            <w:noProof/>
            <w:webHidden/>
          </w:rPr>
          <w:fldChar w:fldCharType="end"/>
        </w:r>
      </w:hyperlink>
    </w:p>
    <w:p w:rsidR="005F0498" w:rsidRDefault="007C5F8B">
      <w:pPr>
        <w:pStyle w:val="TableofFigures"/>
        <w:tabs>
          <w:tab w:val="right" w:leader="dot" w:pos="8296"/>
        </w:tabs>
        <w:rPr>
          <w:rFonts w:asciiTheme="minorHAnsi" w:eastAsiaTheme="minorEastAsia" w:hAnsiTheme="minorHAnsi" w:cstheme="minorBidi"/>
          <w:noProof/>
          <w:sz w:val="22"/>
          <w:szCs w:val="22"/>
          <w:lang w:eastAsia="en-AU"/>
        </w:rPr>
      </w:pPr>
      <w:hyperlink w:anchor="_Toc425414720" w:history="1">
        <w:r w:rsidR="005F0498" w:rsidRPr="000C61B3">
          <w:rPr>
            <w:rStyle w:val="Hyperlink"/>
            <w:noProof/>
          </w:rPr>
          <w:t>Figure 2 Histogram of gamma dose rates [µGy hr</w:t>
        </w:r>
        <w:r w:rsidR="005F0498" w:rsidRPr="000C61B3">
          <w:rPr>
            <w:rStyle w:val="Hyperlink"/>
            <w:noProof/>
            <w:snapToGrid w:val="0"/>
            <w:position w:val="6"/>
            <w:u w:color="000000"/>
          </w:rPr>
          <w:t>-1</w:t>
        </w:r>
        <w:r w:rsidR="005F0498" w:rsidRPr="000C61B3">
          <w:rPr>
            <w:rStyle w:val="Hyperlink"/>
            <w:noProof/>
          </w:rPr>
          <w:t>] measured within the fenced area of the South Alligator Containment Facility in May 2015.</w:t>
        </w:r>
        <w:r w:rsidR="005F0498">
          <w:rPr>
            <w:noProof/>
            <w:webHidden/>
          </w:rPr>
          <w:tab/>
        </w:r>
        <w:r>
          <w:rPr>
            <w:noProof/>
            <w:webHidden/>
          </w:rPr>
          <w:fldChar w:fldCharType="begin"/>
        </w:r>
        <w:r w:rsidR="005F0498">
          <w:rPr>
            <w:noProof/>
            <w:webHidden/>
          </w:rPr>
          <w:instrText xml:space="preserve"> PAGEREF _Toc425414720 \h </w:instrText>
        </w:r>
        <w:r>
          <w:rPr>
            <w:noProof/>
            <w:webHidden/>
          </w:rPr>
        </w:r>
        <w:r>
          <w:rPr>
            <w:noProof/>
            <w:webHidden/>
          </w:rPr>
          <w:fldChar w:fldCharType="separate"/>
        </w:r>
        <w:r w:rsidR="00DD77D7">
          <w:rPr>
            <w:noProof/>
            <w:webHidden/>
          </w:rPr>
          <w:t>7</w:t>
        </w:r>
        <w:r>
          <w:rPr>
            <w:noProof/>
            <w:webHidden/>
          </w:rPr>
          <w:fldChar w:fldCharType="end"/>
        </w:r>
      </w:hyperlink>
    </w:p>
    <w:p w:rsidR="005F0498" w:rsidRDefault="007C5F8B">
      <w:pPr>
        <w:pStyle w:val="TableofFigures"/>
        <w:tabs>
          <w:tab w:val="right" w:leader="dot" w:pos="8296"/>
        </w:tabs>
        <w:rPr>
          <w:rFonts w:asciiTheme="minorHAnsi" w:eastAsiaTheme="minorEastAsia" w:hAnsiTheme="minorHAnsi" w:cstheme="minorBidi"/>
          <w:noProof/>
          <w:sz w:val="22"/>
          <w:szCs w:val="22"/>
          <w:lang w:eastAsia="en-AU"/>
        </w:rPr>
      </w:pPr>
      <w:hyperlink w:anchor="_Toc425414721" w:history="1">
        <w:r w:rsidR="005F0498" w:rsidRPr="000C61B3">
          <w:rPr>
            <w:rStyle w:val="Hyperlink"/>
            <w:noProof/>
          </w:rPr>
          <w:t xml:space="preserve">Figure 3: </w:t>
        </w:r>
        <w:r w:rsidR="005F0498" w:rsidRPr="000C61B3">
          <w:rPr>
            <w:rStyle w:val="Hyperlink"/>
            <w:noProof/>
            <w:snapToGrid w:val="0"/>
            <w:position w:val="5"/>
            <w:u w:color="000000"/>
          </w:rPr>
          <w:t>222</w:t>
        </w:r>
        <w:r w:rsidR="005F0498" w:rsidRPr="000C61B3">
          <w:rPr>
            <w:rStyle w:val="Hyperlink"/>
            <w:noProof/>
          </w:rPr>
          <w:t>Rn activity flux densities [mBq∙m</w:t>
        </w:r>
        <w:r w:rsidR="005F0498" w:rsidRPr="000C61B3">
          <w:rPr>
            <w:rStyle w:val="Hyperlink"/>
            <w:noProof/>
            <w:snapToGrid w:val="0"/>
            <w:position w:val="4"/>
            <w:u w:color="000000"/>
          </w:rPr>
          <w:t>-2</w:t>
        </w:r>
        <w:r w:rsidR="005F0498" w:rsidRPr="000C61B3">
          <w:rPr>
            <w:rStyle w:val="Hyperlink"/>
            <w:noProof/>
          </w:rPr>
          <w:t>∙s</w:t>
        </w:r>
        <w:r w:rsidR="005F0498" w:rsidRPr="000C61B3">
          <w:rPr>
            <w:rStyle w:val="Hyperlink"/>
            <w:noProof/>
            <w:snapToGrid w:val="0"/>
            <w:position w:val="4"/>
            <w:u w:color="000000"/>
          </w:rPr>
          <w:t>-1</w:t>
        </w:r>
        <w:r w:rsidR="005F0498" w:rsidRPr="000C61B3">
          <w:rPr>
            <w:rStyle w:val="Hyperlink"/>
            <w:noProof/>
          </w:rPr>
          <w:t>] measured at the South Alligator Containment Facility in September 2010 (left) and May 2015 (right).</w:t>
        </w:r>
        <w:r w:rsidR="005F0498">
          <w:rPr>
            <w:noProof/>
            <w:webHidden/>
          </w:rPr>
          <w:tab/>
        </w:r>
        <w:r>
          <w:rPr>
            <w:noProof/>
            <w:webHidden/>
          </w:rPr>
          <w:fldChar w:fldCharType="begin"/>
        </w:r>
        <w:r w:rsidR="005F0498">
          <w:rPr>
            <w:noProof/>
            <w:webHidden/>
          </w:rPr>
          <w:instrText xml:space="preserve"> PAGEREF _Toc425414721 \h </w:instrText>
        </w:r>
        <w:r>
          <w:rPr>
            <w:noProof/>
            <w:webHidden/>
          </w:rPr>
        </w:r>
        <w:r>
          <w:rPr>
            <w:noProof/>
            <w:webHidden/>
          </w:rPr>
          <w:fldChar w:fldCharType="separate"/>
        </w:r>
        <w:r w:rsidR="00DD77D7">
          <w:rPr>
            <w:noProof/>
            <w:webHidden/>
          </w:rPr>
          <w:t>7</w:t>
        </w:r>
        <w:r>
          <w:rPr>
            <w:noProof/>
            <w:webHidden/>
          </w:rPr>
          <w:fldChar w:fldCharType="end"/>
        </w:r>
      </w:hyperlink>
    </w:p>
    <w:p w:rsidR="005F0498" w:rsidRDefault="007C5F8B">
      <w:pPr>
        <w:pStyle w:val="TableofFigures"/>
        <w:tabs>
          <w:tab w:val="right" w:leader="dot" w:pos="8296"/>
        </w:tabs>
        <w:rPr>
          <w:rFonts w:asciiTheme="minorHAnsi" w:eastAsiaTheme="minorEastAsia" w:hAnsiTheme="minorHAnsi" w:cstheme="minorBidi"/>
          <w:noProof/>
          <w:sz w:val="22"/>
          <w:szCs w:val="22"/>
          <w:lang w:eastAsia="en-AU"/>
        </w:rPr>
      </w:pPr>
      <w:hyperlink w:anchor="_Toc425414722" w:history="1">
        <w:r w:rsidR="005F0498" w:rsidRPr="000C61B3">
          <w:rPr>
            <w:rStyle w:val="Hyperlink"/>
            <w:noProof/>
          </w:rPr>
          <w:t xml:space="preserve">Figure 4: Frequency distribution of </w:t>
        </w:r>
        <w:r w:rsidR="005F0498" w:rsidRPr="000C61B3">
          <w:rPr>
            <w:rStyle w:val="Hyperlink"/>
            <w:noProof/>
            <w:snapToGrid w:val="0"/>
            <w:position w:val="5"/>
            <w:u w:color="000000"/>
          </w:rPr>
          <w:t>222</w:t>
        </w:r>
        <w:r w:rsidR="005F0498" w:rsidRPr="000C61B3">
          <w:rPr>
            <w:rStyle w:val="Hyperlink"/>
            <w:noProof/>
          </w:rPr>
          <w:t>Rn activity flux densities measured in May 2015 at the South Alligator Containment Facility.</w:t>
        </w:r>
        <w:r w:rsidR="005F0498">
          <w:rPr>
            <w:noProof/>
            <w:webHidden/>
          </w:rPr>
          <w:tab/>
        </w:r>
        <w:r>
          <w:rPr>
            <w:noProof/>
            <w:webHidden/>
          </w:rPr>
          <w:fldChar w:fldCharType="begin"/>
        </w:r>
        <w:r w:rsidR="005F0498">
          <w:rPr>
            <w:noProof/>
            <w:webHidden/>
          </w:rPr>
          <w:instrText xml:space="preserve"> PAGEREF _Toc425414722 \h </w:instrText>
        </w:r>
        <w:r>
          <w:rPr>
            <w:noProof/>
            <w:webHidden/>
          </w:rPr>
        </w:r>
        <w:r>
          <w:rPr>
            <w:noProof/>
            <w:webHidden/>
          </w:rPr>
          <w:fldChar w:fldCharType="separate"/>
        </w:r>
        <w:r w:rsidR="00DD77D7">
          <w:rPr>
            <w:noProof/>
            <w:webHidden/>
          </w:rPr>
          <w:t>7</w:t>
        </w:r>
        <w:r>
          <w:rPr>
            <w:noProof/>
            <w:webHidden/>
          </w:rPr>
          <w:fldChar w:fldCharType="end"/>
        </w:r>
      </w:hyperlink>
    </w:p>
    <w:p w:rsidR="005F0498" w:rsidRDefault="007C5F8B">
      <w:pPr>
        <w:pStyle w:val="TableofFigures"/>
        <w:tabs>
          <w:tab w:val="right" w:leader="dot" w:pos="8296"/>
        </w:tabs>
        <w:rPr>
          <w:rFonts w:asciiTheme="minorHAnsi" w:eastAsiaTheme="minorEastAsia" w:hAnsiTheme="minorHAnsi" w:cstheme="minorBidi"/>
          <w:noProof/>
          <w:sz w:val="22"/>
          <w:szCs w:val="22"/>
          <w:lang w:eastAsia="en-AU"/>
        </w:rPr>
      </w:pPr>
      <w:hyperlink w:anchor="_Toc425414723" w:history="1">
        <w:r w:rsidR="005F0498" w:rsidRPr="000C61B3">
          <w:rPr>
            <w:rStyle w:val="Hyperlink"/>
            <w:noProof/>
          </w:rPr>
          <w:t xml:space="preserve">Figure 5 Box plot of environmental background (open boxes) and containment (grey boxes) </w:t>
        </w:r>
        <w:r w:rsidR="005F0498" w:rsidRPr="000C61B3">
          <w:rPr>
            <w:rStyle w:val="Hyperlink"/>
            <w:noProof/>
            <w:snapToGrid w:val="0"/>
            <w:position w:val="4"/>
            <w:u w:color="000000"/>
          </w:rPr>
          <w:t>222</w:t>
        </w:r>
        <w:r w:rsidR="005F0498" w:rsidRPr="000C61B3">
          <w:rPr>
            <w:rStyle w:val="Hyperlink"/>
            <w:noProof/>
          </w:rPr>
          <w:t>Rn exhalation flux densities. The marker indicates the median, the width of the box is the interquartile range, whiskers indicate the upper and lower 25% of the distribution.</w:t>
        </w:r>
        <w:r w:rsidR="005F0498">
          <w:rPr>
            <w:noProof/>
            <w:webHidden/>
          </w:rPr>
          <w:tab/>
        </w:r>
        <w:r>
          <w:rPr>
            <w:noProof/>
            <w:webHidden/>
          </w:rPr>
          <w:fldChar w:fldCharType="begin"/>
        </w:r>
        <w:r w:rsidR="005F0498">
          <w:rPr>
            <w:noProof/>
            <w:webHidden/>
          </w:rPr>
          <w:instrText xml:space="preserve"> PAGEREF _Toc425414723 \h </w:instrText>
        </w:r>
        <w:r>
          <w:rPr>
            <w:noProof/>
            <w:webHidden/>
          </w:rPr>
        </w:r>
        <w:r>
          <w:rPr>
            <w:noProof/>
            <w:webHidden/>
          </w:rPr>
          <w:fldChar w:fldCharType="separate"/>
        </w:r>
        <w:r w:rsidR="00DD77D7">
          <w:rPr>
            <w:noProof/>
            <w:webHidden/>
          </w:rPr>
          <w:t>7</w:t>
        </w:r>
        <w:r>
          <w:rPr>
            <w:noProof/>
            <w:webHidden/>
          </w:rPr>
          <w:fldChar w:fldCharType="end"/>
        </w:r>
      </w:hyperlink>
    </w:p>
    <w:p w:rsidR="005F0498" w:rsidRDefault="007C5F8B">
      <w:pPr>
        <w:pStyle w:val="TableofFigures"/>
        <w:tabs>
          <w:tab w:val="right" w:leader="dot" w:pos="8296"/>
        </w:tabs>
        <w:rPr>
          <w:rFonts w:asciiTheme="minorHAnsi" w:eastAsiaTheme="minorEastAsia" w:hAnsiTheme="minorHAnsi" w:cstheme="minorBidi"/>
          <w:noProof/>
          <w:sz w:val="22"/>
          <w:szCs w:val="22"/>
          <w:lang w:eastAsia="en-AU"/>
        </w:rPr>
      </w:pPr>
      <w:hyperlink w:anchor="_Toc425414724" w:history="1">
        <w:r w:rsidR="005F0498" w:rsidRPr="000C61B3">
          <w:rPr>
            <w:rStyle w:val="Hyperlink"/>
            <w:noProof/>
          </w:rPr>
          <w:t>Figure A1: Calibration certificate for gamma probe used for dose rate measurements in May 2015.</w:t>
        </w:r>
        <w:r w:rsidR="005F0498">
          <w:rPr>
            <w:noProof/>
            <w:webHidden/>
          </w:rPr>
          <w:tab/>
        </w:r>
        <w:r>
          <w:rPr>
            <w:noProof/>
            <w:webHidden/>
          </w:rPr>
          <w:fldChar w:fldCharType="begin"/>
        </w:r>
        <w:r w:rsidR="005F0498">
          <w:rPr>
            <w:noProof/>
            <w:webHidden/>
          </w:rPr>
          <w:instrText xml:space="preserve"> PAGEREF _Toc425414724 \h </w:instrText>
        </w:r>
        <w:r>
          <w:rPr>
            <w:noProof/>
            <w:webHidden/>
          </w:rPr>
        </w:r>
        <w:r>
          <w:rPr>
            <w:noProof/>
            <w:webHidden/>
          </w:rPr>
          <w:fldChar w:fldCharType="separate"/>
        </w:r>
        <w:r w:rsidR="00DD77D7">
          <w:rPr>
            <w:noProof/>
            <w:webHidden/>
          </w:rPr>
          <w:t>7</w:t>
        </w:r>
        <w:r>
          <w:rPr>
            <w:noProof/>
            <w:webHidden/>
          </w:rPr>
          <w:fldChar w:fldCharType="end"/>
        </w:r>
      </w:hyperlink>
    </w:p>
    <w:p w:rsidR="005F0498" w:rsidRDefault="007C5F8B" w:rsidP="005F0498">
      <w:pPr>
        <w:pStyle w:val="Heading2"/>
      </w:pPr>
      <w:r>
        <w:fldChar w:fldCharType="end"/>
      </w:r>
      <w:r w:rsidR="005F0498" w:rsidRPr="005F0498">
        <w:t xml:space="preserve"> </w:t>
      </w:r>
      <w:r w:rsidR="005F0498">
        <w:t>List of Tables</w:t>
      </w:r>
    </w:p>
    <w:p w:rsidR="005F0498" w:rsidRDefault="007C5F8B">
      <w:pPr>
        <w:pStyle w:val="TableofFigures"/>
        <w:tabs>
          <w:tab w:val="right" w:leader="dot" w:pos="8296"/>
        </w:tabs>
        <w:rPr>
          <w:rFonts w:asciiTheme="minorHAnsi" w:eastAsiaTheme="minorEastAsia" w:hAnsiTheme="minorHAnsi" w:cstheme="minorBidi"/>
          <w:noProof/>
          <w:sz w:val="22"/>
          <w:szCs w:val="22"/>
          <w:lang w:eastAsia="en-AU"/>
        </w:rPr>
      </w:pPr>
      <w:r>
        <w:fldChar w:fldCharType="begin"/>
      </w:r>
      <w:r w:rsidR="005F0498">
        <w:instrText xml:space="preserve"> TOC \h \z \t "table caption" \c </w:instrText>
      </w:r>
      <w:r>
        <w:fldChar w:fldCharType="separate"/>
      </w:r>
      <w:hyperlink w:anchor="_Toc425414788" w:history="1">
        <w:r w:rsidR="005F0498" w:rsidRPr="000D51F6">
          <w:rPr>
            <w:rStyle w:val="Hyperlink"/>
            <w:noProof/>
          </w:rPr>
          <w:t>Table 1 Engineering details of the El Sherana airstrip containment</w:t>
        </w:r>
        <w:r w:rsidR="005F0498">
          <w:rPr>
            <w:noProof/>
            <w:webHidden/>
          </w:rPr>
          <w:tab/>
        </w:r>
        <w:r>
          <w:rPr>
            <w:noProof/>
            <w:webHidden/>
          </w:rPr>
          <w:fldChar w:fldCharType="begin"/>
        </w:r>
        <w:r w:rsidR="005F0498">
          <w:rPr>
            <w:noProof/>
            <w:webHidden/>
          </w:rPr>
          <w:instrText xml:space="preserve"> PAGEREF _Toc425414788 \h </w:instrText>
        </w:r>
        <w:r>
          <w:rPr>
            <w:noProof/>
            <w:webHidden/>
          </w:rPr>
        </w:r>
        <w:r>
          <w:rPr>
            <w:noProof/>
            <w:webHidden/>
          </w:rPr>
          <w:fldChar w:fldCharType="separate"/>
        </w:r>
        <w:r w:rsidR="00DD77D7">
          <w:rPr>
            <w:noProof/>
            <w:webHidden/>
          </w:rPr>
          <w:t>5</w:t>
        </w:r>
        <w:r>
          <w:rPr>
            <w:noProof/>
            <w:webHidden/>
          </w:rPr>
          <w:fldChar w:fldCharType="end"/>
        </w:r>
      </w:hyperlink>
    </w:p>
    <w:p w:rsidR="005F0498" w:rsidRDefault="007C5F8B">
      <w:pPr>
        <w:pStyle w:val="TableofFigures"/>
        <w:tabs>
          <w:tab w:val="right" w:leader="dot" w:pos="8296"/>
        </w:tabs>
        <w:rPr>
          <w:rFonts w:asciiTheme="minorHAnsi" w:eastAsiaTheme="minorEastAsia" w:hAnsiTheme="minorHAnsi" w:cstheme="minorBidi"/>
          <w:noProof/>
          <w:sz w:val="22"/>
          <w:szCs w:val="22"/>
          <w:lang w:eastAsia="en-AU"/>
        </w:rPr>
      </w:pPr>
      <w:hyperlink w:anchor="_Toc425414789" w:history="1">
        <w:r w:rsidR="005F0498" w:rsidRPr="000D51F6">
          <w:rPr>
            <w:rStyle w:val="Hyperlink"/>
            <w:noProof/>
          </w:rPr>
          <w:t xml:space="preserve">Table 2 Approved monitoring programme for the South Alligator </w:t>
        </w:r>
        <w:r w:rsidR="00BF0484">
          <w:rPr>
            <w:rStyle w:val="Hyperlink"/>
            <w:noProof/>
          </w:rPr>
          <w:t>c</w:t>
        </w:r>
        <w:r w:rsidR="005F0498" w:rsidRPr="000D51F6">
          <w:rPr>
            <w:rStyle w:val="Hyperlink"/>
            <w:noProof/>
          </w:rPr>
          <w:t xml:space="preserve">ontainment </w:t>
        </w:r>
        <w:r w:rsidR="00BF0484">
          <w:rPr>
            <w:rStyle w:val="Hyperlink"/>
            <w:noProof/>
          </w:rPr>
          <w:t>f</w:t>
        </w:r>
        <w:r w:rsidR="005F0498" w:rsidRPr="000D51F6">
          <w:rPr>
            <w:rStyle w:val="Hyperlink"/>
            <w:noProof/>
          </w:rPr>
          <w:t>acility</w:t>
        </w:r>
        <w:r w:rsidR="005F0498">
          <w:rPr>
            <w:noProof/>
            <w:webHidden/>
          </w:rPr>
          <w:tab/>
        </w:r>
        <w:r>
          <w:rPr>
            <w:noProof/>
            <w:webHidden/>
          </w:rPr>
          <w:fldChar w:fldCharType="begin"/>
        </w:r>
        <w:r w:rsidR="005F0498">
          <w:rPr>
            <w:noProof/>
            <w:webHidden/>
          </w:rPr>
          <w:instrText xml:space="preserve"> PAGEREF _Toc425414789 \h </w:instrText>
        </w:r>
        <w:r>
          <w:rPr>
            <w:noProof/>
            <w:webHidden/>
          </w:rPr>
        </w:r>
        <w:r>
          <w:rPr>
            <w:noProof/>
            <w:webHidden/>
          </w:rPr>
          <w:fldChar w:fldCharType="separate"/>
        </w:r>
        <w:r w:rsidR="00DD77D7">
          <w:rPr>
            <w:noProof/>
            <w:webHidden/>
          </w:rPr>
          <w:t>6</w:t>
        </w:r>
        <w:r>
          <w:rPr>
            <w:noProof/>
            <w:webHidden/>
          </w:rPr>
          <w:fldChar w:fldCharType="end"/>
        </w:r>
      </w:hyperlink>
    </w:p>
    <w:p w:rsidR="005F0498" w:rsidRDefault="007C5F8B">
      <w:pPr>
        <w:pStyle w:val="TableofFigures"/>
        <w:tabs>
          <w:tab w:val="right" w:leader="dot" w:pos="8296"/>
        </w:tabs>
        <w:rPr>
          <w:rFonts w:asciiTheme="minorHAnsi" w:eastAsiaTheme="minorEastAsia" w:hAnsiTheme="minorHAnsi" w:cstheme="minorBidi"/>
          <w:noProof/>
          <w:sz w:val="22"/>
          <w:szCs w:val="22"/>
          <w:lang w:eastAsia="en-AU"/>
        </w:rPr>
      </w:pPr>
      <w:hyperlink w:anchor="_Toc425414790" w:history="1">
        <w:r w:rsidR="005F0498" w:rsidRPr="000D51F6">
          <w:rPr>
            <w:rStyle w:val="Hyperlink"/>
            <w:noProof/>
          </w:rPr>
          <w:t xml:space="preserve">Table A1: Eastings, northings and measured </w:t>
        </w:r>
        <w:r w:rsidR="005F0498" w:rsidRPr="000D51F6">
          <w:rPr>
            <w:rStyle w:val="Hyperlink"/>
            <w:rFonts w:cs="Arial"/>
            <w:noProof/>
          </w:rPr>
          <w:t>γ</w:t>
        </w:r>
        <w:r w:rsidR="00BF0484">
          <w:rPr>
            <w:rStyle w:val="Hyperlink"/>
            <w:rFonts w:cs="Arial"/>
            <w:noProof/>
          </w:rPr>
          <w:t>-</w:t>
        </w:r>
        <w:r w:rsidR="005F0498" w:rsidRPr="000D51F6">
          <w:rPr>
            <w:rStyle w:val="Hyperlink"/>
            <w:noProof/>
          </w:rPr>
          <w:t xml:space="preserve">dose rates and </w:t>
        </w:r>
        <w:r w:rsidR="005F0498" w:rsidRPr="00BF0484">
          <w:rPr>
            <w:rStyle w:val="Hyperlink"/>
            <w:noProof/>
            <w:snapToGrid w:val="0"/>
            <w:position w:val="4"/>
            <w:sz w:val="18"/>
            <w:szCs w:val="18"/>
            <w:u w:color="000000"/>
          </w:rPr>
          <w:t>222</w:t>
        </w:r>
        <w:r w:rsidR="005F0498" w:rsidRPr="000D51F6">
          <w:rPr>
            <w:rStyle w:val="Hyperlink"/>
            <w:noProof/>
          </w:rPr>
          <w:t>Rn activity flux densities, May 2015.</w:t>
        </w:r>
        <w:r w:rsidR="005F0498">
          <w:rPr>
            <w:noProof/>
            <w:webHidden/>
          </w:rPr>
          <w:tab/>
        </w:r>
        <w:r>
          <w:rPr>
            <w:noProof/>
            <w:webHidden/>
          </w:rPr>
          <w:fldChar w:fldCharType="begin"/>
        </w:r>
        <w:r w:rsidR="005F0498">
          <w:rPr>
            <w:noProof/>
            <w:webHidden/>
          </w:rPr>
          <w:instrText xml:space="preserve"> PAGEREF _Toc425414790 \h </w:instrText>
        </w:r>
        <w:r>
          <w:rPr>
            <w:noProof/>
            <w:webHidden/>
          </w:rPr>
        </w:r>
        <w:r>
          <w:rPr>
            <w:noProof/>
            <w:webHidden/>
          </w:rPr>
          <w:fldChar w:fldCharType="separate"/>
        </w:r>
        <w:r w:rsidR="00DD77D7">
          <w:rPr>
            <w:noProof/>
            <w:webHidden/>
          </w:rPr>
          <w:t>7</w:t>
        </w:r>
        <w:r>
          <w:rPr>
            <w:noProof/>
            <w:webHidden/>
          </w:rPr>
          <w:fldChar w:fldCharType="end"/>
        </w:r>
      </w:hyperlink>
    </w:p>
    <w:p w:rsidR="005F0498" w:rsidRDefault="007C5F8B" w:rsidP="005F0498">
      <w:pPr>
        <w:spacing w:after="0" w:line="240" w:lineRule="auto"/>
        <w:jc w:val="left"/>
      </w:pPr>
      <w:r>
        <w:fldChar w:fldCharType="end"/>
      </w:r>
    </w:p>
    <w:p w:rsidR="00885B0A" w:rsidRDefault="007977EC" w:rsidP="005F0498">
      <w:pPr>
        <w:pStyle w:val="Heading1"/>
      </w:pPr>
      <w:r>
        <w:t>Executive summary</w:t>
      </w:r>
      <w:bookmarkEnd w:id="25"/>
    </w:p>
    <w:p w:rsidR="00766731" w:rsidRDefault="00547F1C" w:rsidP="00962D28">
      <w:r>
        <w:t xml:space="preserve">Gamma dose rates and radon exhalation flux densities are measured at the El </w:t>
      </w:r>
      <w:proofErr w:type="spellStart"/>
      <w:r>
        <w:t>Sherana</w:t>
      </w:r>
      <w:proofErr w:type="spellEnd"/>
      <w:r>
        <w:t xml:space="preserve"> containment every two years as part of the approved environmental monitoring program.</w:t>
      </w:r>
      <w:r w:rsidR="00163629">
        <w:t xml:space="preserve"> </w:t>
      </w:r>
      <w:r>
        <w:t xml:space="preserve">This report presents </w:t>
      </w:r>
      <w:r w:rsidR="00063491">
        <w:t xml:space="preserve">the </w:t>
      </w:r>
      <w:r>
        <w:t>measurement</w:t>
      </w:r>
      <w:r w:rsidR="00766731">
        <w:t>s</w:t>
      </w:r>
      <w:r>
        <w:t xml:space="preserve"> from 2015</w:t>
      </w:r>
      <w:r w:rsidR="00063491">
        <w:t xml:space="preserve">, the fourth set of </w:t>
      </w:r>
      <w:r w:rsidR="00163629">
        <w:t xml:space="preserve">measurements since </w:t>
      </w:r>
      <w:r w:rsidR="00352578">
        <w:t xml:space="preserve">construction of the containment </w:t>
      </w:r>
      <w:r w:rsidR="00163629">
        <w:t xml:space="preserve">in 2009. </w:t>
      </w:r>
      <w:r w:rsidR="002B6F54">
        <w:t>G</w:t>
      </w:r>
      <w:r w:rsidR="00163629">
        <w:t xml:space="preserve">amma dose rates on top of the containment </w:t>
      </w:r>
      <w:r w:rsidR="00766731">
        <w:t>in 2015 we</w:t>
      </w:r>
      <w:r w:rsidR="00163629">
        <w:t xml:space="preserve">re no different to </w:t>
      </w:r>
      <w:r w:rsidR="00766731">
        <w:t xml:space="preserve">those measured prior to </w:t>
      </w:r>
      <w:r w:rsidR="00352578">
        <w:t xml:space="preserve">its </w:t>
      </w:r>
      <w:r w:rsidR="00766731">
        <w:t xml:space="preserve">construction and remain at typical environmental </w:t>
      </w:r>
      <w:r w:rsidR="00352578">
        <w:t xml:space="preserve">background </w:t>
      </w:r>
      <w:r w:rsidR="00766731">
        <w:t xml:space="preserve">levels. Radon exhalation flux densities on top of the containment in 2015 were higher than those measured prior to </w:t>
      </w:r>
      <w:r w:rsidR="00352578">
        <w:t xml:space="preserve">its construction, but have not increased </w:t>
      </w:r>
      <w:r w:rsidR="001C6FC4">
        <w:t>since the last set of measurements in 2013</w:t>
      </w:r>
      <w:r w:rsidR="00352578">
        <w:t>.</w:t>
      </w:r>
      <w:r w:rsidR="008C09B4">
        <w:t xml:space="preserve"> </w:t>
      </w:r>
      <w:r w:rsidR="001C6FC4">
        <w:t xml:space="preserve">The levels of </w:t>
      </w:r>
      <w:r w:rsidR="008C09B4">
        <w:t>gamma dose rate and radon exhalation flux density</w:t>
      </w:r>
      <w:r w:rsidR="001C6FC4">
        <w:t xml:space="preserve"> measured at the containment in 2015 would not lead to </w:t>
      </w:r>
      <w:r w:rsidR="008C09B4">
        <w:t xml:space="preserve">above background doses </w:t>
      </w:r>
      <w:r w:rsidR="001C6FC4">
        <w:t>of</w:t>
      </w:r>
      <w:r w:rsidR="008C09B4">
        <w:t xml:space="preserve"> Parks Australia employees </w:t>
      </w:r>
      <w:r w:rsidR="001C6FC4">
        <w:t>or</w:t>
      </w:r>
      <w:r w:rsidR="008C09B4">
        <w:t xml:space="preserve"> the public </w:t>
      </w:r>
      <w:r w:rsidR="001C6FC4">
        <w:t>in excess of</w:t>
      </w:r>
      <w:r w:rsidR="008C09B4">
        <w:t xml:space="preserve"> the dose constraint of 30 µ</w:t>
      </w:r>
      <w:proofErr w:type="spellStart"/>
      <w:r w:rsidR="008C09B4">
        <w:t>Sv</w:t>
      </w:r>
      <w:proofErr w:type="spellEnd"/>
      <w:r w:rsidR="008C09B4">
        <w:t xml:space="preserve"> per year.</w:t>
      </w:r>
    </w:p>
    <w:p w:rsidR="00766731" w:rsidRDefault="00766731" w:rsidP="00962D28"/>
    <w:p w:rsidR="00163629" w:rsidRDefault="00163629" w:rsidP="00962D28"/>
    <w:p w:rsidR="00962D28" w:rsidRDefault="00962D28"/>
    <w:p w:rsidR="00885B0A" w:rsidRDefault="00885B0A">
      <w:pPr>
        <w:pStyle w:val="Heading1"/>
        <w:sectPr w:rsidR="00885B0A">
          <w:footerReference w:type="default" r:id="rId21"/>
          <w:pgSz w:w="11906" w:h="16838" w:code="9"/>
          <w:pgMar w:top="1440" w:right="1800" w:bottom="1440" w:left="1800" w:header="1080" w:footer="835" w:gutter="0"/>
          <w:pgNumType w:fmt="lowerRoman"/>
          <w:cols w:space="360"/>
          <w:noEndnote/>
        </w:sectPr>
      </w:pPr>
    </w:p>
    <w:p w:rsidR="00E82A74" w:rsidRPr="00242E91" w:rsidRDefault="00DA654C" w:rsidP="00242E91">
      <w:pPr>
        <w:pStyle w:val="Heading1"/>
      </w:pPr>
      <w:bookmarkStart w:id="26" w:name="_Toc425414053"/>
      <w:bookmarkEnd w:id="21"/>
      <w:bookmarkEnd w:id="22"/>
      <w:bookmarkEnd w:id="23"/>
      <w:bookmarkEnd w:id="24"/>
      <w:proofErr w:type="gramStart"/>
      <w:r w:rsidRPr="00242E91">
        <w:t xml:space="preserve">1  </w:t>
      </w:r>
      <w:r w:rsidR="00885B0A" w:rsidRPr="00242E91">
        <w:t>Introduction</w:t>
      </w:r>
      <w:bookmarkEnd w:id="26"/>
      <w:proofErr w:type="gramEnd"/>
    </w:p>
    <w:p w:rsidR="00F16081" w:rsidRDefault="00F16081" w:rsidP="00DA654C">
      <w:r w:rsidRPr="00F16081">
        <w:t xml:space="preserve">The El </w:t>
      </w:r>
      <w:proofErr w:type="spellStart"/>
      <w:r w:rsidRPr="00F16081">
        <w:t>Sherana</w:t>
      </w:r>
      <w:proofErr w:type="spellEnd"/>
      <w:r w:rsidRPr="00F16081">
        <w:t xml:space="preserve"> airstrip containment</w:t>
      </w:r>
      <w:r>
        <w:t xml:space="preserve"> (or South Alligator </w:t>
      </w:r>
      <w:r w:rsidR="00CA2B86">
        <w:t>contai</w:t>
      </w:r>
      <w:r w:rsidR="006C080B">
        <w:t>n</w:t>
      </w:r>
      <w:r w:rsidR="00CA2B86">
        <w:t>ment</w:t>
      </w:r>
      <w:r>
        <w:t xml:space="preserve"> facility)</w:t>
      </w:r>
      <w:r w:rsidRPr="00F16081">
        <w:t xml:space="preserve"> is a near-surface disposal facility located in the South Alligator River valley in the south of Kakadu National Park. It was constructed in the 2009 dry season and contains approximately 22,000 m</w:t>
      </w:r>
      <w:r w:rsidRPr="00CA2B86">
        <w:rPr>
          <w:snapToGrid w:val="0"/>
          <w:color w:val="000000"/>
          <w:position w:val="6"/>
          <w:sz w:val="16"/>
          <w:szCs w:val="0"/>
          <w:u w:color="000000"/>
        </w:rPr>
        <w:t>3</w:t>
      </w:r>
      <w:r w:rsidRPr="00F16081">
        <w:t xml:space="preserve"> of naturally occurring radioactive material  (NORM) contaminated waste from the remediation of legacy uranium mining and processing sites in the area (see Waggitt (2004) for details of the uranium mining history of the South Alligator River valley). </w:t>
      </w:r>
      <w:r w:rsidR="009F662E">
        <w:t xml:space="preserve">Following closure of the facility it is currently in the institutional control period, during which public access to, or alternative use of, the site must be restricted. The containment is managed by </w:t>
      </w:r>
      <w:r w:rsidR="006C080B">
        <w:t>the Director of National Parks,</w:t>
      </w:r>
      <w:r w:rsidR="009F662E">
        <w:t xml:space="preserve"> with regulatory oversight by the Australian Radiation Protection and Nuclear Safety Agency</w:t>
      </w:r>
      <w:r w:rsidR="00CA2B86">
        <w:t xml:space="preserve"> (ARPANSA)</w:t>
      </w:r>
      <w:r w:rsidR="009F662E">
        <w:t xml:space="preserve">. The Supervising Scientist currently assists </w:t>
      </w:r>
      <w:r w:rsidR="00CA2B86">
        <w:t>the Director of National Parks</w:t>
      </w:r>
      <w:r w:rsidR="009F662E">
        <w:t xml:space="preserve"> by conducting biennial monitoring to assess the radiological conditions on site. </w:t>
      </w:r>
      <w:r w:rsidRPr="00F16081">
        <w:t>Table 1 gives the engineering details of the containment.</w:t>
      </w:r>
    </w:p>
    <w:p w:rsidR="00F16081" w:rsidRDefault="00F16081" w:rsidP="00F16081">
      <w:pPr>
        <w:pStyle w:val="tablecaption"/>
      </w:pPr>
      <w:bookmarkStart w:id="27" w:name="_Toc355795051"/>
      <w:bookmarkStart w:id="28" w:name="_Toc425414788"/>
      <w:r>
        <w:t xml:space="preserve">Table 1 Engineering details of the El </w:t>
      </w:r>
      <w:proofErr w:type="spellStart"/>
      <w:r>
        <w:t>Sherana</w:t>
      </w:r>
      <w:proofErr w:type="spellEnd"/>
      <w:r>
        <w:t xml:space="preserve"> airstrip containment</w:t>
      </w:r>
      <w:r w:rsidRPr="00335B4C">
        <w:rPr>
          <w:snapToGrid w:val="0"/>
          <w:color w:val="000000"/>
          <w:position w:val="4"/>
          <w:sz w:val="12"/>
          <w:szCs w:val="0"/>
          <w:u w:color="000000"/>
        </w:rPr>
        <w:t>1</w:t>
      </w:r>
      <w:bookmarkEnd w:id="27"/>
      <w:bookmarkEnd w:id="28"/>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261"/>
        <w:gridCol w:w="4261"/>
      </w:tblGrid>
      <w:tr w:rsidR="00F16081" w:rsidTr="0012025C">
        <w:tc>
          <w:tcPr>
            <w:tcW w:w="4261" w:type="dxa"/>
            <w:tcBorders>
              <w:top w:val="single" w:sz="4" w:space="0" w:color="auto"/>
              <w:bottom w:val="single" w:sz="4" w:space="0" w:color="auto"/>
            </w:tcBorders>
          </w:tcPr>
          <w:p w:rsidR="00F16081" w:rsidRDefault="00F16081" w:rsidP="0012025C">
            <w:pPr>
              <w:pStyle w:val="table1"/>
            </w:pPr>
            <w:r>
              <w:t>Parameter</w:t>
            </w:r>
          </w:p>
        </w:tc>
        <w:tc>
          <w:tcPr>
            <w:tcW w:w="4261" w:type="dxa"/>
            <w:tcBorders>
              <w:top w:val="single" w:sz="4" w:space="0" w:color="auto"/>
              <w:bottom w:val="single" w:sz="4" w:space="0" w:color="auto"/>
            </w:tcBorders>
          </w:tcPr>
          <w:p w:rsidR="00F16081" w:rsidRDefault="00F16081" w:rsidP="0012025C">
            <w:pPr>
              <w:pStyle w:val="table1"/>
            </w:pPr>
            <w:r>
              <w:t>Description</w:t>
            </w:r>
          </w:p>
        </w:tc>
      </w:tr>
      <w:tr w:rsidR="00F16081" w:rsidTr="0012025C">
        <w:tc>
          <w:tcPr>
            <w:tcW w:w="4261" w:type="dxa"/>
            <w:tcBorders>
              <w:top w:val="single" w:sz="4" w:space="0" w:color="auto"/>
            </w:tcBorders>
          </w:tcPr>
          <w:p w:rsidR="00F16081" w:rsidRDefault="00F16081" w:rsidP="0012025C">
            <w:pPr>
              <w:pStyle w:val="table1"/>
            </w:pPr>
            <w:r>
              <w:t>Surface footprint</w:t>
            </w:r>
          </w:p>
        </w:tc>
        <w:tc>
          <w:tcPr>
            <w:tcW w:w="4261" w:type="dxa"/>
            <w:tcBorders>
              <w:top w:val="single" w:sz="4" w:space="0" w:color="auto"/>
            </w:tcBorders>
          </w:tcPr>
          <w:p w:rsidR="00F16081" w:rsidRDefault="00F16081" w:rsidP="0012025C">
            <w:pPr>
              <w:pStyle w:val="table1"/>
            </w:pPr>
            <w:r>
              <w:t>8750 m</w:t>
            </w:r>
            <w:r w:rsidRPr="007C2849">
              <w:rPr>
                <w:snapToGrid w:val="0"/>
                <w:color w:val="000000"/>
                <w:position w:val="4"/>
                <w:sz w:val="11"/>
                <w:szCs w:val="0"/>
                <w:u w:color="000000"/>
              </w:rPr>
              <w:t>2</w:t>
            </w:r>
            <w:r>
              <w:t xml:space="preserve"> (175 m </w:t>
            </w:r>
            <w:r>
              <w:rPr>
                <w:rFonts w:cs="Arial"/>
              </w:rPr>
              <w:t>×</w:t>
            </w:r>
            <w:r>
              <w:t xml:space="preserve"> 50 m)</w:t>
            </w:r>
          </w:p>
        </w:tc>
      </w:tr>
      <w:tr w:rsidR="00F16081" w:rsidTr="0012025C">
        <w:tc>
          <w:tcPr>
            <w:tcW w:w="4261" w:type="dxa"/>
          </w:tcPr>
          <w:p w:rsidR="00F16081" w:rsidRDefault="00F16081" w:rsidP="0012025C">
            <w:pPr>
              <w:pStyle w:val="table1"/>
            </w:pPr>
            <w:r>
              <w:t>Maximum capacity</w:t>
            </w:r>
          </w:p>
        </w:tc>
        <w:tc>
          <w:tcPr>
            <w:tcW w:w="4261" w:type="dxa"/>
          </w:tcPr>
          <w:p w:rsidR="00F16081" w:rsidRDefault="00F16081" w:rsidP="0012025C">
            <w:pPr>
              <w:pStyle w:val="table1"/>
            </w:pPr>
            <w:r>
              <w:t>25,000 m</w:t>
            </w:r>
            <w:r w:rsidRPr="007C2849">
              <w:rPr>
                <w:snapToGrid w:val="0"/>
                <w:color w:val="000000"/>
                <w:position w:val="4"/>
                <w:sz w:val="11"/>
                <w:szCs w:val="0"/>
                <w:u w:color="000000"/>
              </w:rPr>
              <w:t>3</w:t>
            </w:r>
          </w:p>
        </w:tc>
      </w:tr>
      <w:tr w:rsidR="00F16081" w:rsidTr="0012025C">
        <w:tc>
          <w:tcPr>
            <w:tcW w:w="4261" w:type="dxa"/>
          </w:tcPr>
          <w:p w:rsidR="00F16081" w:rsidRDefault="00F16081" w:rsidP="0012025C">
            <w:pPr>
              <w:pStyle w:val="table1"/>
            </w:pPr>
            <w:r>
              <w:t>Maximum excavation depth below natural ground level</w:t>
            </w:r>
          </w:p>
        </w:tc>
        <w:tc>
          <w:tcPr>
            <w:tcW w:w="4261" w:type="dxa"/>
          </w:tcPr>
          <w:p w:rsidR="00F16081" w:rsidRDefault="00F16081" w:rsidP="0012025C">
            <w:pPr>
              <w:pStyle w:val="table1"/>
            </w:pPr>
            <w:r>
              <w:t>5 m</w:t>
            </w:r>
          </w:p>
        </w:tc>
      </w:tr>
      <w:tr w:rsidR="00F16081" w:rsidTr="0012025C">
        <w:tc>
          <w:tcPr>
            <w:tcW w:w="4261" w:type="dxa"/>
          </w:tcPr>
          <w:p w:rsidR="00F16081" w:rsidRDefault="00F16081" w:rsidP="0012025C">
            <w:pPr>
              <w:pStyle w:val="table1"/>
            </w:pPr>
            <w:r>
              <w:t>Side slopes</w:t>
            </w:r>
          </w:p>
        </w:tc>
        <w:tc>
          <w:tcPr>
            <w:tcW w:w="4261" w:type="dxa"/>
          </w:tcPr>
          <w:p w:rsidR="00F16081" w:rsidRDefault="00F16081" w:rsidP="0012025C">
            <w:pPr>
              <w:pStyle w:val="table1"/>
            </w:pPr>
            <w:r>
              <w:t>3:1 (</w:t>
            </w:r>
            <w:proofErr w:type="spellStart"/>
            <w:r>
              <w:t>horizontal:vertical</w:t>
            </w:r>
            <w:proofErr w:type="spellEnd"/>
            <w:r>
              <w:t>)</w:t>
            </w:r>
          </w:p>
        </w:tc>
      </w:tr>
      <w:tr w:rsidR="00F16081" w:rsidTr="0012025C">
        <w:tc>
          <w:tcPr>
            <w:tcW w:w="4261" w:type="dxa"/>
          </w:tcPr>
          <w:p w:rsidR="00F16081" w:rsidRDefault="00F16081" w:rsidP="0012025C">
            <w:pPr>
              <w:pStyle w:val="table1"/>
            </w:pPr>
            <w:r>
              <w:t>Maximum thickness of waste material</w:t>
            </w:r>
          </w:p>
        </w:tc>
        <w:tc>
          <w:tcPr>
            <w:tcW w:w="4261" w:type="dxa"/>
          </w:tcPr>
          <w:p w:rsidR="00F16081" w:rsidRPr="0063603D" w:rsidRDefault="00F16081" w:rsidP="0012025C">
            <w:pPr>
              <w:pStyle w:val="table1"/>
            </w:pPr>
            <w:r w:rsidRPr="0063603D">
              <w:t>4.5 m</w:t>
            </w:r>
          </w:p>
        </w:tc>
      </w:tr>
      <w:tr w:rsidR="00F16081" w:rsidTr="0012025C">
        <w:tc>
          <w:tcPr>
            <w:tcW w:w="4261" w:type="dxa"/>
          </w:tcPr>
          <w:p w:rsidR="00F16081" w:rsidRDefault="00F16081" w:rsidP="0012025C">
            <w:pPr>
              <w:pStyle w:val="table1"/>
            </w:pPr>
            <w:r>
              <w:t>Base layer</w:t>
            </w:r>
          </w:p>
        </w:tc>
        <w:tc>
          <w:tcPr>
            <w:tcW w:w="4261" w:type="dxa"/>
          </w:tcPr>
          <w:p w:rsidR="00F16081" w:rsidRDefault="00F16081" w:rsidP="0012025C">
            <w:pPr>
              <w:pStyle w:val="table1"/>
            </w:pPr>
            <w:r>
              <w:t>0.5 m compacted clay</w:t>
            </w:r>
          </w:p>
        </w:tc>
      </w:tr>
      <w:tr w:rsidR="00F16081" w:rsidTr="0012025C">
        <w:tc>
          <w:tcPr>
            <w:tcW w:w="4261" w:type="dxa"/>
          </w:tcPr>
          <w:p w:rsidR="00F16081" w:rsidRDefault="00F16081" w:rsidP="0012025C">
            <w:pPr>
              <w:pStyle w:val="table1"/>
            </w:pPr>
            <w:r>
              <w:t>Capping layer</w:t>
            </w:r>
          </w:p>
        </w:tc>
        <w:tc>
          <w:tcPr>
            <w:tcW w:w="4261" w:type="dxa"/>
          </w:tcPr>
          <w:p w:rsidR="00F16081" w:rsidRDefault="00F16081" w:rsidP="0012025C">
            <w:pPr>
              <w:pStyle w:val="table1"/>
            </w:pPr>
            <w:r>
              <w:t>0.5 m compacted clay</w:t>
            </w:r>
          </w:p>
        </w:tc>
      </w:tr>
      <w:tr w:rsidR="00F16081" w:rsidTr="0012025C">
        <w:tc>
          <w:tcPr>
            <w:tcW w:w="4261" w:type="dxa"/>
          </w:tcPr>
          <w:p w:rsidR="00F16081" w:rsidRDefault="00F16081" w:rsidP="0012025C">
            <w:pPr>
              <w:pStyle w:val="table1"/>
            </w:pPr>
            <w:r>
              <w:t>Cover (growth medium)</w:t>
            </w:r>
          </w:p>
        </w:tc>
        <w:tc>
          <w:tcPr>
            <w:tcW w:w="4261" w:type="dxa"/>
          </w:tcPr>
          <w:p w:rsidR="00F16081" w:rsidRDefault="00F16081" w:rsidP="0012025C">
            <w:pPr>
              <w:pStyle w:val="table1"/>
            </w:pPr>
            <w:r>
              <w:t>1.8–2.4 m uncompacted natural soil</w:t>
            </w:r>
          </w:p>
        </w:tc>
      </w:tr>
    </w:tbl>
    <w:p w:rsidR="00F16081" w:rsidRDefault="00F16081" w:rsidP="00F16081">
      <w:pPr>
        <w:pStyle w:val="tablenote"/>
      </w:pPr>
      <w:r w:rsidRPr="00E073D2">
        <w:rPr>
          <w:snapToGrid w:val="0"/>
          <w:color w:val="000000"/>
          <w:position w:val="3"/>
          <w:sz w:val="9"/>
          <w:szCs w:val="0"/>
          <w:u w:color="000000"/>
        </w:rPr>
        <w:t>1</w:t>
      </w:r>
      <w:r>
        <w:t xml:space="preserve">Information from </w:t>
      </w:r>
      <w:proofErr w:type="spellStart"/>
      <w:r>
        <w:t>O’Kane</w:t>
      </w:r>
      <w:proofErr w:type="spellEnd"/>
      <w:r>
        <w:t xml:space="preserve"> Consultants (2012)</w:t>
      </w:r>
    </w:p>
    <w:p w:rsidR="004928A2" w:rsidRDefault="003B1363" w:rsidP="00DA654C">
      <w:r>
        <w:t xml:space="preserve">As part of their licence conditions for the </w:t>
      </w:r>
      <w:r w:rsidR="006C080B">
        <w:t>South Alligator containment facility</w:t>
      </w:r>
      <w:r>
        <w:t xml:space="preserve">, the Director of National Parks </w:t>
      </w:r>
      <w:r w:rsidR="00F175E7">
        <w:t>has</w:t>
      </w:r>
      <w:r>
        <w:t xml:space="preserve"> to </w:t>
      </w:r>
      <w:r w:rsidR="004F772D">
        <w:t xml:space="preserve">provide to the CEO of </w:t>
      </w:r>
      <w:r w:rsidR="0024623C">
        <w:rPr>
          <w:sz w:val="22"/>
        </w:rPr>
        <w:t>ARPANSA</w:t>
      </w:r>
      <w:r w:rsidR="004F772D">
        <w:t xml:space="preserve"> within 28 days of the end </w:t>
      </w:r>
      <w:proofErr w:type="gramStart"/>
      <w:r w:rsidR="004F772D">
        <w:t>of each financial year information</w:t>
      </w:r>
      <w:proofErr w:type="gramEnd"/>
      <w:r w:rsidR="004F772D">
        <w:t xml:space="preserve"> about compliance with the licence conditions for the previous year. </w:t>
      </w:r>
      <w:r>
        <w:t xml:space="preserve"> </w:t>
      </w:r>
      <w:r w:rsidR="004F772D">
        <w:t>This report should include a status</w:t>
      </w:r>
      <w:r w:rsidR="00F175E7">
        <w:t xml:space="preserve"> </w:t>
      </w:r>
      <w:r w:rsidR="004F772D">
        <w:t xml:space="preserve">update on the integrity of the surface cover, any changes in environmental circumstances of the facility and a summary of information collected through </w:t>
      </w:r>
      <w:r w:rsidR="00F175E7">
        <w:t>an</w:t>
      </w:r>
      <w:r w:rsidR="004F772D">
        <w:t xml:space="preserve"> approved monitoring programme. This approved monitoring programme includes the measurement of gamma dose rates and radon-222 (</w:t>
      </w:r>
      <w:r w:rsidR="004F772D" w:rsidRPr="00F175E7">
        <w:rPr>
          <w:snapToGrid w:val="0"/>
          <w:color w:val="000000"/>
          <w:position w:val="6"/>
          <w:sz w:val="16"/>
          <w:szCs w:val="0"/>
          <w:u w:color="000000"/>
        </w:rPr>
        <w:t>222</w:t>
      </w:r>
      <w:r w:rsidR="004F772D">
        <w:t>Rn) exhalation flux densities from the containment every two years</w:t>
      </w:r>
      <w:r w:rsidR="00F175E7">
        <w:t xml:space="preserve"> </w:t>
      </w:r>
      <w:r w:rsidR="00CA2B86">
        <w:t>and is shown in</w:t>
      </w:r>
      <w:r w:rsidR="00F175E7">
        <w:t xml:space="preserve"> Table </w:t>
      </w:r>
      <w:r w:rsidR="00F16081">
        <w:t>2</w:t>
      </w:r>
      <w:r w:rsidR="004F772D">
        <w:t xml:space="preserve">. The </w:t>
      </w:r>
      <w:r w:rsidR="005257B9">
        <w:t>previous</w:t>
      </w:r>
      <w:r w:rsidR="00F175E7">
        <w:t xml:space="preserve"> </w:t>
      </w:r>
      <w:proofErr w:type="gramStart"/>
      <w:r w:rsidR="00F175E7">
        <w:t>set of</w:t>
      </w:r>
      <w:r w:rsidR="004F772D">
        <w:t xml:space="preserve"> measurements were</w:t>
      </w:r>
      <w:proofErr w:type="gramEnd"/>
      <w:r w:rsidR="004F772D">
        <w:t xml:space="preserve"> conducted in </w:t>
      </w:r>
      <w:r w:rsidR="004928A2">
        <w:t>October</w:t>
      </w:r>
      <w:r w:rsidR="004F772D">
        <w:t xml:space="preserve"> 2013</w:t>
      </w:r>
      <w:r w:rsidR="004928A2">
        <w:t xml:space="preserve">. </w:t>
      </w:r>
    </w:p>
    <w:p w:rsidR="009563B1" w:rsidRDefault="0024623C" w:rsidP="00DA654C">
      <w:pPr>
        <w:sectPr w:rsidR="009563B1" w:rsidSect="00EC47D5">
          <w:headerReference w:type="even" r:id="rId22"/>
          <w:footerReference w:type="even" r:id="rId23"/>
          <w:footerReference w:type="default" r:id="rId24"/>
          <w:headerReference w:type="first" r:id="rId25"/>
          <w:footerReference w:type="first" r:id="rId26"/>
          <w:pgSz w:w="11906" w:h="16838" w:code="9"/>
          <w:pgMar w:top="1440" w:right="1800" w:bottom="1440" w:left="1800" w:header="1080" w:footer="835" w:gutter="0"/>
          <w:cols w:space="360"/>
          <w:noEndnote/>
        </w:sectPr>
      </w:pPr>
      <w:r>
        <w:t>After an inspection of the South Alligator Disposal facility by ARPANSA in 2011</w:t>
      </w:r>
      <w:r w:rsidR="00525FB9">
        <w:t xml:space="preserve"> (ARPANSA 2011)</w:t>
      </w:r>
      <w:r>
        <w:t xml:space="preserve">, ARPANSA requested that Parks Australia undertake a radiological impact assessment of the </w:t>
      </w:r>
      <w:r w:rsidR="006C080B">
        <w:t xml:space="preserve">South Alligator containment facility </w:t>
      </w:r>
      <w:r>
        <w:t xml:space="preserve">to establish appropriate dose constraints, in line with the requirements </w:t>
      </w:r>
      <w:r w:rsidR="00F175E7">
        <w:t>outlined in</w:t>
      </w:r>
      <w:r>
        <w:t xml:space="preserve"> the Code of Pract</w:t>
      </w:r>
      <w:r w:rsidR="00F175E7">
        <w:t>i</w:t>
      </w:r>
      <w:r>
        <w:t>ce for the near surface disposal of radioactive waste (NHMRC 199</w:t>
      </w:r>
      <w:r w:rsidR="00C01B7C">
        <w:t>3</w:t>
      </w:r>
      <w:r>
        <w:t>)</w:t>
      </w:r>
      <w:r w:rsidR="007920C9">
        <w:t>. The Environmental Radioactivity group of the Supervising Scientist was approached by the Director of National Parks to undertake this impact assessment, and modelling of doses to Parks employees and the general public</w:t>
      </w:r>
      <w:r w:rsidR="00D508B6">
        <w:t xml:space="preserve"> using </w:t>
      </w:r>
      <w:r w:rsidR="006C080B">
        <w:t xml:space="preserve">the </w:t>
      </w:r>
      <w:proofErr w:type="spellStart"/>
      <w:r w:rsidR="00D508B6">
        <w:t>ResRad</w:t>
      </w:r>
      <w:proofErr w:type="spellEnd"/>
      <w:r w:rsidR="00D508B6">
        <w:t xml:space="preserve"> Offsite</w:t>
      </w:r>
      <w:r w:rsidR="00F04CCB">
        <w:t xml:space="preserve"> computer code </w:t>
      </w:r>
      <w:r w:rsidR="00F04CCB">
        <w:rPr>
          <w:szCs w:val="22"/>
        </w:rPr>
        <w:t>(Yu et al. 2009)</w:t>
      </w:r>
      <w:r w:rsidR="007920C9">
        <w:t xml:space="preserve"> </w:t>
      </w:r>
      <w:r w:rsidR="00F175E7">
        <w:t>has shown that effective radiation doses will be below 10 µ</w:t>
      </w:r>
      <w:proofErr w:type="spellStart"/>
      <w:r w:rsidR="00F175E7">
        <w:t>Sv</w:t>
      </w:r>
      <w:proofErr w:type="spellEnd"/>
      <w:r w:rsidR="00F175E7">
        <w:t xml:space="preserve"> per year</w:t>
      </w:r>
      <w:r w:rsidR="00790A47">
        <w:t xml:space="preserve"> (</w:t>
      </w:r>
      <w:proofErr w:type="spellStart"/>
      <w:proofErr w:type="gramStart"/>
      <w:r w:rsidR="00790A47">
        <w:t>Bollhöfer</w:t>
      </w:r>
      <w:proofErr w:type="spellEnd"/>
      <w:r w:rsidR="00790A47">
        <w:t xml:space="preserve">  et</w:t>
      </w:r>
      <w:proofErr w:type="gramEnd"/>
      <w:r w:rsidR="00790A47">
        <w:t xml:space="preserve"> al 2013</w:t>
      </w:r>
      <w:r w:rsidR="00F04CCB">
        <w:t>; Supervising Scientist 2013</w:t>
      </w:r>
      <w:r w:rsidR="00790A47">
        <w:t>)</w:t>
      </w:r>
      <w:r w:rsidR="00F175E7">
        <w:t xml:space="preserve">. </w:t>
      </w:r>
      <w:r w:rsidR="006C080B">
        <w:t>A</w:t>
      </w:r>
      <w:r w:rsidR="00F175E7">
        <w:t xml:space="preserve"> dose constraint of 30 µ</w:t>
      </w:r>
      <w:proofErr w:type="spellStart"/>
      <w:r w:rsidR="00F175E7">
        <w:t>Sv</w:t>
      </w:r>
      <w:proofErr w:type="spellEnd"/>
      <w:r w:rsidR="00F175E7">
        <w:t xml:space="preserve"> per year was set for the South Alligator Disposal facility</w:t>
      </w:r>
      <w:r w:rsidR="00790A47">
        <w:t xml:space="preserve"> and approved </w:t>
      </w:r>
      <w:r w:rsidR="00F175E7">
        <w:t>by ARPANSA</w:t>
      </w:r>
      <w:r w:rsidR="00790A47">
        <w:t xml:space="preserve"> in 2013.</w:t>
      </w:r>
    </w:p>
    <w:p w:rsidR="00CA2B86" w:rsidRDefault="00CA2B86" w:rsidP="00CA2B86">
      <w:pPr>
        <w:pStyle w:val="tablecaption"/>
      </w:pPr>
      <w:bookmarkStart w:id="29" w:name="_Toc425414789"/>
      <w:r>
        <w:t>Table 2 Approved monitoring programme for the South Alligator Containment Facility</w:t>
      </w:r>
      <w:bookmarkEnd w:id="29"/>
    </w:p>
    <w:p w:rsidR="00CA2B86" w:rsidRDefault="00CA2B86" w:rsidP="00CA2B86">
      <w:pPr>
        <w:autoSpaceDE w:val="0"/>
        <w:autoSpaceDN w:val="0"/>
        <w:adjustRightInd w:val="0"/>
      </w:pPr>
      <w:r w:rsidRPr="008F0656">
        <w:rPr>
          <w:noProof/>
          <w:lang w:eastAsia="en-AU"/>
        </w:rPr>
        <w:drawing>
          <wp:inline distT="0" distB="0" distL="0" distR="0">
            <wp:extent cx="8019481" cy="4992196"/>
            <wp:effectExtent l="19050" t="0" r="56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t="4619"/>
                    <a:stretch>
                      <a:fillRect/>
                    </a:stretch>
                  </pic:blipFill>
                  <pic:spPr bwMode="auto">
                    <a:xfrm>
                      <a:off x="0" y="0"/>
                      <a:ext cx="8021117" cy="4993214"/>
                    </a:xfrm>
                    <a:prstGeom prst="rect">
                      <a:avLst/>
                    </a:prstGeom>
                    <a:noFill/>
                    <a:ln w="9525">
                      <a:noFill/>
                      <a:miter lim="800000"/>
                      <a:headEnd/>
                      <a:tailEnd/>
                    </a:ln>
                  </pic:spPr>
                </pic:pic>
              </a:graphicData>
            </a:graphic>
          </wp:inline>
        </w:drawing>
      </w:r>
    </w:p>
    <w:p w:rsidR="009563B1" w:rsidRDefault="009563B1" w:rsidP="00CA2B86">
      <w:pPr>
        <w:autoSpaceDE w:val="0"/>
        <w:autoSpaceDN w:val="0"/>
        <w:adjustRightInd w:val="0"/>
        <w:sectPr w:rsidR="009563B1" w:rsidSect="009563B1">
          <w:pgSz w:w="16838" w:h="11906" w:orient="landscape" w:code="9"/>
          <w:pgMar w:top="1797" w:right="1440" w:bottom="1797" w:left="1440" w:header="1077" w:footer="833" w:gutter="0"/>
          <w:cols w:space="360"/>
          <w:noEndnote/>
        </w:sectPr>
      </w:pPr>
    </w:p>
    <w:p w:rsidR="00CA2B86" w:rsidRDefault="00790A47" w:rsidP="00CA2B86">
      <w:pPr>
        <w:autoSpaceDE w:val="0"/>
        <w:autoSpaceDN w:val="0"/>
        <w:adjustRightInd w:val="0"/>
        <w:rPr>
          <w:szCs w:val="22"/>
        </w:rPr>
      </w:pPr>
      <w:r w:rsidRPr="00790A47">
        <w:t xml:space="preserve">The </w:t>
      </w:r>
      <w:proofErr w:type="spellStart"/>
      <w:r w:rsidRPr="00790A47">
        <w:rPr>
          <w:b/>
          <w:i/>
        </w:rPr>
        <w:t>eriss</w:t>
      </w:r>
      <w:proofErr w:type="spellEnd"/>
      <w:r w:rsidRPr="00790A47">
        <w:t xml:space="preserve"> Environmental Radioactivity program has measured gamma dose rates and </w:t>
      </w:r>
      <w:r w:rsidRPr="00790A47">
        <w:rPr>
          <w:snapToGrid w:val="0"/>
          <w:color w:val="000000"/>
          <w:position w:val="6"/>
          <w:sz w:val="16"/>
          <w:szCs w:val="0"/>
          <w:u w:color="000000"/>
        </w:rPr>
        <w:t>222</w:t>
      </w:r>
      <w:r w:rsidRPr="00790A47">
        <w:t xml:space="preserve">Rn activity flux densities at the containment site prior to construction and again in 2010 one year after </w:t>
      </w:r>
      <w:r w:rsidR="00022775">
        <w:t>construction</w:t>
      </w:r>
      <w:r w:rsidRPr="00790A47">
        <w:t xml:space="preserve"> (Doering et al 2011). Gamma dose rates and </w:t>
      </w:r>
      <w:r w:rsidRPr="00790A47">
        <w:rPr>
          <w:snapToGrid w:val="0"/>
          <w:color w:val="000000"/>
          <w:position w:val="6"/>
          <w:sz w:val="16"/>
          <w:szCs w:val="0"/>
          <w:u w:color="000000"/>
        </w:rPr>
        <w:t>222</w:t>
      </w:r>
      <w:r w:rsidRPr="00790A47">
        <w:t>Rn activity flux densities were also measured in September 2012 as part of an ongoing (biannual) monitoring program</w:t>
      </w:r>
      <w:r>
        <w:t xml:space="preserve">. </w:t>
      </w:r>
      <w:r w:rsidRPr="00790A47">
        <w:t>The</w:t>
      </w:r>
      <w:r>
        <w:t>se</w:t>
      </w:r>
      <w:r w:rsidRPr="00790A47">
        <w:t xml:space="preserve"> 2012 measurements </w:t>
      </w:r>
      <w:r>
        <w:t>were</w:t>
      </w:r>
      <w:r w:rsidRPr="00790A47">
        <w:t xml:space="preserve"> used to make an assessment of expected maximum annual doses for occupational and public exposure scenarios</w:t>
      </w:r>
      <w:r>
        <w:t xml:space="preserve"> (</w:t>
      </w:r>
      <w:proofErr w:type="spellStart"/>
      <w:proofErr w:type="gramStart"/>
      <w:r>
        <w:t>Bollhöfer</w:t>
      </w:r>
      <w:proofErr w:type="spellEnd"/>
      <w:r>
        <w:t xml:space="preserve">  et</w:t>
      </w:r>
      <w:proofErr w:type="gramEnd"/>
      <w:r>
        <w:t xml:space="preserve"> al 2013). </w:t>
      </w:r>
      <w:r w:rsidR="004928A2" w:rsidRPr="009047AD">
        <w:rPr>
          <w:szCs w:val="22"/>
        </w:rPr>
        <w:t>Because radon exhalation had increased</w:t>
      </w:r>
      <w:r w:rsidR="004928A2">
        <w:rPr>
          <w:szCs w:val="22"/>
        </w:rPr>
        <w:t xml:space="preserve"> between 2010 and 2012</w:t>
      </w:r>
      <w:r w:rsidR="004928A2" w:rsidRPr="009047AD">
        <w:rPr>
          <w:szCs w:val="22"/>
        </w:rPr>
        <w:t xml:space="preserve">, </w:t>
      </w:r>
      <w:r w:rsidR="004928A2">
        <w:rPr>
          <w:szCs w:val="22"/>
        </w:rPr>
        <w:t>a</w:t>
      </w:r>
      <w:r w:rsidR="004928A2" w:rsidRPr="009047AD">
        <w:rPr>
          <w:szCs w:val="22"/>
        </w:rPr>
        <w:t xml:space="preserve"> further set of measurements of radon exhalation</w:t>
      </w:r>
      <w:r w:rsidR="004928A2">
        <w:rPr>
          <w:szCs w:val="22"/>
        </w:rPr>
        <w:t xml:space="preserve"> was taken</w:t>
      </w:r>
      <w:r w:rsidR="004928A2" w:rsidRPr="009047AD">
        <w:rPr>
          <w:szCs w:val="22"/>
        </w:rPr>
        <w:t xml:space="preserve"> </w:t>
      </w:r>
      <w:r w:rsidR="004928A2">
        <w:rPr>
          <w:szCs w:val="22"/>
        </w:rPr>
        <w:t>between</w:t>
      </w:r>
      <w:r w:rsidR="004928A2" w:rsidRPr="009047AD">
        <w:rPr>
          <w:szCs w:val="22"/>
        </w:rPr>
        <w:t xml:space="preserve"> 7</w:t>
      </w:r>
      <w:r w:rsidR="004928A2">
        <w:rPr>
          <w:szCs w:val="22"/>
        </w:rPr>
        <w:t xml:space="preserve"> and </w:t>
      </w:r>
      <w:r w:rsidR="00734841">
        <w:rPr>
          <w:szCs w:val="22"/>
        </w:rPr>
        <w:t>10 October 2013. This was</w:t>
      </w:r>
      <w:r w:rsidR="004928A2" w:rsidRPr="009047AD">
        <w:rPr>
          <w:szCs w:val="22"/>
        </w:rPr>
        <w:t xml:space="preserve"> approximately 3 months after </w:t>
      </w:r>
      <w:r w:rsidR="004928A2" w:rsidRPr="009047AD">
        <w:rPr>
          <w:szCs w:val="22"/>
          <w:lang w:eastAsia="en-AU"/>
        </w:rPr>
        <w:t>vegetation in the middle of the containment was cleared and 1 metre of clean soil placed on top of the existing capping to re-contour the surface and prevent erosion of the capping material at the containment.</w:t>
      </w:r>
      <w:r w:rsidR="004928A2" w:rsidRPr="009047AD">
        <w:rPr>
          <w:szCs w:val="22"/>
        </w:rPr>
        <w:t xml:space="preserve"> Th</w:t>
      </w:r>
      <w:r w:rsidR="00734841">
        <w:rPr>
          <w:szCs w:val="22"/>
        </w:rPr>
        <w:t>e</w:t>
      </w:r>
      <w:r w:rsidR="004928A2" w:rsidRPr="009047AD">
        <w:rPr>
          <w:szCs w:val="22"/>
        </w:rPr>
        <w:t xml:space="preserve"> survey </w:t>
      </w:r>
      <w:r w:rsidR="00734841">
        <w:rPr>
          <w:szCs w:val="22"/>
        </w:rPr>
        <w:t xml:space="preserve">also </w:t>
      </w:r>
      <w:r w:rsidR="004928A2" w:rsidRPr="009047AD">
        <w:rPr>
          <w:szCs w:val="22"/>
        </w:rPr>
        <w:t xml:space="preserve">coincided with an inspection of the containment by </w:t>
      </w:r>
      <w:r w:rsidR="00CA2B86">
        <w:rPr>
          <w:szCs w:val="22"/>
        </w:rPr>
        <w:t xml:space="preserve">an </w:t>
      </w:r>
      <w:r w:rsidR="004928A2" w:rsidRPr="009047AD">
        <w:rPr>
          <w:szCs w:val="22"/>
        </w:rPr>
        <w:t>ARPANSA</w:t>
      </w:r>
      <w:r w:rsidR="00CA2B86">
        <w:rPr>
          <w:szCs w:val="22"/>
        </w:rPr>
        <w:t xml:space="preserve"> officer</w:t>
      </w:r>
      <w:r w:rsidR="004928A2" w:rsidRPr="009047AD">
        <w:rPr>
          <w:szCs w:val="22"/>
        </w:rPr>
        <w:t xml:space="preserve">. </w:t>
      </w:r>
      <w:r w:rsidR="00CA2B86" w:rsidRPr="009047AD">
        <w:rPr>
          <w:szCs w:val="22"/>
        </w:rPr>
        <w:t>Results of th</w:t>
      </w:r>
      <w:r w:rsidR="00CA2B86">
        <w:rPr>
          <w:szCs w:val="22"/>
        </w:rPr>
        <w:t>e</w:t>
      </w:r>
      <w:r w:rsidR="00CA2B86" w:rsidRPr="009047AD">
        <w:rPr>
          <w:szCs w:val="22"/>
        </w:rPr>
        <w:t xml:space="preserve"> 2013 survey </w:t>
      </w:r>
      <w:r w:rsidR="00734841">
        <w:rPr>
          <w:szCs w:val="22"/>
        </w:rPr>
        <w:t>we</w:t>
      </w:r>
      <w:r w:rsidR="00CA2B86" w:rsidRPr="009047AD">
        <w:rPr>
          <w:szCs w:val="22"/>
        </w:rPr>
        <w:t>re published in Supervising Scientist Report 205 (Sup</w:t>
      </w:r>
      <w:r w:rsidR="00CA2B86">
        <w:rPr>
          <w:szCs w:val="22"/>
        </w:rPr>
        <w:t xml:space="preserve">ervising Scientist, </w:t>
      </w:r>
      <w:r w:rsidR="00E401EB">
        <w:rPr>
          <w:szCs w:val="22"/>
        </w:rPr>
        <w:t>201</w:t>
      </w:r>
      <w:r w:rsidR="00D508B6">
        <w:rPr>
          <w:szCs w:val="22"/>
        </w:rPr>
        <w:t>3</w:t>
      </w:r>
      <w:r w:rsidR="00CA2B86">
        <w:rPr>
          <w:szCs w:val="22"/>
        </w:rPr>
        <w:t xml:space="preserve">) and reported in a Minute to the Director of National Parks in May 2014. </w:t>
      </w:r>
    </w:p>
    <w:p w:rsidR="004928A2" w:rsidRDefault="004928A2" w:rsidP="004928A2">
      <w:pPr>
        <w:autoSpaceDE w:val="0"/>
        <w:autoSpaceDN w:val="0"/>
        <w:adjustRightInd w:val="0"/>
        <w:rPr>
          <w:szCs w:val="22"/>
        </w:rPr>
      </w:pPr>
      <w:r>
        <w:rPr>
          <w:szCs w:val="22"/>
        </w:rPr>
        <w:t>T</w:t>
      </w:r>
      <w:r w:rsidRPr="004928A2">
        <w:rPr>
          <w:szCs w:val="22"/>
        </w:rPr>
        <w:t>he measurements taken in 2013 showed that</w:t>
      </w:r>
      <w:r w:rsidR="00CA2B86">
        <w:rPr>
          <w:szCs w:val="22"/>
        </w:rPr>
        <w:t xml:space="preserve"> the </w:t>
      </w:r>
      <w:r w:rsidRPr="004928A2">
        <w:rPr>
          <w:szCs w:val="22"/>
        </w:rPr>
        <w:t>average gamma dose rate measured in 2012 and 2013 (0.13±0.01 µ</w:t>
      </w:r>
      <w:proofErr w:type="spellStart"/>
      <w:r w:rsidRPr="004928A2">
        <w:rPr>
          <w:szCs w:val="22"/>
        </w:rPr>
        <w:t>Gy</w:t>
      </w:r>
      <w:proofErr w:type="spellEnd"/>
      <w:r w:rsidRPr="004928A2">
        <w:rPr>
          <w:szCs w:val="22"/>
        </w:rPr>
        <w:t>/hr) was no different to the baseline gamma dose rate measured in 2007. Consequently, the above baseline gamma dose rate three (2012) and four (2013) years after containment construction was zero.</w:t>
      </w:r>
      <w:r>
        <w:rPr>
          <w:szCs w:val="22"/>
        </w:rPr>
        <w:t xml:space="preserve"> However, t</w:t>
      </w:r>
      <w:r w:rsidRPr="004928A2">
        <w:rPr>
          <w:szCs w:val="22"/>
        </w:rPr>
        <w:t xml:space="preserve">he radon flux from the containment </w:t>
      </w:r>
      <w:r w:rsidR="00B21C36">
        <w:rPr>
          <w:szCs w:val="22"/>
        </w:rPr>
        <w:t xml:space="preserve">measured </w:t>
      </w:r>
      <w:r w:rsidRPr="004928A2">
        <w:rPr>
          <w:szCs w:val="22"/>
        </w:rPr>
        <w:t xml:space="preserve">in 2013 </w:t>
      </w:r>
      <w:r>
        <w:rPr>
          <w:szCs w:val="22"/>
        </w:rPr>
        <w:t>wa</w:t>
      </w:r>
      <w:r w:rsidRPr="004928A2">
        <w:rPr>
          <w:szCs w:val="22"/>
        </w:rPr>
        <w:t>s still higher than the pre-construction radon fluxes measured in the area, but has not increased further compared to the measurements taken in 2012.</w:t>
      </w:r>
    </w:p>
    <w:p w:rsidR="004928A2" w:rsidRDefault="004928A2" w:rsidP="004928A2">
      <w:r>
        <w:t>The report presented here details the results of gamma dose rate and radon flux density measurements conducted in May 2015</w:t>
      </w:r>
      <w:r w:rsidR="00F16081">
        <w:t>,</w:t>
      </w:r>
      <w:r>
        <w:t xml:space="preserve"> within the fenced area of the containment and outside the fence, down</w:t>
      </w:r>
      <w:r w:rsidR="005257B9">
        <w:t xml:space="preserve"> </w:t>
      </w:r>
      <w:r>
        <w:t xml:space="preserve">gradient of the containment. </w:t>
      </w:r>
    </w:p>
    <w:p w:rsidR="00885B0A" w:rsidRPr="00242E91" w:rsidRDefault="00DA654C" w:rsidP="00242E91">
      <w:pPr>
        <w:pStyle w:val="Heading1"/>
      </w:pPr>
      <w:bookmarkStart w:id="30" w:name="_Toc425414054"/>
      <w:proofErr w:type="gramStart"/>
      <w:r w:rsidRPr="00242E91">
        <w:t xml:space="preserve">2  </w:t>
      </w:r>
      <w:r w:rsidR="008A719E" w:rsidRPr="00242E91">
        <w:t>Methods</w:t>
      </w:r>
      <w:bookmarkEnd w:id="30"/>
      <w:proofErr w:type="gramEnd"/>
    </w:p>
    <w:p w:rsidR="00DA412D" w:rsidRDefault="00DA412D" w:rsidP="00DA412D">
      <w:pPr>
        <w:pStyle w:val="Heading2"/>
      </w:pPr>
      <w:bookmarkStart w:id="31" w:name="_Toc425414055"/>
      <w:bookmarkStart w:id="32" w:name="_Toc355856002"/>
      <w:r>
        <w:t>2.1 Geospatial coordinates</w:t>
      </w:r>
      <w:bookmarkEnd w:id="31"/>
    </w:p>
    <w:p w:rsidR="00DA412D" w:rsidRPr="00DA412D" w:rsidRDefault="00C01B7C" w:rsidP="00DA412D">
      <w:r w:rsidRPr="00C01B7C">
        <w:t xml:space="preserve">Site locations were recorded as projected coordinates (easting and </w:t>
      </w:r>
      <w:proofErr w:type="spellStart"/>
      <w:r w:rsidRPr="00C01B7C">
        <w:t>northings</w:t>
      </w:r>
      <w:proofErr w:type="spellEnd"/>
      <w:r w:rsidRPr="00C01B7C">
        <w:t>) based on the WGS84 standard, using a hand-held global positioning system (GPS) device. The site coordinates project into Universal Transverse Mercator (UTM) zone 53S</w:t>
      </w:r>
      <w:r w:rsidR="00EF112A">
        <w:t xml:space="preserve">. </w:t>
      </w:r>
    </w:p>
    <w:p w:rsidR="00022775" w:rsidRPr="00DA412D" w:rsidRDefault="00022775" w:rsidP="00DA412D">
      <w:pPr>
        <w:pStyle w:val="Heading2"/>
        <w:rPr>
          <w:szCs w:val="28"/>
        </w:rPr>
      </w:pPr>
      <w:bookmarkStart w:id="33" w:name="_Toc425414056"/>
      <w:r w:rsidRPr="00DA412D">
        <w:rPr>
          <w:szCs w:val="28"/>
        </w:rPr>
        <w:t>2.</w:t>
      </w:r>
      <w:r w:rsidR="00DA412D" w:rsidRPr="00DA412D">
        <w:rPr>
          <w:szCs w:val="28"/>
        </w:rPr>
        <w:t>2</w:t>
      </w:r>
      <w:r w:rsidRPr="00DA412D">
        <w:rPr>
          <w:szCs w:val="28"/>
        </w:rPr>
        <w:t xml:space="preserve"> External gamma radiation measurements</w:t>
      </w:r>
      <w:bookmarkEnd w:id="32"/>
      <w:bookmarkEnd w:id="33"/>
    </w:p>
    <w:p w:rsidR="00B21C36" w:rsidRDefault="00022775" w:rsidP="00022775">
      <w:r>
        <w:t>A gamma survey was conducted at the containment on 22 May 2015 using</w:t>
      </w:r>
      <w:r w:rsidR="00814C80">
        <w:t xml:space="preserve"> a</w:t>
      </w:r>
      <w:r>
        <w:t xml:space="preserve"> compensated Geiger </w:t>
      </w:r>
      <w:proofErr w:type="spellStart"/>
      <w:r>
        <w:t>Müller</w:t>
      </w:r>
      <w:proofErr w:type="spellEnd"/>
      <w:r>
        <w:t xml:space="preserve"> (GM) tube</w:t>
      </w:r>
      <w:r w:rsidR="0002353F">
        <w:t xml:space="preserve"> (Mini Instrument MC70) conn</w:t>
      </w:r>
      <w:r w:rsidR="00552F88">
        <w:t>e</w:t>
      </w:r>
      <w:r w:rsidR="0002353F">
        <w:t>ct</w:t>
      </w:r>
      <w:r w:rsidR="00552F88">
        <w:t>e</w:t>
      </w:r>
      <w:r w:rsidR="0002353F">
        <w:t xml:space="preserve">d to a Thermo Scientific </w:t>
      </w:r>
      <w:proofErr w:type="spellStart"/>
      <w:r w:rsidR="0002353F">
        <w:t>RadEye</w:t>
      </w:r>
      <w:proofErr w:type="spellEnd"/>
      <w:r w:rsidR="0002353F">
        <w:t xml:space="preserve"> GX gauge</w:t>
      </w:r>
      <w:r>
        <w:t xml:space="preserve">. </w:t>
      </w:r>
    </w:p>
    <w:p w:rsidR="00022775" w:rsidRDefault="00022775" w:rsidP="00022775">
      <w:r>
        <w:t xml:space="preserve">Measurements were made of the total counts per </w:t>
      </w:r>
      <w:r w:rsidR="00814C80">
        <w:t>60</w:t>
      </w:r>
      <w:r>
        <w:t xml:space="preserve"> s in air at a height of 1 m above the ground surface. A total of </w:t>
      </w:r>
      <w:r w:rsidR="00814C80">
        <w:t>45</w:t>
      </w:r>
      <w:r>
        <w:t xml:space="preserve"> measurements were made: </w:t>
      </w:r>
      <w:r w:rsidR="00814C80">
        <w:t>40</w:t>
      </w:r>
      <w:r>
        <w:t xml:space="preserve"> within the fenced area of the containment</w:t>
      </w:r>
      <w:r w:rsidR="00814C80">
        <w:t xml:space="preserve"> (of which 30 points were on top of the buried waste) and</w:t>
      </w:r>
      <w:r>
        <w:t xml:space="preserve"> </w:t>
      </w:r>
      <w:r w:rsidR="00814C80">
        <w:t>5</w:t>
      </w:r>
      <w:r>
        <w:t xml:space="preserve"> south of the fenced area</w:t>
      </w:r>
      <w:r w:rsidR="00814C80">
        <w:t xml:space="preserve"> outside the containment facility</w:t>
      </w:r>
      <w:r>
        <w:t>.</w:t>
      </w:r>
      <w:r w:rsidR="0002353F">
        <w:t xml:space="preserve"> </w:t>
      </w:r>
      <w:r w:rsidR="00814C80">
        <w:t>T</w:t>
      </w:r>
      <w:r>
        <w:t>he</w:t>
      </w:r>
      <w:r w:rsidR="0002353F">
        <w:t xml:space="preserve"> gamma dose rate</w:t>
      </w:r>
      <w:r>
        <w:t xml:space="preserve"> monitor was calibrated in </w:t>
      </w:r>
      <w:r w:rsidR="0002353F">
        <w:t>January</w:t>
      </w:r>
      <w:r>
        <w:t xml:space="preserve"> 201</w:t>
      </w:r>
      <w:r w:rsidR="0002353F">
        <w:t>5,</w:t>
      </w:r>
      <w:r>
        <w:t xml:space="preserve"> </w:t>
      </w:r>
      <w:r w:rsidR="0002353F">
        <w:t>t</w:t>
      </w:r>
      <w:r>
        <w:t>he calibration certificate for this monitor is shown in Figure A1 in Appendix 1.</w:t>
      </w:r>
      <w:r w:rsidR="00552F88">
        <w:t xml:space="preserve"> Table A1 </w:t>
      </w:r>
      <w:r w:rsidR="00B21C36">
        <w:t xml:space="preserve">in the Appendix </w:t>
      </w:r>
      <w:r w:rsidR="00552F88">
        <w:t>shows the results of the gamma dose rate measurements.</w:t>
      </w:r>
      <w:r>
        <w:t xml:space="preserve"> </w:t>
      </w:r>
    </w:p>
    <w:p w:rsidR="00022775" w:rsidRPr="00DA412D" w:rsidRDefault="00022775" w:rsidP="00DA412D">
      <w:pPr>
        <w:pStyle w:val="Heading2"/>
      </w:pPr>
      <w:bookmarkStart w:id="34" w:name="_Toc355856003"/>
      <w:bookmarkStart w:id="35" w:name="_Toc425414057"/>
      <w:r w:rsidRPr="00DA412D">
        <w:t>2.</w:t>
      </w:r>
      <w:r w:rsidR="00DA412D" w:rsidRPr="00DA412D">
        <w:t>3</w:t>
      </w:r>
      <w:r w:rsidRPr="00DA412D">
        <w:t xml:space="preserve"> </w:t>
      </w:r>
      <w:r w:rsidRPr="00DA412D">
        <w:rPr>
          <w:snapToGrid w:val="0"/>
          <w:color w:val="000000"/>
          <w:position w:val="7"/>
          <w:sz w:val="19"/>
          <w:szCs w:val="0"/>
          <w:u w:color="000000"/>
        </w:rPr>
        <w:t>222</w:t>
      </w:r>
      <w:r w:rsidRPr="00DA412D">
        <w:rPr>
          <w:szCs w:val="22"/>
        </w:rPr>
        <w:t xml:space="preserve">Rn activity </w:t>
      </w:r>
      <w:r w:rsidRPr="00DA412D">
        <w:t>flux density measurements</w:t>
      </w:r>
      <w:bookmarkEnd w:id="34"/>
      <w:bookmarkEnd w:id="35"/>
    </w:p>
    <w:p w:rsidR="00022775" w:rsidRDefault="00022775" w:rsidP="00022775">
      <w:r w:rsidRPr="00AE026C">
        <w:rPr>
          <w:snapToGrid w:val="0"/>
          <w:color w:val="000000"/>
          <w:position w:val="5"/>
          <w:sz w:val="15"/>
          <w:szCs w:val="0"/>
          <w:u w:color="000000"/>
        </w:rPr>
        <w:t>222</w:t>
      </w:r>
      <w:proofErr w:type="spellStart"/>
      <w:r>
        <w:rPr>
          <w:szCs w:val="22"/>
        </w:rPr>
        <w:t>Rn</w:t>
      </w:r>
      <w:proofErr w:type="spellEnd"/>
      <w:r w:rsidRPr="00C31787">
        <w:rPr>
          <w:szCs w:val="22"/>
        </w:rPr>
        <w:t xml:space="preserve"> </w:t>
      </w:r>
      <w:r>
        <w:t xml:space="preserve">activity flux density measurements at the containment were made over the period </w:t>
      </w:r>
      <w:r w:rsidR="0002353F">
        <w:t>22-26 May 2015</w:t>
      </w:r>
      <w:r>
        <w:t xml:space="preserve">. The prevailing meteorological conditions over the measurement period were typical of the tropical </w:t>
      </w:r>
      <w:smartTag w:uri="urn:schemas-microsoft-com:office:smarttags" w:element="place">
        <w:smartTag w:uri="urn:schemas-microsoft-com:office:smarttags" w:element="State">
          <w:r>
            <w:t>Northern Territory</w:t>
          </w:r>
        </w:smartTag>
      </w:smartTag>
      <w:r>
        <w:t xml:space="preserve"> dry season, with maximum daytime temperatures </w:t>
      </w:r>
      <w:r w:rsidR="00B21C36">
        <w:t>around</w:t>
      </w:r>
      <w:r>
        <w:t xml:space="preserve"> 30°C and zero rainfall.</w:t>
      </w:r>
    </w:p>
    <w:p w:rsidR="00022775" w:rsidRDefault="00022775" w:rsidP="00022775">
      <w:r>
        <w:t xml:space="preserve">Brass canisters containing activated charcoal to entrap radon emanating from the ground surface were used for the field sampling of </w:t>
      </w:r>
      <w:r w:rsidRPr="00AE026C">
        <w:rPr>
          <w:snapToGrid w:val="0"/>
          <w:color w:val="000000"/>
          <w:position w:val="5"/>
          <w:sz w:val="15"/>
          <w:szCs w:val="0"/>
          <w:u w:color="000000"/>
        </w:rPr>
        <w:t>222</w:t>
      </w:r>
      <w:proofErr w:type="spellStart"/>
      <w:r>
        <w:rPr>
          <w:szCs w:val="22"/>
        </w:rPr>
        <w:t>Rn</w:t>
      </w:r>
      <w:proofErr w:type="spellEnd"/>
      <w:r>
        <w:t>.</w:t>
      </w:r>
      <w:r w:rsidRPr="006853AD">
        <w:t xml:space="preserve"> </w:t>
      </w:r>
      <w:r w:rsidR="005257B9">
        <w:t>Forty</w:t>
      </w:r>
      <w:r>
        <w:t xml:space="preserve"> </w:t>
      </w:r>
      <w:r w:rsidR="00B776D2">
        <w:t>five</w:t>
      </w:r>
      <w:r>
        <w:t xml:space="preserve"> canisters were deployed on and around the containment. The canisters were embedded in the ground surface to a depth of approximately 1 cm in order to ensure a good seal and prevent leakage of radon from the canister to the atmosphere. Three additional canisters were carried into the field but remained sealed at all times. These canisters were ‘controls’ and used to determine the background activity of </w:t>
      </w:r>
      <w:r w:rsidRPr="00AE026C">
        <w:rPr>
          <w:snapToGrid w:val="0"/>
          <w:color w:val="000000"/>
          <w:position w:val="5"/>
          <w:sz w:val="15"/>
          <w:szCs w:val="0"/>
          <w:u w:color="000000"/>
        </w:rPr>
        <w:t>222</w:t>
      </w:r>
      <w:proofErr w:type="spellStart"/>
      <w:r>
        <w:rPr>
          <w:szCs w:val="22"/>
        </w:rPr>
        <w:t>Rn</w:t>
      </w:r>
      <w:proofErr w:type="spellEnd"/>
      <w:r>
        <w:t xml:space="preserve"> collected on the charcoal.</w:t>
      </w:r>
    </w:p>
    <w:p w:rsidR="00022775" w:rsidRDefault="00022775" w:rsidP="00022775">
      <w:r>
        <w:t xml:space="preserve">The </w:t>
      </w:r>
      <w:r w:rsidRPr="001844DE">
        <w:rPr>
          <w:snapToGrid w:val="0"/>
          <w:color w:val="000000"/>
          <w:position w:val="5"/>
          <w:sz w:val="15"/>
          <w:szCs w:val="0"/>
          <w:u w:color="000000"/>
        </w:rPr>
        <w:t>222</w:t>
      </w:r>
      <w:proofErr w:type="spellStart"/>
      <w:r>
        <w:t>Rn</w:t>
      </w:r>
      <w:proofErr w:type="spellEnd"/>
      <w:r>
        <w:t xml:space="preserve"> activity flux density was calculated from the measured </w:t>
      </w:r>
      <w:r w:rsidRPr="001844DE">
        <w:rPr>
          <w:snapToGrid w:val="0"/>
          <w:color w:val="000000"/>
          <w:position w:val="5"/>
          <w:sz w:val="15"/>
          <w:szCs w:val="0"/>
          <w:u w:color="000000"/>
        </w:rPr>
        <w:t>222</w:t>
      </w:r>
      <w:proofErr w:type="spellStart"/>
      <w:r>
        <w:t>Rn</w:t>
      </w:r>
      <w:proofErr w:type="spellEnd"/>
      <w:r>
        <w:t xml:space="preserve"> progeny activity in the canisters according to the method described in Doering et al (2011) and </w:t>
      </w:r>
      <w:proofErr w:type="spellStart"/>
      <w:r>
        <w:t>Spehr</w:t>
      </w:r>
      <w:proofErr w:type="spellEnd"/>
      <w:r>
        <w:t xml:space="preserve"> &amp; Johnston (1983). The </w:t>
      </w:r>
      <w:r w:rsidRPr="00AE026C">
        <w:rPr>
          <w:snapToGrid w:val="0"/>
          <w:color w:val="000000"/>
          <w:position w:val="5"/>
          <w:sz w:val="15"/>
          <w:szCs w:val="0"/>
          <w:u w:color="000000"/>
        </w:rPr>
        <w:t>222</w:t>
      </w:r>
      <w:proofErr w:type="spellStart"/>
      <w:r>
        <w:rPr>
          <w:szCs w:val="22"/>
        </w:rPr>
        <w:t>Rn</w:t>
      </w:r>
      <w:proofErr w:type="spellEnd"/>
      <w:r>
        <w:t xml:space="preserve"> progeny activity in each canister was counted for ten minutes using a sodium iodide detector and the resulting energy spectrum displayed on a multi-channel analyser. Regions of interest were established around the characteristic </w:t>
      </w:r>
      <w:proofErr w:type="spellStart"/>
      <w:r>
        <w:t>photopeaks</w:t>
      </w:r>
      <w:proofErr w:type="spellEnd"/>
      <w:r>
        <w:t xml:space="preserve"> of lead-214 (242 </w:t>
      </w:r>
      <w:proofErr w:type="spellStart"/>
      <w:r>
        <w:t>keV</w:t>
      </w:r>
      <w:proofErr w:type="spellEnd"/>
      <w:r>
        <w:t xml:space="preserve">, 295 </w:t>
      </w:r>
      <w:proofErr w:type="spellStart"/>
      <w:r>
        <w:t>keV</w:t>
      </w:r>
      <w:proofErr w:type="spellEnd"/>
      <w:r>
        <w:t xml:space="preserve"> and 352 </w:t>
      </w:r>
      <w:proofErr w:type="spellStart"/>
      <w:r>
        <w:t>keV</w:t>
      </w:r>
      <w:proofErr w:type="spellEnd"/>
      <w:r>
        <w:t xml:space="preserve">) and bismuth-214 (609 </w:t>
      </w:r>
      <w:proofErr w:type="spellStart"/>
      <w:r>
        <w:t>keV</w:t>
      </w:r>
      <w:proofErr w:type="spellEnd"/>
      <w:r>
        <w:t xml:space="preserve">) from which the net count rate was determined by summing the total counts under each peak for the individual field samples and then subtracting the mean sum of the counts under the corresponding regions of interest in the control canisters’ spectra. The efficiency of the detector for </w:t>
      </w:r>
      <w:r w:rsidRPr="00AE026C">
        <w:rPr>
          <w:snapToGrid w:val="0"/>
          <w:color w:val="000000"/>
          <w:position w:val="5"/>
          <w:sz w:val="15"/>
          <w:szCs w:val="0"/>
          <w:u w:color="000000"/>
        </w:rPr>
        <w:t>222</w:t>
      </w:r>
      <w:proofErr w:type="spellStart"/>
      <w:r>
        <w:rPr>
          <w:szCs w:val="22"/>
        </w:rPr>
        <w:t>Rn</w:t>
      </w:r>
      <w:proofErr w:type="spellEnd"/>
      <w:r>
        <w:t xml:space="preserve"> progeny counting via this method </w:t>
      </w:r>
      <w:r w:rsidR="00BE25C0">
        <w:t>was</w:t>
      </w:r>
      <w:r>
        <w:t xml:space="preserve"> </w:t>
      </w:r>
      <w:r w:rsidR="00BE25C0">
        <w:t>9.6%</w:t>
      </w:r>
      <w:r>
        <w:t>.</w:t>
      </w:r>
      <w:r w:rsidR="002760F9">
        <w:t xml:space="preserve"> Table A1 </w:t>
      </w:r>
      <w:r w:rsidR="00B21C36">
        <w:t xml:space="preserve">in the Appendix </w:t>
      </w:r>
      <w:r w:rsidR="002760F9">
        <w:t xml:space="preserve">shows the results of the </w:t>
      </w:r>
      <w:r w:rsidR="002760F9" w:rsidRPr="001844DE">
        <w:rPr>
          <w:snapToGrid w:val="0"/>
          <w:color w:val="000000"/>
          <w:position w:val="5"/>
          <w:sz w:val="15"/>
          <w:szCs w:val="0"/>
          <w:u w:color="000000"/>
        </w:rPr>
        <w:t>222</w:t>
      </w:r>
      <w:proofErr w:type="spellStart"/>
      <w:r w:rsidR="002760F9">
        <w:t>Rn</w:t>
      </w:r>
      <w:proofErr w:type="spellEnd"/>
      <w:r w:rsidR="002760F9">
        <w:t xml:space="preserve"> activity flux density measurements.</w:t>
      </w:r>
    </w:p>
    <w:p w:rsidR="008A719E" w:rsidRPr="00242E91" w:rsidRDefault="00DA654C" w:rsidP="00242E91">
      <w:pPr>
        <w:pStyle w:val="Heading1"/>
      </w:pPr>
      <w:bookmarkStart w:id="36" w:name="_Toc425414058"/>
      <w:proofErr w:type="gramStart"/>
      <w:r w:rsidRPr="00242E91">
        <w:t xml:space="preserve">3  </w:t>
      </w:r>
      <w:r w:rsidR="008A719E" w:rsidRPr="00242E91">
        <w:t>Results</w:t>
      </w:r>
      <w:bookmarkEnd w:id="36"/>
      <w:proofErr w:type="gramEnd"/>
      <w:r w:rsidR="008A719E" w:rsidRPr="00242E91">
        <w:t xml:space="preserve"> </w:t>
      </w:r>
    </w:p>
    <w:p w:rsidR="00BE25C0" w:rsidRPr="000A3861" w:rsidRDefault="00BE25C0" w:rsidP="00242E91">
      <w:pPr>
        <w:pStyle w:val="Heading2"/>
      </w:pPr>
      <w:bookmarkStart w:id="37" w:name="_Toc355856006"/>
      <w:bookmarkStart w:id="38" w:name="_Toc425414059"/>
      <w:r>
        <w:t>3.</w:t>
      </w:r>
      <w:r w:rsidR="00DA412D">
        <w:t>1</w:t>
      </w:r>
      <w:r>
        <w:t xml:space="preserve"> </w:t>
      </w:r>
      <w:r w:rsidRPr="000A3861">
        <w:t>External gamma radiation</w:t>
      </w:r>
      <w:bookmarkEnd w:id="37"/>
      <w:bookmarkEnd w:id="38"/>
    </w:p>
    <w:p w:rsidR="00BE25C0" w:rsidRDefault="00BE25C0" w:rsidP="00BE25C0">
      <w:r>
        <w:t>Figure 1 shows the location and magnitude of the baseline (left) and 2015 (right) gamma dose rate measurements at the containment site overlaid on an aerial photograph of the area from March 2007. The outer white rectangle indicates the approximate location of the boundary fence around the containment. The inner rectangle shows the approximate location of the containment and buried waste.</w:t>
      </w:r>
    </w:p>
    <w:tbl>
      <w:tblPr>
        <w:tblStyle w:val="TableGrid"/>
        <w:tblW w:w="8746" w:type="dxa"/>
        <w:tblLook w:val="04A0"/>
      </w:tblPr>
      <w:tblGrid>
        <w:gridCol w:w="4390"/>
        <w:gridCol w:w="4356"/>
      </w:tblGrid>
      <w:tr w:rsidR="00B21C36" w:rsidTr="0012025C">
        <w:tc>
          <w:tcPr>
            <w:tcW w:w="4390" w:type="dxa"/>
          </w:tcPr>
          <w:p w:rsidR="00B21C36" w:rsidRDefault="00B21C36" w:rsidP="0012025C">
            <w:pPr>
              <w:jc w:val="right"/>
            </w:pPr>
            <w:r>
              <w:rPr>
                <w:noProof/>
                <w:lang w:eastAsia="en-AU"/>
              </w:rPr>
              <w:drawing>
                <wp:inline distT="0" distB="0" distL="0" distR="0">
                  <wp:extent cx="2631164" cy="2114101"/>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l="7384" t="4921" r="6641" b="5726"/>
                          <a:stretch>
                            <a:fillRect/>
                          </a:stretch>
                        </pic:blipFill>
                        <pic:spPr bwMode="auto">
                          <a:xfrm>
                            <a:off x="0" y="0"/>
                            <a:ext cx="2631164" cy="2114101"/>
                          </a:xfrm>
                          <a:prstGeom prst="rect">
                            <a:avLst/>
                          </a:prstGeom>
                          <a:noFill/>
                        </pic:spPr>
                      </pic:pic>
                    </a:graphicData>
                  </a:graphic>
                </wp:inline>
              </w:drawing>
            </w:r>
          </w:p>
        </w:tc>
        <w:tc>
          <w:tcPr>
            <w:tcW w:w="4356" w:type="dxa"/>
          </w:tcPr>
          <w:p w:rsidR="00B21C36" w:rsidRDefault="00B21C36" w:rsidP="0012025C">
            <w:pPr>
              <w:jc w:val="left"/>
            </w:pPr>
            <w:r>
              <w:rPr>
                <w:noProof/>
                <w:lang w:eastAsia="en-AU"/>
              </w:rPr>
              <w:drawing>
                <wp:inline distT="0" distB="0" distL="0" distR="0">
                  <wp:extent cx="2607421" cy="2115047"/>
                  <wp:effectExtent l="19050" t="0" r="2429"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l="7030" t="2642" r="13395" b="5970"/>
                          <a:stretch>
                            <a:fillRect/>
                          </a:stretch>
                        </pic:blipFill>
                        <pic:spPr bwMode="auto">
                          <a:xfrm>
                            <a:off x="0" y="0"/>
                            <a:ext cx="2607421" cy="2115047"/>
                          </a:xfrm>
                          <a:prstGeom prst="rect">
                            <a:avLst/>
                          </a:prstGeom>
                          <a:noFill/>
                          <a:ln w="9525">
                            <a:noFill/>
                            <a:miter lim="800000"/>
                            <a:headEnd/>
                            <a:tailEnd/>
                          </a:ln>
                        </pic:spPr>
                      </pic:pic>
                    </a:graphicData>
                  </a:graphic>
                </wp:inline>
              </w:drawing>
            </w:r>
          </w:p>
        </w:tc>
      </w:tr>
    </w:tbl>
    <w:p w:rsidR="00B21C36" w:rsidRDefault="00B21C36" w:rsidP="00B21C36">
      <w:pPr>
        <w:pStyle w:val="figurecaption"/>
        <w:tabs>
          <w:tab w:val="left" w:pos="5387"/>
        </w:tabs>
      </w:pPr>
      <w:bookmarkStart w:id="39" w:name="_Toc355794764"/>
      <w:bookmarkStart w:id="40" w:name="_Toc425414719"/>
      <w:r>
        <w:t>Figure 1 2007 (baseline) and 2015 external gamma dose rates [</w:t>
      </w:r>
      <w:r>
        <w:rPr>
          <w:rFonts w:cs="Arial"/>
        </w:rPr>
        <w:t>µ</w:t>
      </w:r>
      <w:proofErr w:type="spellStart"/>
      <w:r>
        <w:t>Gy</w:t>
      </w:r>
      <w:r>
        <w:rPr>
          <w:rFonts w:ascii="Times New Roman" w:hAnsi="Times New Roman"/>
        </w:rPr>
        <w:t>∙</w:t>
      </w:r>
      <w:r>
        <w:t>hr</w:t>
      </w:r>
      <w:proofErr w:type="spellEnd"/>
      <w:r w:rsidRPr="00A727A7">
        <w:rPr>
          <w:snapToGrid w:val="0"/>
          <w:color w:val="000000"/>
          <w:position w:val="4"/>
          <w:sz w:val="12"/>
          <w:szCs w:val="0"/>
          <w:u w:color="000000"/>
        </w:rPr>
        <w:t>-1</w:t>
      </w:r>
      <w:r>
        <w:t>] measured at the South Alligator Containment Facility.</w:t>
      </w:r>
      <w:bookmarkEnd w:id="39"/>
      <w:bookmarkEnd w:id="40"/>
    </w:p>
    <w:p w:rsidR="002F1994" w:rsidRDefault="002F1994" w:rsidP="002F1994">
      <w:r>
        <w:t>It has been shown that the</w:t>
      </w:r>
      <w:r w:rsidR="006244DC">
        <w:t xml:space="preserve"> 2007</w:t>
      </w:r>
      <w:r>
        <w:t xml:space="preserve"> baseline gamma dose rate measurements were normally distributed, with an average value inside the fenced area </w:t>
      </w:r>
      <w:proofErr w:type="gramStart"/>
      <w:r>
        <w:t xml:space="preserve">of 0.13 </w:t>
      </w:r>
      <w:r>
        <w:rPr>
          <w:rFonts w:cs="Arial"/>
        </w:rPr>
        <w:t>µ</w:t>
      </w:r>
      <w:proofErr w:type="spellStart"/>
      <w:r>
        <w:t>Gy∙hr</w:t>
      </w:r>
      <w:proofErr w:type="spellEnd"/>
      <w:r w:rsidRPr="00481B1F">
        <w:rPr>
          <w:snapToGrid w:val="0"/>
          <w:color w:val="000000"/>
          <w:position w:val="4"/>
          <w:sz w:val="15"/>
          <w:szCs w:val="15"/>
          <w:u w:color="000000"/>
        </w:rPr>
        <w:t>-1</w:t>
      </w:r>
      <w:r>
        <w:t xml:space="preserve"> (</w:t>
      </w:r>
      <w:proofErr w:type="spellStart"/>
      <w:r>
        <w:t>Bollhöfer</w:t>
      </w:r>
      <w:proofErr w:type="spellEnd"/>
      <w:r>
        <w:t xml:space="preserve"> et al 2009)</w:t>
      </w:r>
      <w:proofErr w:type="gramEnd"/>
      <w:r>
        <w:t xml:space="preserve">. The data measured in 2015 </w:t>
      </w:r>
      <w:r w:rsidR="00B776D2">
        <w:t xml:space="preserve">within the fenced area </w:t>
      </w:r>
      <w:r w:rsidR="00115E0D">
        <w:t xml:space="preserve">also </w:t>
      </w:r>
      <w:r>
        <w:t>fit a normal distribution and a histogram of the measured gamma dose rates is shown in Figure 2. Within uncertainties,</w:t>
      </w:r>
      <w:r w:rsidR="00B21C36">
        <w:t xml:space="preserve"> </w:t>
      </w:r>
      <w:r>
        <w:t>gamma dose rates measured in 2007 and in 2015</w:t>
      </w:r>
      <w:r w:rsidR="009829A4">
        <w:t xml:space="preserve"> (0.124±0.012 </w:t>
      </w:r>
      <w:r w:rsidR="009829A4">
        <w:rPr>
          <w:rFonts w:cs="Arial"/>
        </w:rPr>
        <w:t>µ</w:t>
      </w:r>
      <w:proofErr w:type="spellStart"/>
      <w:r w:rsidR="009829A4">
        <w:t>Gy∙hr</w:t>
      </w:r>
      <w:proofErr w:type="spellEnd"/>
      <w:r w:rsidR="009829A4" w:rsidRPr="00481B1F">
        <w:rPr>
          <w:snapToGrid w:val="0"/>
          <w:color w:val="000000"/>
          <w:position w:val="4"/>
          <w:sz w:val="15"/>
          <w:szCs w:val="15"/>
          <w:u w:color="000000"/>
        </w:rPr>
        <w:t>-1</w:t>
      </w:r>
      <w:r w:rsidR="009829A4">
        <w:t>)</w:t>
      </w:r>
      <w:r>
        <w:t xml:space="preserve"> are the same, and there has been no increase</w:t>
      </w:r>
      <w:r w:rsidR="009829A4">
        <w:t xml:space="preserve"> in the measured gamma dose rates within the fenced area of the containment</w:t>
      </w:r>
      <w:r>
        <w:t xml:space="preserve"> over the years (see also </w:t>
      </w:r>
      <w:proofErr w:type="spellStart"/>
      <w:r>
        <w:t>Bollhöfer</w:t>
      </w:r>
      <w:proofErr w:type="spellEnd"/>
      <w:r>
        <w:t xml:space="preserve"> et al 201</w:t>
      </w:r>
      <w:r w:rsidR="00B21C36">
        <w:t>3</w:t>
      </w:r>
      <w:r>
        <w:t>).</w:t>
      </w:r>
    </w:p>
    <w:p w:rsidR="00BE25C0" w:rsidRDefault="00333005" w:rsidP="00333005">
      <w:pPr>
        <w:tabs>
          <w:tab w:val="left" w:pos="1340"/>
        </w:tabs>
      </w:pPr>
      <w:r>
        <w:tab/>
      </w:r>
      <w:r w:rsidR="002F1994" w:rsidRPr="002F1994">
        <w:rPr>
          <w:noProof/>
          <w:lang w:eastAsia="en-AU"/>
        </w:rPr>
        <w:drawing>
          <wp:inline distT="0" distB="0" distL="0" distR="0">
            <wp:extent cx="2692997" cy="218154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2654" t="5204" r="23810" b="5562"/>
                    <a:stretch>
                      <a:fillRect/>
                    </a:stretch>
                  </pic:blipFill>
                  <pic:spPr bwMode="auto">
                    <a:xfrm>
                      <a:off x="0" y="0"/>
                      <a:ext cx="2692997" cy="2181549"/>
                    </a:xfrm>
                    <a:prstGeom prst="rect">
                      <a:avLst/>
                    </a:prstGeom>
                    <a:noFill/>
                    <a:ln w="9525">
                      <a:noFill/>
                      <a:miter lim="800000"/>
                      <a:headEnd/>
                      <a:tailEnd/>
                    </a:ln>
                  </pic:spPr>
                </pic:pic>
              </a:graphicData>
            </a:graphic>
          </wp:inline>
        </w:drawing>
      </w:r>
    </w:p>
    <w:p w:rsidR="002F1994" w:rsidRPr="00BE25C0" w:rsidRDefault="002F1994" w:rsidP="002F1994">
      <w:pPr>
        <w:pStyle w:val="figurecaption"/>
      </w:pPr>
      <w:bookmarkStart w:id="41" w:name="_Toc425414720"/>
      <w:r>
        <w:t>Figure 2 Histogram of gamma dose rates [µ</w:t>
      </w:r>
      <w:proofErr w:type="spellStart"/>
      <w:r>
        <w:t>Gy</w:t>
      </w:r>
      <w:proofErr w:type="spellEnd"/>
      <w:r>
        <w:t xml:space="preserve"> hr</w:t>
      </w:r>
      <w:r w:rsidRPr="002F1994">
        <w:rPr>
          <w:snapToGrid w:val="0"/>
          <w:color w:val="000000"/>
          <w:position w:val="6"/>
          <w:sz w:val="16"/>
          <w:szCs w:val="0"/>
          <w:u w:color="000000"/>
        </w:rPr>
        <w:t>-1</w:t>
      </w:r>
      <w:r>
        <w:t xml:space="preserve">] measured within the fenced area of the </w:t>
      </w:r>
      <w:r w:rsidR="002B2226">
        <w:t xml:space="preserve">South Alligator Containment Facility </w:t>
      </w:r>
      <w:r>
        <w:t>in May 2015.</w:t>
      </w:r>
      <w:bookmarkEnd w:id="41"/>
    </w:p>
    <w:p w:rsidR="002F1994" w:rsidRDefault="003916AC" w:rsidP="00242E91">
      <w:pPr>
        <w:pStyle w:val="Heading2"/>
      </w:pPr>
      <w:bookmarkStart w:id="42" w:name="_Toc355856007"/>
      <w:bookmarkStart w:id="43" w:name="_Toc425414060"/>
      <w:r>
        <w:t xml:space="preserve">3.2 </w:t>
      </w:r>
      <w:r w:rsidRPr="003916AC">
        <w:rPr>
          <w:snapToGrid w:val="0"/>
          <w:color w:val="000000"/>
          <w:position w:val="7"/>
          <w:sz w:val="19"/>
          <w:szCs w:val="0"/>
          <w:u w:color="000000"/>
        </w:rPr>
        <w:t>222</w:t>
      </w:r>
      <w:r>
        <w:t xml:space="preserve">Rn </w:t>
      </w:r>
      <w:r w:rsidR="002F1994">
        <w:rPr>
          <w:szCs w:val="22"/>
        </w:rPr>
        <w:t>activity</w:t>
      </w:r>
      <w:r w:rsidR="002F1994">
        <w:t xml:space="preserve"> flux densities</w:t>
      </w:r>
      <w:bookmarkEnd w:id="42"/>
      <w:bookmarkEnd w:id="43"/>
    </w:p>
    <w:p w:rsidR="002F1994" w:rsidRDefault="004A2711" w:rsidP="002F1994">
      <w:r>
        <w:t xml:space="preserve">Figure 3 shows the location and magnitude of post-construction </w:t>
      </w:r>
      <w:r w:rsidRPr="00AE026C">
        <w:rPr>
          <w:snapToGrid w:val="0"/>
          <w:color w:val="000000"/>
          <w:position w:val="5"/>
          <w:sz w:val="15"/>
          <w:szCs w:val="0"/>
          <w:u w:color="000000"/>
        </w:rPr>
        <w:t>222</w:t>
      </w:r>
      <w:proofErr w:type="spellStart"/>
      <w:r>
        <w:rPr>
          <w:szCs w:val="22"/>
        </w:rPr>
        <w:t>Rn</w:t>
      </w:r>
      <w:proofErr w:type="spellEnd"/>
      <w:r>
        <w:t xml:space="preserve"> activity flux density measurements conducted in 2010 (left) (Doering et al 2011) and in 2015 (right) at the containment</w:t>
      </w:r>
      <w:r w:rsidR="00115E0D">
        <w:t>,</w:t>
      </w:r>
      <w:r>
        <w:t xml:space="preserve"> overlaid on an aerial photograph of the area from March 2007. The outer white rectangle indicates the approximate location of the boundary fence around the containment. The inner rectangle shows the approximate location of the containment and buried waste.</w:t>
      </w:r>
    </w:p>
    <w:p w:rsidR="009829A4" w:rsidRDefault="009829A4" w:rsidP="009829A4">
      <w:pPr>
        <w:rPr>
          <w:szCs w:val="22"/>
        </w:rPr>
      </w:pPr>
      <w:r w:rsidRPr="00AE026C">
        <w:rPr>
          <w:snapToGrid w:val="0"/>
          <w:color w:val="000000"/>
          <w:position w:val="5"/>
          <w:sz w:val="15"/>
          <w:szCs w:val="0"/>
          <w:u w:color="000000"/>
        </w:rPr>
        <w:t>222</w:t>
      </w:r>
      <w:proofErr w:type="spellStart"/>
      <w:r>
        <w:rPr>
          <w:szCs w:val="22"/>
        </w:rPr>
        <w:t>Rn</w:t>
      </w:r>
      <w:proofErr w:type="spellEnd"/>
      <w:r w:rsidRPr="00D21BC8">
        <w:rPr>
          <w:szCs w:val="22"/>
        </w:rPr>
        <w:t xml:space="preserve"> </w:t>
      </w:r>
      <w:r>
        <w:rPr>
          <w:szCs w:val="22"/>
        </w:rPr>
        <w:t xml:space="preserve">activity flux densities measured on the containment in 2015 were still higher than those measured in 2010, but there has been little change in </w:t>
      </w:r>
      <w:r w:rsidRPr="00AE026C">
        <w:rPr>
          <w:snapToGrid w:val="0"/>
          <w:color w:val="000000"/>
          <w:position w:val="5"/>
          <w:sz w:val="15"/>
          <w:szCs w:val="0"/>
          <w:u w:color="000000"/>
        </w:rPr>
        <w:t>222</w:t>
      </w:r>
      <w:proofErr w:type="spellStart"/>
      <w:r>
        <w:rPr>
          <w:szCs w:val="22"/>
        </w:rPr>
        <w:t>Rn</w:t>
      </w:r>
      <w:proofErr w:type="spellEnd"/>
      <w:r>
        <w:rPr>
          <w:szCs w:val="22"/>
        </w:rPr>
        <w:t xml:space="preserve"> activity flux densities outside the fenced area at the control sites. The typical value (geometric mean) measured in 2010 outside the fenced area was 16 </w:t>
      </w:r>
      <w:proofErr w:type="spellStart"/>
      <w:r>
        <w:rPr>
          <w:szCs w:val="22"/>
        </w:rPr>
        <w:t>mBq∙m</w:t>
      </w:r>
      <w:proofErr w:type="spellEnd"/>
      <w:r w:rsidRPr="00247200">
        <w:rPr>
          <w:snapToGrid w:val="0"/>
          <w:color w:val="000000"/>
          <w:position w:val="5"/>
          <w:sz w:val="15"/>
          <w:szCs w:val="0"/>
          <w:u w:color="000000"/>
        </w:rPr>
        <w:t>2</w:t>
      </w:r>
      <w:r>
        <w:rPr>
          <w:szCs w:val="22"/>
        </w:rPr>
        <w:t>∙s</w:t>
      </w:r>
      <w:r w:rsidRPr="00247200">
        <w:rPr>
          <w:snapToGrid w:val="0"/>
          <w:color w:val="000000"/>
          <w:position w:val="5"/>
          <w:sz w:val="15"/>
          <w:szCs w:val="0"/>
          <w:u w:color="000000"/>
        </w:rPr>
        <w:t>-1</w:t>
      </w:r>
      <w:r>
        <w:rPr>
          <w:szCs w:val="22"/>
        </w:rPr>
        <w:t xml:space="preserve"> (similar to the baseline value of 14 </w:t>
      </w:r>
      <w:proofErr w:type="spellStart"/>
      <w:r>
        <w:rPr>
          <w:szCs w:val="22"/>
        </w:rPr>
        <w:t>mBq∙m</w:t>
      </w:r>
      <w:proofErr w:type="spellEnd"/>
      <w:r w:rsidRPr="00247200">
        <w:rPr>
          <w:snapToGrid w:val="0"/>
          <w:color w:val="000000"/>
          <w:position w:val="5"/>
          <w:sz w:val="15"/>
          <w:szCs w:val="0"/>
          <w:u w:color="000000"/>
        </w:rPr>
        <w:t>2</w:t>
      </w:r>
      <w:r>
        <w:rPr>
          <w:szCs w:val="22"/>
        </w:rPr>
        <w:t>∙s</w:t>
      </w:r>
      <w:r w:rsidRPr="00247200">
        <w:rPr>
          <w:snapToGrid w:val="0"/>
          <w:color w:val="000000"/>
          <w:position w:val="5"/>
          <w:sz w:val="15"/>
          <w:szCs w:val="0"/>
          <w:u w:color="000000"/>
        </w:rPr>
        <w:t>-1</w:t>
      </w:r>
      <w:r>
        <w:rPr>
          <w:szCs w:val="22"/>
        </w:rPr>
        <w:t xml:space="preserve"> measured in 2009) with values ranging from 10–36 </w:t>
      </w:r>
      <w:proofErr w:type="spellStart"/>
      <w:r>
        <w:rPr>
          <w:szCs w:val="22"/>
        </w:rPr>
        <w:t>mBq∙m</w:t>
      </w:r>
      <w:proofErr w:type="spellEnd"/>
      <w:r w:rsidRPr="00247200">
        <w:rPr>
          <w:snapToGrid w:val="0"/>
          <w:color w:val="000000"/>
          <w:position w:val="5"/>
          <w:sz w:val="15"/>
          <w:szCs w:val="0"/>
          <w:u w:color="000000"/>
        </w:rPr>
        <w:t>2</w:t>
      </w:r>
      <w:r>
        <w:rPr>
          <w:szCs w:val="22"/>
        </w:rPr>
        <w:t>∙s</w:t>
      </w:r>
      <w:r w:rsidRPr="00247200">
        <w:rPr>
          <w:snapToGrid w:val="0"/>
          <w:color w:val="000000"/>
          <w:position w:val="5"/>
          <w:sz w:val="15"/>
          <w:szCs w:val="0"/>
          <w:u w:color="000000"/>
        </w:rPr>
        <w:t>-1</w:t>
      </w:r>
      <w:r>
        <w:rPr>
          <w:szCs w:val="22"/>
        </w:rPr>
        <w:t xml:space="preserve">. In 2015, the typical value outside the fenced area was </w:t>
      </w:r>
      <w:proofErr w:type="gramStart"/>
      <w:r>
        <w:rPr>
          <w:szCs w:val="22"/>
        </w:rPr>
        <w:t xml:space="preserve">10 </w:t>
      </w:r>
      <w:proofErr w:type="spellStart"/>
      <w:r>
        <w:rPr>
          <w:szCs w:val="22"/>
        </w:rPr>
        <w:t>mBq∙m</w:t>
      </w:r>
      <w:proofErr w:type="spellEnd"/>
      <w:r w:rsidRPr="00247200">
        <w:rPr>
          <w:snapToGrid w:val="0"/>
          <w:color w:val="000000"/>
          <w:position w:val="5"/>
          <w:sz w:val="15"/>
          <w:szCs w:val="0"/>
          <w:u w:color="000000"/>
        </w:rPr>
        <w:t>2</w:t>
      </w:r>
      <w:r>
        <w:rPr>
          <w:szCs w:val="22"/>
        </w:rPr>
        <w:t>∙s</w:t>
      </w:r>
      <w:r w:rsidRPr="00247200">
        <w:rPr>
          <w:snapToGrid w:val="0"/>
          <w:color w:val="000000"/>
          <w:position w:val="5"/>
          <w:sz w:val="15"/>
          <w:szCs w:val="0"/>
          <w:u w:color="000000"/>
        </w:rPr>
        <w:t>-1</w:t>
      </w:r>
      <w:proofErr w:type="gramEnd"/>
      <w:r>
        <w:rPr>
          <w:szCs w:val="22"/>
        </w:rPr>
        <w:t>, with</w:t>
      </w:r>
      <w:r w:rsidR="0058792A">
        <w:rPr>
          <w:szCs w:val="22"/>
        </w:rPr>
        <w:t xml:space="preserve"> values</w:t>
      </w:r>
      <w:r>
        <w:rPr>
          <w:szCs w:val="22"/>
        </w:rPr>
        <w:t xml:space="preserve"> </w:t>
      </w:r>
      <w:r w:rsidR="0058792A">
        <w:rPr>
          <w:szCs w:val="22"/>
        </w:rPr>
        <w:t>a little lower, showing a</w:t>
      </w:r>
      <w:r>
        <w:rPr>
          <w:szCs w:val="22"/>
        </w:rPr>
        <w:t xml:space="preserve"> range of 6-17 </w:t>
      </w:r>
      <w:proofErr w:type="spellStart"/>
      <w:r>
        <w:rPr>
          <w:szCs w:val="22"/>
        </w:rPr>
        <w:t>mBq∙m</w:t>
      </w:r>
      <w:proofErr w:type="spellEnd"/>
      <w:r w:rsidRPr="00247200">
        <w:rPr>
          <w:snapToGrid w:val="0"/>
          <w:color w:val="000000"/>
          <w:position w:val="5"/>
          <w:sz w:val="15"/>
          <w:szCs w:val="0"/>
          <w:u w:color="000000"/>
        </w:rPr>
        <w:t>2</w:t>
      </w:r>
      <w:r>
        <w:rPr>
          <w:szCs w:val="22"/>
        </w:rPr>
        <w:t>∙s</w:t>
      </w:r>
      <w:r w:rsidRPr="00247200">
        <w:rPr>
          <w:snapToGrid w:val="0"/>
          <w:color w:val="000000"/>
          <w:position w:val="5"/>
          <w:sz w:val="15"/>
          <w:szCs w:val="0"/>
          <w:u w:color="000000"/>
        </w:rPr>
        <w:t>-1</w:t>
      </w:r>
      <w:r>
        <w:rPr>
          <w:szCs w:val="22"/>
        </w:rPr>
        <w:t xml:space="preserve">. </w:t>
      </w:r>
    </w:p>
    <w:p w:rsidR="009829A4" w:rsidRDefault="0058792A" w:rsidP="002F1994">
      <w:r>
        <w:t xml:space="preserve">Figure 4 shows that the </w:t>
      </w:r>
      <w:r w:rsidRPr="00AE026C">
        <w:rPr>
          <w:snapToGrid w:val="0"/>
          <w:color w:val="000000"/>
          <w:position w:val="5"/>
          <w:sz w:val="15"/>
          <w:szCs w:val="0"/>
          <w:u w:color="000000"/>
        </w:rPr>
        <w:t>222</w:t>
      </w:r>
      <w:proofErr w:type="spellStart"/>
      <w:r>
        <w:rPr>
          <w:szCs w:val="22"/>
        </w:rPr>
        <w:t>Rn</w:t>
      </w:r>
      <w:proofErr w:type="spellEnd"/>
      <w:r w:rsidRPr="00D21BC8">
        <w:rPr>
          <w:szCs w:val="22"/>
        </w:rPr>
        <w:t xml:space="preserve"> </w:t>
      </w:r>
      <w:r>
        <w:rPr>
          <w:szCs w:val="22"/>
        </w:rPr>
        <w:t>activity flux densities measured in 2015 follow a lognormal distribution (p = 0.1) although there is still some indication</w:t>
      </w:r>
      <w:r w:rsidR="00002F82">
        <w:rPr>
          <w:szCs w:val="22"/>
        </w:rPr>
        <w:t xml:space="preserve">, albeit less </w:t>
      </w:r>
      <w:r w:rsidR="005257B9">
        <w:rPr>
          <w:szCs w:val="22"/>
        </w:rPr>
        <w:t>pronounced</w:t>
      </w:r>
      <w:r w:rsidR="00002F82">
        <w:rPr>
          <w:szCs w:val="22"/>
        </w:rPr>
        <w:t xml:space="preserve"> than in 2012,</w:t>
      </w:r>
      <w:r>
        <w:rPr>
          <w:szCs w:val="22"/>
        </w:rPr>
        <w:t xml:space="preserve"> of a bimodal distribution</w:t>
      </w:r>
      <w:r w:rsidR="00115E0D">
        <w:rPr>
          <w:szCs w:val="22"/>
        </w:rPr>
        <w:t xml:space="preserve"> that was observed in 2012 (</w:t>
      </w:r>
      <w:proofErr w:type="spellStart"/>
      <w:r w:rsidR="00115E0D" w:rsidRPr="00002F82">
        <w:rPr>
          <w:szCs w:val="22"/>
        </w:rPr>
        <w:t>Bollhöfer</w:t>
      </w:r>
      <w:proofErr w:type="spellEnd"/>
      <w:r w:rsidR="00115E0D" w:rsidRPr="00002F82">
        <w:rPr>
          <w:szCs w:val="22"/>
        </w:rPr>
        <w:t xml:space="preserve"> </w:t>
      </w:r>
      <w:r w:rsidR="00115E0D">
        <w:rPr>
          <w:szCs w:val="22"/>
        </w:rPr>
        <w:t>et al 2012)</w:t>
      </w:r>
      <w:r w:rsidR="00002F82">
        <w:rPr>
          <w:szCs w:val="22"/>
        </w:rPr>
        <w:t>.</w:t>
      </w:r>
    </w:p>
    <w:tbl>
      <w:tblPr>
        <w:tblStyle w:val="TableGrid"/>
        <w:tblW w:w="0" w:type="auto"/>
        <w:tblLook w:val="04A0"/>
      </w:tblPr>
      <w:tblGrid>
        <w:gridCol w:w="4261"/>
        <w:gridCol w:w="4261"/>
      </w:tblGrid>
      <w:tr w:rsidR="004A2711" w:rsidTr="0012025C">
        <w:tc>
          <w:tcPr>
            <w:tcW w:w="4261" w:type="dxa"/>
          </w:tcPr>
          <w:p w:rsidR="004A2711" w:rsidRDefault="009829A4" w:rsidP="0012025C">
            <w:pPr>
              <w:jc w:val="right"/>
            </w:pPr>
            <w:r w:rsidRPr="009829A4">
              <w:rPr>
                <w:noProof/>
                <w:lang w:eastAsia="en-AU"/>
              </w:rPr>
              <w:drawing>
                <wp:inline distT="0" distB="0" distL="0" distR="0">
                  <wp:extent cx="2525698" cy="2011733"/>
                  <wp:effectExtent l="19050" t="0" r="7952"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6554" t="5000" r="6421" b="5278"/>
                          <a:stretch>
                            <a:fillRect/>
                          </a:stretch>
                        </pic:blipFill>
                        <pic:spPr bwMode="auto">
                          <a:xfrm>
                            <a:off x="0" y="0"/>
                            <a:ext cx="2525698" cy="2011733"/>
                          </a:xfrm>
                          <a:prstGeom prst="rect">
                            <a:avLst/>
                          </a:prstGeom>
                          <a:noFill/>
                        </pic:spPr>
                      </pic:pic>
                    </a:graphicData>
                  </a:graphic>
                </wp:inline>
              </w:drawing>
            </w:r>
          </w:p>
        </w:tc>
        <w:tc>
          <w:tcPr>
            <w:tcW w:w="4261" w:type="dxa"/>
          </w:tcPr>
          <w:p w:rsidR="004A2711" w:rsidRDefault="004A2711" w:rsidP="0012025C">
            <w:pPr>
              <w:jc w:val="left"/>
            </w:pPr>
            <w:r>
              <w:rPr>
                <w:noProof/>
                <w:lang w:eastAsia="en-AU"/>
              </w:rPr>
              <w:drawing>
                <wp:inline distT="0" distB="0" distL="0" distR="0">
                  <wp:extent cx="2534992" cy="205143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537182" cy="2053209"/>
                          </a:xfrm>
                          <a:prstGeom prst="rect">
                            <a:avLst/>
                          </a:prstGeom>
                          <a:noFill/>
                          <a:ln w="9525">
                            <a:noFill/>
                            <a:miter lim="800000"/>
                            <a:headEnd/>
                            <a:tailEnd/>
                          </a:ln>
                        </pic:spPr>
                      </pic:pic>
                    </a:graphicData>
                  </a:graphic>
                </wp:inline>
              </w:drawing>
            </w:r>
          </w:p>
        </w:tc>
      </w:tr>
    </w:tbl>
    <w:p w:rsidR="004A2711" w:rsidRPr="004522A5" w:rsidRDefault="004A2711" w:rsidP="004A2711">
      <w:pPr>
        <w:pStyle w:val="figurecaption"/>
      </w:pPr>
      <w:bookmarkStart w:id="44" w:name="_Toc355794766"/>
      <w:bookmarkStart w:id="45" w:name="_Toc425414721"/>
      <w:r w:rsidRPr="004522A5">
        <w:t xml:space="preserve">Figure 3 </w:t>
      </w:r>
      <w:r w:rsidRPr="00AE026C">
        <w:rPr>
          <w:snapToGrid w:val="0"/>
          <w:color w:val="000000"/>
          <w:position w:val="5"/>
          <w:sz w:val="15"/>
          <w:szCs w:val="0"/>
          <w:u w:color="000000"/>
        </w:rPr>
        <w:t>222</w:t>
      </w:r>
      <w:proofErr w:type="spellStart"/>
      <w:r>
        <w:rPr>
          <w:szCs w:val="22"/>
        </w:rPr>
        <w:t>Rn</w:t>
      </w:r>
      <w:proofErr w:type="spellEnd"/>
      <w:r>
        <w:rPr>
          <w:szCs w:val="22"/>
        </w:rPr>
        <w:t xml:space="preserve"> activity</w:t>
      </w:r>
      <w:r w:rsidRPr="004522A5">
        <w:t xml:space="preserve"> flux densities [</w:t>
      </w:r>
      <w:proofErr w:type="spellStart"/>
      <w:r w:rsidRPr="004522A5">
        <w:t>mBq∙m</w:t>
      </w:r>
      <w:proofErr w:type="spellEnd"/>
      <w:r w:rsidRPr="003D1A22">
        <w:rPr>
          <w:snapToGrid w:val="0"/>
          <w:color w:val="000000"/>
          <w:position w:val="4"/>
          <w:sz w:val="12"/>
          <w:szCs w:val="0"/>
          <w:u w:color="000000"/>
        </w:rPr>
        <w:t>-2</w:t>
      </w:r>
      <w:r w:rsidRPr="004522A5">
        <w:t>∙s</w:t>
      </w:r>
      <w:r w:rsidRPr="003D1A22">
        <w:rPr>
          <w:snapToGrid w:val="0"/>
          <w:color w:val="000000"/>
          <w:position w:val="4"/>
          <w:sz w:val="12"/>
          <w:szCs w:val="0"/>
          <w:u w:color="000000"/>
        </w:rPr>
        <w:t>-1</w:t>
      </w:r>
      <w:r w:rsidRPr="004522A5">
        <w:t xml:space="preserve">] measured at the </w:t>
      </w:r>
      <w:r w:rsidR="002B2226">
        <w:t>South Alligator Containment Facility</w:t>
      </w:r>
      <w:r w:rsidR="002B2226" w:rsidRPr="004522A5">
        <w:t xml:space="preserve"> </w:t>
      </w:r>
      <w:r w:rsidRPr="004522A5">
        <w:t xml:space="preserve">in </w:t>
      </w:r>
      <w:r>
        <w:t xml:space="preserve">September </w:t>
      </w:r>
      <w:r w:rsidRPr="004522A5">
        <w:t>2010</w:t>
      </w:r>
      <w:r>
        <w:t xml:space="preserve"> (left)</w:t>
      </w:r>
      <w:r w:rsidRPr="004522A5">
        <w:t xml:space="preserve"> and </w:t>
      </w:r>
      <w:r>
        <w:t xml:space="preserve">May </w:t>
      </w:r>
      <w:r w:rsidRPr="004522A5">
        <w:t>201</w:t>
      </w:r>
      <w:r>
        <w:t>5 (right)</w:t>
      </w:r>
      <w:r w:rsidRPr="004522A5">
        <w:t>.</w:t>
      </w:r>
      <w:bookmarkEnd w:id="44"/>
      <w:bookmarkEnd w:id="45"/>
    </w:p>
    <w:p w:rsidR="004A2711" w:rsidRDefault="00002F82" w:rsidP="00002F82">
      <w:pPr>
        <w:jc w:val="center"/>
      </w:pPr>
      <w:r w:rsidRPr="00002F82">
        <w:rPr>
          <w:noProof/>
          <w:lang w:eastAsia="en-AU"/>
        </w:rPr>
        <w:drawing>
          <wp:inline distT="0" distB="0" distL="0" distR="0">
            <wp:extent cx="3118485" cy="2238375"/>
            <wp:effectExtent l="0" t="0" r="571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l="4312" t="7692" r="10654" b="782"/>
                    <a:stretch>
                      <a:fillRect/>
                    </a:stretch>
                  </pic:blipFill>
                  <pic:spPr bwMode="auto">
                    <a:xfrm>
                      <a:off x="0" y="0"/>
                      <a:ext cx="3118485" cy="2238375"/>
                    </a:xfrm>
                    <a:prstGeom prst="rect">
                      <a:avLst/>
                    </a:prstGeom>
                    <a:noFill/>
                    <a:ln w="9525">
                      <a:noFill/>
                      <a:miter lim="800000"/>
                      <a:headEnd/>
                      <a:tailEnd/>
                    </a:ln>
                  </pic:spPr>
                </pic:pic>
              </a:graphicData>
            </a:graphic>
          </wp:inline>
        </w:drawing>
      </w:r>
    </w:p>
    <w:p w:rsidR="00002F82" w:rsidRPr="002F1994" w:rsidRDefault="00002F82" w:rsidP="002B2226">
      <w:pPr>
        <w:pStyle w:val="figurecaption"/>
      </w:pPr>
      <w:bookmarkStart w:id="46" w:name="_Toc425414722"/>
      <w:r>
        <w:t xml:space="preserve">Figure 4 Frequency distribution of </w:t>
      </w:r>
      <w:r w:rsidRPr="00AE026C">
        <w:rPr>
          <w:snapToGrid w:val="0"/>
          <w:color w:val="000000"/>
          <w:position w:val="5"/>
          <w:sz w:val="15"/>
          <w:szCs w:val="0"/>
          <w:u w:color="000000"/>
        </w:rPr>
        <w:t>222</w:t>
      </w:r>
      <w:proofErr w:type="spellStart"/>
      <w:r>
        <w:rPr>
          <w:szCs w:val="22"/>
        </w:rPr>
        <w:t>Rn</w:t>
      </w:r>
      <w:proofErr w:type="spellEnd"/>
      <w:r>
        <w:rPr>
          <w:szCs w:val="22"/>
        </w:rPr>
        <w:t xml:space="preserve"> activity</w:t>
      </w:r>
      <w:r>
        <w:t xml:space="preserve"> flux densities measured in May 2015 </w:t>
      </w:r>
      <w:r w:rsidR="002B2226">
        <w:t>at the South Alligator Containment Facility</w:t>
      </w:r>
      <w:r>
        <w:t>.</w:t>
      </w:r>
      <w:bookmarkEnd w:id="46"/>
      <w:r>
        <w:t xml:space="preserve"> </w:t>
      </w:r>
    </w:p>
    <w:p w:rsidR="008A719E" w:rsidRPr="00242E91" w:rsidRDefault="00DA654C" w:rsidP="00242E91">
      <w:pPr>
        <w:pStyle w:val="Heading1"/>
      </w:pPr>
      <w:bookmarkStart w:id="47" w:name="_Toc425414061"/>
      <w:proofErr w:type="gramStart"/>
      <w:r w:rsidRPr="00242E91">
        <w:t xml:space="preserve">4  </w:t>
      </w:r>
      <w:r w:rsidR="008A719E" w:rsidRPr="00242E91">
        <w:t>Discussion</w:t>
      </w:r>
      <w:proofErr w:type="gramEnd"/>
      <w:r w:rsidR="00552F88" w:rsidRPr="00242E91">
        <w:t xml:space="preserve"> and Conclusion</w:t>
      </w:r>
      <w:bookmarkEnd w:id="47"/>
    </w:p>
    <w:p w:rsidR="00FE7BBE" w:rsidRDefault="009F662E" w:rsidP="009F662E">
      <w:r>
        <w:t xml:space="preserve">The survey of external gamma dose rates and </w:t>
      </w:r>
      <w:r w:rsidRPr="007423A4">
        <w:rPr>
          <w:snapToGrid w:val="0"/>
          <w:color w:val="000000"/>
          <w:position w:val="6"/>
          <w:sz w:val="16"/>
          <w:szCs w:val="0"/>
          <w:u w:color="000000"/>
        </w:rPr>
        <w:t>222</w:t>
      </w:r>
      <w:proofErr w:type="spellStart"/>
      <w:r>
        <w:t>Rn</w:t>
      </w:r>
      <w:proofErr w:type="spellEnd"/>
      <w:r>
        <w:t xml:space="preserve"> exhalation flux densities across the El </w:t>
      </w:r>
      <w:proofErr w:type="spellStart"/>
      <w:r>
        <w:t>Sherana</w:t>
      </w:r>
      <w:proofErr w:type="spellEnd"/>
      <w:r>
        <w:t xml:space="preserve"> containment in May 2015 </w:t>
      </w:r>
      <w:r w:rsidR="00552F88">
        <w:t>was</w:t>
      </w:r>
      <w:r>
        <w:t xml:space="preserve"> the fourth </w:t>
      </w:r>
      <w:r w:rsidR="00FE7BBE">
        <w:t xml:space="preserve">of </w:t>
      </w:r>
      <w:r w:rsidR="00552F88">
        <w:t>its</w:t>
      </w:r>
      <w:r w:rsidR="00FE7BBE">
        <w:t xml:space="preserve"> kind</w:t>
      </w:r>
      <w:r>
        <w:t xml:space="preserve"> since its construction in 2009. External gamma dose rates on top of the containment have not changed and stayed at typical environmental levels</w:t>
      </w:r>
      <w:r w:rsidR="00FE7BBE">
        <w:t xml:space="preserve"> without any noticeable increase</w:t>
      </w:r>
      <w:r w:rsidR="00552F88">
        <w:t xml:space="preserve"> above typical environment</w:t>
      </w:r>
      <w:r w:rsidR="00115E0D">
        <w:t>a</w:t>
      </w:r>
      <w:r w:rsidR="00552F88">
        <w:t>l levels</w:t>
      </w:r>
      <w:r>
        <w:t xml:space="preserve">. </w:t>
      </w:r>
    </w:p>
    <w:p w:rsidR="009F662E" w:rsidRDefault="009F662E" w:rsidP="009F662E">
      <w:r>
        <w:t xml:space="preserve">Figure </w:t>
      </w:r>
      <w:r w:rsidR="00FE7BBE">
        <w:t>5</w:t>
      </w:r>
      <w:r>
        <w:t xml:space="preserve"> shows the results of the </w:t>
      </w:r>
      <w:r w:rsidRPr="007423A4">
        <w:rPr>
          <w:snapToGrid w:val="0"/>
          <w:color w:val="000000"/>
          <w:position w:val="6"/>
          <w:sz w:val="16"/>
          <w:szCs w:val="0"/>
          <w:u w:color="000000"/>
        </w:rPr>
        <w:t>222</w:t>
      </w:r>
      <w:proofErr w:type="spellStart"/>
      <w:r>
        <w:t>Rn</w:t>
      </w:r>
      <w:proofErr w:type="spellEnd"/>
      <w:r>
        <w:t xml:space="preserve"> exhalation flux densities measured from environmental areas nearby and from the top of the containment, in September 2010, September 2012, October 2013 and May 2015.</w:t>
      </w:r>
      <w:r w:rsidRPr="006E223C">
        <w:t xml:space="preserve"> </w:t>
      </w:r>
      <w:r>
        <w:t xml:space="preserve">It is obvious that there is a tendency towards higher </w:t>
      </w:r>
      <w:r w:rsidRPr="007423A4">
        <w:rPr>
          <w:snapToGrid w:val="0"/>
          <w:color w:val="000000"/>
          <w:position w:val="6"/>
          <w:sz w:val="16"/>
          <w:szCs w:val="0"/>
          <w:u w:color="000000"/>
        </w:rPr>
        <w:t>222</w:t>
      </w:r>
      <w:proofErr w:type="spellStart"/>
      <w:r>
        <w:t>Rn</w:t>
      </w:r>
      <w:proofErr w:type="spellEnd"/>
      <w:r>
        <w:t xml:space="preserve"> exhalation flux densities from the containment 3, 4 and 5.5 years after construction compared to 1 year after construction in 2010. </w:t>
      </w:r>
    </w:p>
    <w:p w:rsidR="00FE7BBE" w:rsidRDefault="00FE7BBE" w:rsidP="00FE7BBE">
      <w:r>
        <w:t xml:space="preserve">The reason for this increase may be associated with changes of the physical properties of the containment cover, as outlined </w:t>
      </w:r>
      <w:proofErr w:type="gramStart"/>
      <w:r>
        <w:t>in the 2012-13 Supervising Scientist Annual Report (Supervising Scientist 2013)</w:t>
      </w:r>
      <w:proofErr w:type="gramEnd"/>
      <w:r>
        <w:t>. In June 2013</w:t>
      </w:r>
      <w:r w:rsidR="00115E0D">
        <w:t>,</w:t>
      </w:r>
      <w:r>
        <w:t xml:space="preserve"> vegetation in the middle of the containment was cleared and approximately 1 metre of clean soil placed on top of the existing capping to re-contour the surface and prevent erosion of the capping material at the containment. This additional layer does not appear to have lowered overall radon activity fluxes from the containment measured in October 2013. </w:t>
      </w:r>
    </w:p>
    <w:p w:rsidR="00FE7BBE" w:rsidRDefault="00FE7BBE" w:rsidP="00FE7BBE">
      <w:pPr>
        <w:jc w:val="center"/>
      </w:pPr>
      <w:r w:rsidRPr="00C1189F">
        <w:rPr>
          <w:noProof/>
          <w:lang w:eastAsia="en-AU"/>
        </w:rPr>
        <w:drawing>
          <wp:inline distT="0" distB="0" distL="0" distR="0">
            <wp:extent cx="3657600" cy="23398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grayscl/>
                    </a:blip>
                    <a:srcRect b="4416"/>
                    <a:stretch>
                      <a:fillRect/>
                    </a:stretch>
                  </pic:blipFill>
                  <pic:spPr bwMode="auto">
                    <a:xfrm>
                      <a:off x="0" y="0"/>
                      <a:ext cx="3657600" cy="2339835"/>
                    </a:xfrm>
                    <a:prstGeom prst="rect">
                      <a:avLst/>
                    </a:prstGeom>
                    <a:noFill/>
                    <a:ln w="9525">
                      <a:noFill/>
                      <a:miter lim="800000"/>
                      <a:headEnd/>
                      <a:tailEnd/>
                    </a:ln>
                  </pic:spPr>
                </pic:pic>
              </a:graphicData>
            </a:graphic>
          </wp:inline>
        </w:drawing>
      </w:r>
    </w:p>
    <w:p w:rsidR="00FE7BBE" w:rsidRDefault="00FE7BBE" w:rsidP="00FE7BBE">
      <w:pPr>
        <w:pStyle w:val="figurecaption"/>
      </w:pPr>
      <w:bookmarkStart w:id="48" w:name="_Toc425414723"/>
      <w:r>
        <w:t xml:space="preserve">Figure 5 Box plot of environmental background (open boxes) and containment (grey boxes) </w:t>
      </w:r>
      <w:r w:rsidRPr="006C47B1">
        <w:rPr>
          <w:snapToGrid w:val="0"/>
          <w:color w:val="000000"/>
          <w:position w:val="4"/>
          <w:sz w:val="11"/>
          <w:szCs w:val="0"/>
          <w:u w:color="000000"/>
        </w:rPr>
        <w:t>222</w:t>
      </w:r>
      <w:proofErr w:type="spellStart"/>
      <w:r>
        <w:t>Rn</w:t>
      </w:r>
      <w:proofErr w:type="spellEnd"/>
      <w:r>
        <w:t xml:space="preserve"> exhalation flux densities. The marker indicates the median, the </w:t>
      </w:r>
      <w:r w:rsidR="009563B1">
        <w:t>length</w:t>
      </w:r>
      <w:r>
        <w:t xml:space="preserve"> of the box is the </w:t>
      </w:r>
      <w:proofErr w:type="spellStart"/>
      <w:r>
        <w:t>interquartile</w:t>
      </w:r>
      <w:proofErr w:type="spellEnd"/>
      <w:r>
        <w:t xml:space="preserve"> range, </w:t>
      </w:r>
      <w:proofErr w:type="gramStart"/>
      <w:r>
        <w:t>whiskers</w:t>
      </w:r>
      <w:proofErr w:type="gramEnd"/>
      <w:r>
        <w:t xml:space="preserve"> indicate the upper and </w:t>
      </w:r>
      <w:r w:rsidRPr="006850FC">
        <w:t>lower 25% of the distribution</w:t>
      </w:r>
      <w:r>
        <w:t>.</w:t>
      </w:r>
      <w:bookmarkEnd w:id="48"/>
    </w:p>
    <w:p w:rsidR="00FE7BBE" w:rsidRDefault="00FE7BBE" w:rsidP="00FE7BBE">
      <w:r>
        <w:t xml:space="preserve">The apparent decrease </w:t>
      </w:r>
      <w:r w:rsidR="00552F88">
        <w:t xml:space="preserve">of the </w:t>
      </w:r>
      <w:r w:rsidR="00552F88" w:rsidRPr="007423A4">
        <w:rPr>
          <w:snapToGrid w:val="0"/>
          <w:color w:val="000000"/>
          <w:position w:val="6"/>
          <w:sz w:val="16"/>
          <w:szCs w:val="0"/>
          <w:u w:color="000000"/>
        </w:rPr>
        <w:t>222</w:t>
      </w:r>
      <w:proofErr w:type="spellStart"/>
      <w:r w:rsidR="00552F88">
        <w:t>Rn</w:t>
      </w:r>
      <w:proofErr w:type="spellEnd"/>
      <w:r w:rsidR="00552F88">
        <w:t xml:space="preserve"> </w:t>
      </w:r>
      <w:r w:rsidR="00B776D2">
        <w:t>activity</w:t>
      </w:r>
      <w:r w:rsidR="00552F88">
        <w:t xml:space="preserve"> flux densities in</w:t>
      </w:r>
      <w:r>
        <w:t xml:space="preserve"> May 2015</w:t>
      </w:r>
      <w:r w:rsidR="00115E0D">
        <w:t xml:space="preserve"> compared to the previous t</w:t>
      </w:r>
      <w:r w:rsidR="00DF23AF">
        <w:t>w</w:t>
      </w:r>
      <w:r w:rsidR="00115E0D">
        <w:t>o surveys</w:t>
      </w:r>
      <w:r>
        <w:t xml:space="preserve"> is most likely associated with the time of year of the measurements: the</w:t>
      </w:r>
      <w:r w:rsidR="00115E0D">
        <w:t xml:space="preserve"> 2015</w:t>
      </w:r>
      <w:r>
        <w:t xml:space="preserve"> survey was conducted in May, at the end of the wet season, when </w:t>
      </w:r>
      <w:r w:rsidRPr="007423A4">
        <w:rPr>
          <w:snapToGrid w:val="0"/>
          <w:color w:val="000000"/>
          <w:position w:val="6"/>
          <w:sz w:val="16"/>
          <w:szCs w:val="0"/>
          <w:u w:color="000000"/>
        </w:rPr>
        <w:t>222</w:t>
      </w:r>
      <w:proofErr w:type="spellStart"/>
      <w:r>
        <w:t>Rn</w:t>
      </w:r>
      <w:proofErr w:type="spellEnd"/>
      <w:r>
        <w:t xml:space="preserve"> exhalation flux densities from soils are typically lower due to the higher soil moisture</w:t>
      </w:r>
      <w:r w:rsidR="00115E0D">
        <w:t xml:space="preserve"> that </w:t>
      </w:r>
      <w:r w:rsidR="005257B9">
        <w:t xml:space="preserve">limits radon exhalation from a </w:t>
      </w:r>
      <w:r w:rsidR="00115E0D">
        <w:t>substrate</w:t>
      </w:r>
      <w:r w:rsidR="00EF112A">
        <w:t xml:space="preserve"> </w:t>
      </w:r>
      <w:r w:rsidR="00115E0D">
        <w:t>(</w:t>
      </w:r>
      <w:proofErr w:type="spellStart"/>
      <w:r w:rsidR="00115E0D">
        <w:t>Bollhöfer</w:t>
      </w:r>
      <w:proofErr w:type="spellEnd"/>
      <w:r w:rsidR="00115E0D">
        <w:t xml:space="preserve"> &amp; </w:t>
      </w:r>
      <w:proofErr w:type="spellStart"/>
      <w:r w:rsidR="00115E0D">
        <w:t>Doering</w:t>
      </w:r>
      <w:proofErr w:type="spellEnd"/>
      <w:r w:rsidR="00115E0D">
        <w:t xml:space="preserve"> 2015)</w:t>
      </w:r>
      <w:r w:rsidR="00B776D2">
        <w:t>. In contrast, the previous three surveys were conducted</w:t>
      </w:r>
      <w:r>
        <w:t xml:space="preserve"> </w:t>
      </w:r>
      <w:r w:rsidR="00B776D2">
        <w:t>during</w:t>
      </w:r>
      <w:r>
        <w:t xml:space="preserve"> peak dry season conditions</w:t>
      </w:r>
      <w:r w:rsidR="00CF5FBE">
        <w:t xml:space="preserve"> at the end of the dry</w:t>
      </w:r>
      <w:r w:rsidR="00B8170B">
        <w:t>.</w:t>
      </w:r>
      <w:r>
        <w:t xml:space="preserve"> </w:t>
      </w:r>
      <w:r w:rsidR="00115E0D">
        <w:t xml:space="preserve">The higher volumetric water </w:t>
      </w:r>
      <w:r w:rsidR="00D61746">
        <w:t xml:space="preserve">(VWC) </w:t>
      </w:r>
      <w:r w:rsidR="00115E0D">
        <w:t xml:space="preserve">content in May 2015 is </w:t>
      </w:r>
      <w:r w:rsidR="00D61746">
        <w:t xml:space="preserve">clearly </w:t>
      </w:r>
      <w:r w:rsidR="00115E0D">
        <w:t xml:space="preserve">visible </w:t>
      </w:r>
      <w:r w:rsidR="00D61746">
        <w:t>in VWC prof</w:t>
      </w:r>
      <w:r w:rsidR="00B776D2">
        <w:t>iles</w:t>
      </w:r>
      <w:r w:rsidR="00CF5FBE">
        <w:t xml:space="preserve"> at the containment</w:t>
      </w:r>
      <w:r w:rsidR="00B776D2">
        <w:t xml:space="preserve"> shown in </w:t>
      </w:r>
      <w:proofErr w:type="spellStart"/>
      <w:r w:rsidR="00B776D2">
        <w:t>O’Kane</w:t>
      </w:r>
      <w:proofErr w:type="spellEnd"/>
      <w:r w:rsidR="00B776D2">
        <w:t xml:space="preserve"> (2015)</w:t>
      </w:r>
      <w:r w:rsidR="00CF5FBE">
        <w:t xml:space="preserve">. </w:t>
      </w:r>
      <w:r w:rsidR="009563B1" w:rsidRPr="00AE026C">
        <w:rPr>
          <w:snapToGrid w:val="0"/>
          <w:color w:val="000000"/>
          <w:position w:val="5"/>
          <w:sz w:val="15"/>
          <w:szCs w:val="0"/>
          <w:u w:color="000000"/>
        </w:rPr>
        <w:t>222</w:t>
      </w:r>
      <w:proofErr w:type="spellStart"/>
      <w:r w:rsidR="009563B1">
        <w:rPr>
          <w:szCs w:val="22"/>
        </w:rPr>
        <w:t>Rn</w:t>
      </w:r>
      <w:proofErr w:type="spellEnd"/>
      <w:r w:rsidR="009563B1">
        <w:t xml:space="preserve"> </w:t>
      </w:r>
      <w:r w:rsidR="00B776D2">
        <w:t>activity flux densities measured outside the fenced area in 2015 were also slightly lower compared to the previous surveys.</w:t>
      </w:r>
    </w:p>
    <w:p w:rsidR="00FE7BBE" w:rsidRPr="00DB6C8A" w:rsidRDefault="00CF5FBE" w:rsidP="00FE7BBE">
      <w:r>
        <w:t>T</w:t>
      </w:r>
      <w:r w:rsidR="00B8170B">
        <w:t xml:space="preserve">he measurements conducted in May 2015 show that gamma dose rates and </w:t>
      </w:r>
      <w:r w:rsidR="00B8170B" w:rsidRPr="007423A4">
        <w:rPr>
          <w:snapToGrid w:val="0"/>
          <w:color w:val="000000"/>
          <w:position w:val="6"/>
          <w:sz w:val="16"/>
          <w:szCs w:val="0"/>
          <w:u w:color="000000"/>
        </w:rPr>
        <w:t>222</w:t>
      </w:r>
      <w:proofErr w:type="spellStart"/>
      <w:r w:rsidR="00B8170B">
        <w:t>Rn</w:t>
      </w:r>
      <w:proofErr w:type="spellEnd"/>
      <w:r w:rsidR="00B8170B">
        <w:t xml:space="preserve"> exhalation flux densities from the containment have not increased between 2012 and 2015. Consequently, </w:t>
      </w:r>
      <w:r w:rsidR="00552F88">
        <w:t>t</w:t>
      </w:r>
      <w:r w:rsidR="00B8170B">
        <w:t>he dose constraint of 30 µ</w:t>
      </w:r>
      <w:proofErr w:type="spellStart"/>
      <w:r w:rsidR="00B8170B">
        <w:t>Sv</w:t>
      </w:r>
      <w:proofErr w:type="spellEnd"/>
      <w:r w:rsidR="00B8170B">
        <w:t xml:space="preserve"> per year </w:t>
      </w:r>
      <w:r w:rsidR="00552F88">
        <w:t xml:space="preserve">(which was determined based on the 2012 </w:t>
      </w:r>
      <w:r w:rsidR="005257B9">
        <w:t>monitoring</w:t>
      </w:r>
      <w:r w:rsidR="00552F88">
        <w:t xml:space="preserve"> results) is not exceeded. </w:t>
      </w:r>
      <w:r w:rsidR="00FE7BBE" w:rsidRPr="007423A4">
        <w:rPr>
          <w:snapToGrid w:val="0"/>
          <w:color w:val="000000"/>
          <w:position w:val="6"/>
          <w:sz w:val="16"/>
          <w:szCs w:val="0"/>
          <w:u w:color="000000"/>
        </w:rPr>
        <w:t>222</w:t>
      </w:r>
      <w:proofErr w:type="spellStart"/>
      <w:r w:rsidR="00FE7BBE">
        <w:t>Rn</w:t>
      </w:r>
      <w:proofErr w:type="spellEnd"/>
      <w:r w:rsidR="00FE7BBE">
        <w:t xml:space="preserve"> exhalation flux densities measured at the El </w:t>
      </w:r>
      <w:proofErr w:type="spellStart"/>
      <w:r w:rsidR="00FE7BBE">
        <w:t>Sherana</w:t>
      </w:r>
      <w:proofErr w:type="spellEnd"/>
      <w:r w:rsidR="00FE7BBE">
        <w:t xml:space="preserve"> containment do not lead to unacceptable radiation doses to workers or the public, and continue to be less than 10 µ</w:t>
      </w:r>
      <w:proofErr w:type="spellStart"/>
      <w:r w:rsidR="00FE7BBE">
        <w:t>Sv</w:t>
      </w:r>
      <w:proofErr w:type="spellEnd"/>
      <w:r w:rsidR="00FE7BBE">
        <w:t xml:space="preserve"> per year.</w:t>
      </w:r>
    </w:p>
    <w:p w:rsidR="00EA3EFC" w:rsidRPr="00EA3EFC" w:rsidRDefault="00EA3EFC" w:rsidP="00EA3EFC"/>
    <w:p w:rsidR="00F33432" w:rsidRDefault="00F33432">
      <w:pPr>
        <w:spacing w:after="0" w:line="240" w:lineRule="auto"/>
        <w:jc w:val="left"/>
        <w:rPr>
          <w:rFonts w:ascii="Arial" w:hAnsi="Arial"/>
          <w:b/>
          <w:sz w:val="36"/>
        </w:rPr>
      </w:pPr>
      <w:r>
        <w:br w:type="page"/>
      </w:r>
    </w:p>
    <w:p w:rsidR="008A719E" w:rsidRDefault="008A719E" w:rsidP="008A719E">
      <w:pPr>
        <w:pStyle w:val="Heading1"/>
      </w:pPr>
      <w:bookmarkStart w:id="49" w:name="_Toc425414062"/>
      <w:r>
        <w:t>References</w:t>
      </w:r>
      <w:bookmarkEnd w:id="49"/>
    </w:p>
    <w:p w:rsidR="00525FB9" w:rsidRDefault="00525FB9" w:rsidP="00525FB9">
      <w:pPr>
        <w:pStyle w:val="referencelist1"/>
      </w:pPr>
      <w:proofErr w:type="gramStart"/>
      <w:r>
        <w:t>ARPANSA 2011.</w:t>
      </w:r>
      <w:proofErr w:type="gramEnd"/>
      <w:r>
        <w:t xml:space="preserve"> </w:t>
      </w:r>
      <w:proofErr w:type="gramStart"/>
      <w:r>
        <w:t>Inspection report.</w:t>
      </w:r>
      <w:proofErr w:type="gramEnd"/>
      <w:r>
        <w:t xml:space="preserve"> Report number R11/12857. Available from: </w:t>
      </w:r>
      <w:hyperlink r:id="rId35" w:history="1">
        <w:r w:rsidRPr="00B13800">
          <w:rPr>
            <w:rStyle w:val="Hyperlink"/>
          </w:rPr>
          <w:t>http://arpansa.gov.au/pubs/regulatory/inspections/R11-12857.pdf</w:t>
        </w:r>
      </w:hyperlink>
    </w:p>
    <w:p w:rsidR="00EF112A" w:rsidRDefault="00EF112A" w:rsidP="0012025C">
      <w:pPr>
        <w:pStyle w:val="referencelist1"/>
      </w:pPr>
      <w:proofErr w:type="spellStart"/>
      <w:r>
        <w:t>Bollhöfer</w:t>
      </w:r>
      <w:proofErr w:type="spellEnd"/>
      <w:r>
        <w:t xml:space="preserve"> A, </w:t>
      </w:r>
      <w:proofErr w:type="spellStart"/>
      <w:r>
        <w:t>Doering</w:t>
      </w:r>
      <w:proofErr w:type="spellEnd"/>
      <w:r>
        <w:t xml:space="preserve"> C,</w:t>
      </w:r>
      <w:r w:rsidRPr="008D7DF0">
        <w:t xml:space="preserve"> </w:t>
      </w:r>
      <w:r>
        <w:t>Medley P &amp;</w:t>
      </w:r>
      <w:r w:rsidRPr="008D7DF0">
        <w:t xml:space="preserve"> </w:t>
      </w:r>
      <w:proofErr w:type="spellStart"/>
      <w:r w:rsidRPr="008D7DF0">
        <w:t>da</w:t>
      </w:r>
      <w:proofErr w:type="spellEnd"/>
      <w:r w:rsidRPr="008D7DF0">
        <w:t xml:space="preserve"> Costa</w:t>
      </w:r>
      <w:r>
        <w:t xml:space="preserve"> L 2013. </w:t>
      </w:r>
      <w:proofErr w:type="gramStart"/>
      <w:r>
        <w:t xml:space="preserve">Assessment of expected maximum doses from the El </w:t>
      </w:r>
      <w:proofErr w:type="spellStart"/>
      <w:r>
        <w:t>Sherana</w:t>
      </w:r>
      <w:proofErr w:type="spellEnd"/>
      <w:r>
        <w:t xml:space="preserve"> airstrip containment, South Alligator River valley, Australia.</w:t>
      </w:r>
      <w:proofErr w:type="gramEnd"/>
      <w:r>
        <w:t xml:space="preserve"> </w:t>
      </w:r>
      <w:proofErr w:type="gramStart"/>
      <w:r>
        <w:t>Internal report 618, Supervising Scientist for the Alligator Rivers Region, Canberra.</w:t>
      </w:r>
      <w:proofErr w:type="gramEnd"/>
      <w:r>
        <w:t xml:space="preserve"> </w:t>
      </w:r>
      <w:proofErr w:type="gramStart"/>
      <w:r>
        <w:t>Unpublished paper.</w:t>
      </w:r>
      <w:proofErr w:type="gramEnd"/>
    </w:p>
    <w:p w:rsidR="00F04CCB" w:rsidRPr="0046608F" w:rsidRDefault="00F04CCB" w:rsidP="00F04CCB">
      <w:pPr>
        <w:pStyle w:val="referencelist1"/>
      </w:pPr>
      <w:proofErr w:type="spellStart"/>
      <w:proofErr w:type="gramStart"/>
      <w:r w:rsidRPr="003E5BD0">
        <w:rPr>
          <w:szCs w:val="24"/>
        </w:rPr>
        <w:t>Bollhöfer</w:t>
      </w:r>
      <w:proofErr w:type="spellEnd"/>
      <w:r w:rsidRPr="003E5BD0">
        <w:rPr>
          <w:szCs w:val="24"/>
        </w:rPr>
        <w:t xml:space="preserve"> A &amp; </w:t>
      </w:r>
      <w:proofErr w:type="spellStart"/>
      <w:r w:rsidRPr="003E5BD0">
        <w:rPr>
          <w:szCs w:val="24"/>
        </w:rPr>
        <w:t>Doering</w:t>
      </w:r>
      <w:proofErr w:type="spellEnd"/>
      <w:r w:rsidRPr="003E5BD0">
        <w:rPr>
          <w:szCs w:val="24"/>
        </w:rPr>
        <w:t xml:space="preserve"> C 201</w:t>
      </w:r>
      <w:r>
        <w:rPr>
          <w:szCs w:val="24"/>
        </w:rPr>
        <w:t>5.</w:t>
      </w:r>
      <w:proofErr w:type="gramEnd"/>
      <w:r>
        <w:rPr>
          <w:szCs w:val="24"/>
        </w:rPr>
        <w:t xml:space="preserve"> </w:t>
      </w:r>
      <w:proofErr w:type="gramStart"/>
      <w:r w:rsidRPr="0046608F">
        <w:rPr>
          <w:szCs w:val="24"/>
        </w:rPr>
        <w:t>Long-term temporal variability of the radon-222 exhalation flux from a landform covered by low uranium grade waste rock.</w:t>
      </w:r>
      <w:proofErr w:type="gramEnd"/>
      <w:r w:rsidRPr="0046608F">
        <w:rPr>
          <w:i/>
        </w:rPr>
        <w:t xml:space="preserve"> </w:t>
      </w:r>
      <w:r w:rsidRPr="002F728A">
        <w:rPr>
          <w:i/>
        </w:rPr>
        <w:t xml:space="preserve">Journal of Environmental Radioactivity </w:t>
      </w:r>
      <w:r w:rsidRPr="002F728A">
        <w:t>127, 88–94</w:t>
      </w:r>
      <w:r>
        <w:t xml:space="preserve">. </w:t>
      </w:r>
      <w:r w:rsidRPr="0046608F">
        <w:t>DOI: 10.1016/j.jenvrad.2015.06.005</w:t>
      </w:r>
    </w:p>
    <w:p w:rsidR="00EF112A" w:rsidRDefault="00EF112A" w:rsidP="0012025C">
      <w:pPr>
        <w:pStyle w:val="referencelist1"/>
      </w:pPr>
      <w:proofErr w:type="spellStart"/>
      <w:r>
        <w:t>Doering</w:t>
      </w:r>
      <w:proofErr w:type="spellEnd"/>
      <w:r>
        <w:t xml:space="preserve"> C, </w:t>
      </w:r>
      <w:proofErr w:type="spellStart"/>
      <w:r>
        <w:t>Bollh</w:t>
      </w:r>
      <w:r w:rsidRPr="00E47F65">
        <w:t>öfer</w:t>
      </w:r>
      <w:proofErr w:type="spellEnd"/>
      <w:r w:rsidRPr="00E47F65">
        <w:t xml:space="preserve"> A, Ryan B, Sellwood J, Fox T &amp; Pfitzner J</w:t>
      </w:r>
      <w:r>
        <w:t xml:space="preserve"> 2011. </w:t>
      </w:r>
      <w:proofErr w:type="gramStart"/>
      <w:r>
        <w:t xml:space="preserve">Baseline and post-construction radiological conditions at El </w:t>
      </w:r>
      <w:proofErr w:type="spellStart"/>
      <w:r>
        <w:t>Sherana</w:t>
      </w:r>
      <w:proofErr w:type="spellEnd"/>
      <w:r>
        <w:t xml:space="preserve"> airstrip containment, South Alligator River valley, Australia.</w:t>
      </w:r>
      <w:proofErr w:type="gramEnd"/>
      <w:r>
        <w:t xml:space="preserve"> </w:t>
      </w:r>
      <w:proofErr w:type="gramStart"/>
      <w:r w:rsidRPr="00F1226A">
        <w:rPr>
          <w:spacing w:val="-2"/>
          <w:szCs w:val="22"/>
          <w:lang w:eastAsia="en-AU"/>
        </w:rPr>
        <w:t>Internal Report</w:t>
      </w:r>
      <w:r w:rsidRPr="00F1226A">
        <w:rPr>
          <w:spacing w:val="-2"/>
          <w:lang w:eastAsia="en-AU"/>
        </w:rPr>
        <w:t xml:space="preserve"> 5</w:t>
      </w:r>
      <w:r>
        <w:rPr>
          <w:spacing w:val="-2"/>
          <w:lang w:eastAsia="en-AU"/>
        </w:rPr>
        <w:t>92</w:t>
      </w:r>
      <w:r w:rsidRPr="00F1226A">
        <w:rPr>
          <w:spacing w:val="-2"/>
          <w:szCs w:val="22"/>
          <w:lang w:eastAsia="en-AU"/>
        </w:rPr>
        <w:t xml:space="preserve">, </w:t>
      </w:r>
      <w:r>
        <w:rPr>
          <w:spacing w:val="-2"/>
          <w:szCs w:val="22"/>
          <w:lang w:eastAsia="en-AU"/>
        </w:rPr>
        <w:t>June</w:t>
      </w:r>
      <w:r w:rsidRPr="00F1226A">
        <w:rPr>
          <w:spacing w:val="-2"/>
          <w:szCs w:val="22"/>
          <w:lang w:eastAsia="en-AU"/>
        </w:rPr>
        <w:t>, Supervising Scientist, Darwin.</w:t>
      </w:r>
      <w:proofErr w:type="gramEnd"/>
    </w:p>
    <w:p w:rsidR="00F04CCB" w:rsidRDefault="00F04CCB" w:rsidP="00F04CCB">
      <w:pPr>
        <w:pStyle w:val="Bibliography"/>
      </w:pPr>
      <w:r>
        <w:t>National Health and Medical Research Council (NHMRC) 1993. Code of practice for the near-surface disposal of radioactive waste in Australia (1992). Radiation Health Series No. 35</w:t>
      </w:r>
    </w:p>
    <w:p w:rsidR="00734841" w:rsidRDefault="00734841" w:rsidP="00734841">
      <w:pPr>
        <w:pStyle w:val="referencelist1"/>
      </w:pPr>
      <w:proofErr w:type="spellStart"/>
      <w:proofErr w:type="gramStart"/>
      <w:r>
        <w:t>O’Kane</w:t>
      </w:r>
      <w:proofErr w:type="spellEnd"/>
      <w:r>
        <w:t xml:space="preserve"> Consultants 2012.</w:t>
      </w:r>
      <w:proofErr w:type="gramEnd"/>
      <w:r>
        <w:t xml:space="preserve"> </w:t>
      </w:r>
      <w:proofErr w:type="spellStart"/>
      <w:r>
        <w:t>Gunlom</w:t>
      </w:r>
      <w:proofErr w:type="spellEnd"/>
      <w:r>
        <w:t xml:space="preserve"> Land Trust Area, Kakadu National Park Containment Facility for </w:t>
      </w:r>
      <w:proofErr w:type="spellStart"/>
      <w:r>
        <w:t>Radiologically</w:t>
      </w:r>
      <w:proofErr w:type="spellEnd"/>
      <w:r>
        <w:t xml:space="preserve"> Contaminated Materials – Record of Construction and Quality Control and Assurance Report. OKC Report No. 765/10-01 prepared for Parks Australia.</w:t>
      </w:r>
    </w:p>
    <w:p w:rsidR="00841E20" w:rsidRDefault="00841E20" w:rsidP="00841E20">
      <w:pPr>
        <w:pStyle w:val="referencelist1"/>
      </w:pPr>
      <w:proofErr w:type="spellStart"/>
      <w:proofErr w:type="gramStart"/>
      <w:r>
        <w:t>O’Kane</w:t>
      </w:r>
      <w:proofErr w:type="spellEnd"/>
      <w:r>
        <w:t xml:space="preserve"> Consultants 2015.</w:t>
      </w:r>
      <w:proofErr w:type="gramEnd"/>
      <w:r>
        <w:t xml:space="preserve"> South Alligator Containment Facility, </w:t>
      </w:r>
      <w:proofErr w:type="spellStart"/>
      <w:r>
        <w:t>Gunlom</w:t>
      </w:r>
      <w:proofErr w:type="spellEnd"/>
      <w:r>
        <w:t xml:space="preserve"> Land Trust Area, Kakadu National Park Monitoring Data Summary Report for the Period October 2013 - September 2014. OKC Report No. 765/14-01 prepared for </w:t>
      </w:r>
      <w:r w:rsidR="002C5C06">
        <w:t>Australian Government, Director of National Parks.</w:t>
      </w:r>
    </w:p>
    <w:p w:rsidR="00F04CCB" w:rsidRDefault="00F04CCB" w:rsidP="00F04CCB">
      <w:pPr>
        <w:pStyle w:val="referencelist1"/>
      </w:pPr>
      <w:proofErr w:type="spellStart"/>
      <w:r>
        <w:t>Spehr</w:t>
      </w:r>
      <w:proofErr w:type="spellEnd"/>
      <w:r>
        <w:t xml:space="preserve"> W &amp; Johnston </w:t>
      </w:r>
      <w:proofErr w:type="gramStart"/>
      <w:r>
        <w:t>A</w:t>
      </w:r>
      <w:proofErr w:type="gramEnd"/>
      <w:r>
        <w:t xml:space="preserve"> 1983. The measurement of radon emanation rates using activated charcoal. </w:t>
      </w:r>
      <w:r>
        <w:rPr>
          <w:i/>
        </w:rPr>
        <w:t xml:space="preserve">Radiation Protection in </w:t>
      </w:r>
      <w:smartTag w:uri="urn:schemas-microsoft-com:office:smarttags" w:element="place">
        <w:smartTag w:uri="urn:schemas-microsoft-com:office:smarttags" w:element="country-region">
          <w:r>
            <w:rPr>
              <w:i/>
            </w:rPr>
            <w:t>Australia</w:t>
          </w:r>
        </w:smartTag>
      </w:smartTag>
      <w:r>
        <w:t xml:space="preserve"> 1(3), 113–116.</w:t>
      </w:r>
    </w:p>
    <w:p w:rsidR="00F04CCB" w:rsidRDefault="00F04CCB" w:rsidP="00F04CCB">
      <w:pPr>
        <w:pStyle w:val="Bibliography"/>
      </w:pPr>
      <w:r w:rsidRPr="00D508B6">
        <w:t>Supervising Scientist Division 2013. eriss research summary 2012–2013. Supervising Scientist Report 205, Supervising Scientist, Darwin NT.</w:t>
      </w:r>
    </w:p>
    <w:p w:rsidR="00D508B6" w:rsidRDefault="00D508B6" w:rsidP="00D508B6">
      <w:pPr>
        <w:pStyle w:val="referencelist1"/>
        <w:rPr>
          <w:lang w:eastAsia="en-AU"/>
        </w:rPr>
      </w:pPr>
      <w:proofErr w:type="spellStart"/>
      <w:proofErr w:type="gramStart"/>
      <w:r w:rsidRPr="00A228AE">
        <w:rPr>
          <w:lang w:eastAsia="en-AU"/>
        </w:rPr>
        <w:t>Waggit</w:t>
      </w:r>
      <w:proofErr w:type="spellEnd"/>
      <w:r w:rsidRPr="00A228AE">
        <w:rPr>
          <w:lang w:eastAsia="en-AU"/>
        </w:rPr>
        <w:t xml:space="preserve"> P 2004.</w:t>
      </w:r>
      <w:proofErr w:type="gramEnd"/>
      <w:r w:rsidRPr="00A228AE">
        <w:rPr>
          <w:lang w:eastAsia="en-AU"/>
        </w:rPr>
        <w:t xml:space="preserve"> Uranium mine rehabilitation: The story of the </w:t>
      </w:r>
      <w:smartTag w:uri="urn:schemas-microsoft-com:office:smarttags" w:element="place">
        <w:smartTag w:uri="urn:schemas-microsoft-com:office:smarttags" w:element="PlaceName">
          <w:r w:rsidRPr="00A228AE">
            <w:rPr>
              <w:lang w:eastAsia="en-AU"/>
            </w:rPr>
            <w:t>South</w:t>
          </w:r>
        </w:smartTag>
        <w:r w:rsidRPr="00A228AE">
          <w:rPr>
            <w:lang w:eastAsia="en-AU"/>
          </w:rPr>
          <w:t xml:space="preserve"> </w:t>
        </w:r>
        <w:smartTag w:uri="urn:schemas-microsoft-com:office:smarttags" w:element="PlaceName">
          <w:r w:rsidRPr="00A228AE">
            <w:rPr>
              <w:lang w:eastAsia="en-AU"/>
            </w:rPr>
            <w:t>Alligator</w:t>
          </w:r>
        </w:smartTag>
        <w:r w:rsidRPr="00A228AE">
          <w:rPr>
            <w:lang w:eastAsia="en-AU"/>
          </w:rPr>
          <w:t xml:space="preserve"> </w:t>
        </w:r>
        <w:smartTag w:uri="urn:schemas-microsoft-com:office:smarttags" w:element="PlaceType">
          <w:r w:rsidRPr="00A228AE">
            <w:rPr>
              <w:lang w:eastAsia="en-AU"/>
            </w:rPr>
            <w:t>Valley</w:t>
          </w:r>
        </w:smartTag>
      </w:smartTag>
      <w:r w:rsidRPr="00A228AE">
        <w:rPr>
          <w:lang w:eastAsia="en-AU"/>
        </w:rPr>
        <w:t xml:space="preserve"> intervention. </w:t>
      </w:r>
      <w:r w:rsidRPr="00A228AE">
        <w:rPr>
          <w:i/>
          <w:lang w:eastAsia="en-AU"/>
        </w:rPr>
        <w:t>Journal of Environmental Radioactivity</w:t>
      </w:r>
      <w:r w:rsidRPr="00A228AE">
        <w:rPr>
          <w:lang w:eastAsia="en-AU"/>
        </w:rPr>
        <w:t xml:space="preserve"> 76, 51–66.</w:t>
      </w:r>
    </w:p>
    <w:p w:rsidR="00F04CCB" w:rsidRPr="00770750" w:rsidRDefault="00F04CCB" w:rsidP="00F04CCB">
      <w:pPr>
        <w:pStyle w:val="referencelist1"/>
        <w:rPr>
          <w:i/>
        </w:rPr>
      </w:pPr>
      <w:r>
        <w:rPr>
          <w:lang w:eastAsia="en-AU"/>
        </w:rPr>
        <w:t xml:space="preserve">Yu C, </w:t>
      </w:r>
      <w:proofErr w:type="spellStart"/>
      <w:r>
        <w:rPr>
          <w:lang w:eastAsia="en-AU"/>
        </w:rPr>
        <w:t>Gnanapragasam</w:t>
      </w:r>
      <w:proofErr w:type="spellEnd"/>
      <w:r>
        <w:rPr>
          <w:lang w:eastAsia="en-AU"/>
        </w:rPr>
        <w:t xml:space="preserve"> E, </w:t>
      </w:r>
      <w:proofErr w:type="spellStart"/>
      <w:r>
        <w:rPr>
          <w:lang w:eastAsia="en-AU"/>
        </w:rPr>
        <w:t>Biwer</w:t>
      </w:r>
      <w:proofErr w:type="spellEnd"/>
      <w:r>
        <w:rPr>
          <w:lang w:eastAsia="en-AU"/>
        </w:rPr>
        <w:t xml:space="preserve"> B, Cheng JJ, </w:t>
      </w:r>
      <w:proofErr w:type="spellStart"/>
      <w:r>
        <w:rPr>
          <w:lang w:eastAsia="en-AU"/>
        </w:rPr>
        <w:t>Kamboj</w:t>
      </w:r>
      <w:proofErr w:type="spellEnd"/>
      <w:r>
        <w:rPr>
          <w:lang w:eastAsia="en-AU"/>
        </w:rPr>
        <w:t xml:space="preserve"> S, </w:t>
      </w:r>
      <w:proofErr w:type="spellStart"/>
      <w:r>
        <w:rPr>
          <w:lang w:eastAsia="en-AU"/>
        </w:rPr>
        <w:t>Klett</w:t>
      </w:r>
      <w:proofErr w:type="spellEnd"/>
      <w:r>
        <w:rPr>
          <w:lang w:eastAsia="en-AU"/>
        </w:rPr>
        <w:t xml:space="preserve"> T, </w:t>
      </w:r>
      <w:proofErr w:type="spellStart"/>
      <w:r>
        <w:rPr>
          <w:lang w:eastAsia="en-AU"/>
        </w:rPr>
        <w:t>Zielen</w:t>
      </w:r>
      <w:proofErr w:type="spellEnd"/>
      <w:r>
        <w:rPr>
          <w:lang w:eastAsia="en-AU"/>
        </w:rPr>
        <w:t xml:space="preserve"> A, Williams WA, </w:t>
      </w:r>
      <w:proofErr w:type="spellStart"/>
      <w:r>
        <w:rPr>
          <w:lang w:eastAsia="en-AU"/>
        </w:rPr>
        <w:t>Domotor</w:t>
      </w:r>
      <w:proofErr w:type="spellEnd"/>
      <w:r>
        <w:rPr>
          <w:lang w:eastAsia="en-AU"/>
        </w:rPr>
        <w:t xml:space="preserve"> S &amp; </w:t>
      </w:r>
      <w:proofErr w:type="spellStart"/>
      <w:r>
        <w:rPr>
          <w:lang w:eastAsia="en-AU"/>
        </w:rPr>
        <w:t>Wallo</w:t>
      </w:r>
      <w:proofErr w:type="spellEnd"/>
      <w:r>
        <w:rPr>
          <w:lang w:eastAsia="en-AU"/>
        </w:rPr>
        <w:t xml:space="preserve"> A 2009. </w:t>
      </w:r>
      <w:proofErr w:type="gramStart"/>
      <w:r>
        <w:rPr>
          <w:lang w:eastAsia="en-AU"/>
        </w:rPr>
        <w:t>RESRAD-OFFSITE – A new member of the RESRAD family of codes.</w:t>
      </w:r>
      <w:proofErr w:type="gramEnd"/>
      <w:r>
        <w:rPr>
          <w:lang w:eastAsia="en-AU"/>
        </w:rPr>
        <w:t xml:space="preserve"> </w:t>
      </w:r>
      <w:r w:rsidRPr="00C93D07">
        <w:rPr>
          <w:i/>
          <w:lang w:eastAsia="en-AU"/>
        </w:rPr>
        <w:t>Radioprotection</w:t>
      </w:r>
      <w:r w:rsidRPr="001C2DD5">
        <w:rPr>
          <w:lang w:eastAsia="en-AU"/>
        </w:rPr>
        <w:t xml:space="preserve"> 44, </w:t>
      </w:r>
      <w:r>
        <w:rPr>
          <w:lang w:eastAsia="en-AU"/>
        </w:rPr>
        <w:t>(</w:t>
      </w:r>
      <w:r w:rsidRPr="001C2DD5">
        <w:rPr>
          <w:lang w:eastAsia="en-AU"/>
        </w:rPr>
        <w:t>5</w:t>
      </w:r>
      <w:r>
        <w:rPr>
          <w:lang w:eastAsia="en-AU"/>
        </w:rPr>
        <w:t>)</w:t>
      </w:r>
      <w:r w:rsidRPr="001C2DD5">
        <w:rPr>
          <w:lang w:eastAsia="en-AU"/>
        </w:rPr>
        <w:t xml:space="preserve"> 659–664</w:t>
      </w:r>
      <w:r>
        <w:rPr>
          <w:lang w:eastAsia="en-AU"/>
        </w:rPr>
        <w:t>.</w:t>
      </w:r>
    </w:p>
    <w:p w:rsidR="00E16D1D" w:rsidRDefault="00E16D1D" w:rsidP="00E401EB">
      <w:pPr>
        <w:pStyle w:val="Bibliography"/>
        <w:rPr>
          <w:rFonts w:ascii="Arial" w:hAnsi="Arial"/>
          <w:b/>
          <w:sz w:val="36"/>
        </w:rPr>
      </w:pPr>
      <w:r>
        <w:br w:type="page"/>
      </w:r>
    </w:p>
    <w:p w:rsidR="003B3E0F" w:rsidRDefault="008A719E" w:rsidP="008A719E">
      <w:pPr>
        <w:pStyle w:val="Heading1"/>
      </w:pPr>
      <w:bookmarkStart w:id="50" w:name="_Toc425414063"/>
      <w:r>
        <w:t>Appendix</w:t>
      </w:r>
      <w:bookmarkEnd w:id="50"/>
      <w:r>
        <w:t xml:space="preserve"> </w:t>
      </w:r>
    </w:p>
    <w:p w:rsidR="00B8170B" w:rsidRPr="00B8170B" w:rsidRDefault="00B8170B" w:rsidP="00B8170B">
      <w:pPr>
        <w:pStyle w:val="figurecaption"/>
      </w:pPr>
      <w:bookmarkStart w:id="51" w:name="_Toc425414724"/>
      <w:r>
        <w:t>Figure A1: Calibration certificate for gamma probe used for dose rate measurements in May 2015.</w:t>
      </w:r>
      <w:bookmarkEnd w:id="51"/>
    </w:p>
    <w:p w:rsidR="00E16D1D" w:rsidRPr="00E16D1D" w:rsidRDefault="00B8170B" w:rsidP="00E16D1D">
      <w:r w:rsidRPr="00B8170B">
        <w:rPr>
          <w:noProof/>
          <w:lang w:eastAsia="en-AU"/>
        </w:rPr>
        <w:drawing>
          <wp:inline distT="0" distB="0" distL="0" distR="0">
            <wp:extent cx="5274310" cy="7186247"/>
            <wp:effectExtent l="38100" t="19050" r="21590" b="14653"/>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lum bright="-10000"/>
                    </a:blip>
                    <a:srcRect/>
                    <a:stretch>
                      <a:fillRect/>
                    </a:stretch>
                  </pic:blipFill>
                  <pic:spPr bwMode="auto">
                    <a:xfrm>
                      <a:off x="0" y="0"/>
                      <a:ext cx="5274310" cy="7186247"/>
                    </a:xfrm>
                    <a:prstGeom prst="rect">
                      <a:avLst/>
                    </a:prstGeom>
                    <a:noFill/>
                    <a:ln w="9525">
                      <a:solidFill>
                        <a:schemeClr val="accent1"/>
                      </a:solidFill>
                      <a:miter lim="800000"/>
                      <a:headEnd/>
                      <a:tailEnd/>
                    </a:ln>
                  </pic:spPr>
                </pic:pic>
              </a:graphicData>
            </a:graphic>
          </wp:inline>
        </w:drawing>
      </w:r>
    </w:p>
    <w:p w:rsidR="003B3E0F" w:rsidRDefault="003B3E0F" w:rsidP="008A719E">
      <w:pPr>
        <w:pStyle w:val="Heading1"/>
      </w:pPr>
    </w:p>
    <w:p w:rsidR="0012025C" w:rsidRDefault="0012025C" w:rsidP="008A719E">
      <w:pPr>
        <w:pStyle w:val="Heading1"/>
        <w:sectPr w:rsidR="0012025C" w:rsidSect="00EC47D5">
          <w:pgSz w:w="11906" w:h="16838" w:code="9"/>
          <w:pgMar w:top="1440" w:right="1800" w:bottom="1440" w:left="1800" w:header="1080" w:footer="835" w:gutter="0"/>
          <w:cols w:space="360"/>
          <w:noEndnote/>
        </w:sectPr>
      </w:pPr>
    </w:p>
    <w:p w:rsidR="00EC47D5" w:rsidRDefault="00CA36F7" w:rsidP="0012025C">
      <w:pPr>
        <w:pStyle w:val="tablecaption"/>
      </w:pPr>
      <w:bookmarkStart w:id="52" w:name="_Toc425414790"/>
      <w:r>
        <w:t xml:space="preserve">Table A1: </w:t>
      </w:r>
      <w:proofErr w:type="spellStart"/>
      <w:r>
        <w:t>Eastings</w:t>
      </w:r>
      <w:proofErr w:type="spellEnd"/>
      <w:r>
        <w:t xml:space="preserve">, </w:t>
      </w:r>
      <w:proofErr w:type="spellStart"/>
      <w:r>
        <w:t>northings</w:t>
      </w:r>
      <w:proofErr w:type="spellEnd"/>
      <w:r>
        <w:t xml:space="preserve"> and measured</w:t>
      </w:r>
      <w:r w:rsidR="0012025C">
        <w:t xml:space="preserve"> </w:t>
      </w:r>
      <w:proofErr w:type="spellStart"/>
      <w:r>
        <w:rPr>
          <w:rFonts w:cs="Arial"/>
        </w:rPr>
        <w:t>γ</w:t>
      </w:r>
      <w:r w:rsidR="0012025C">
        <w:t>dose</w:t>
      </w:r>
      <w:proofErr w:type="spellEnd"/>
      <w:r w:rsidR="0012025C">
        <w:t xml:space="preserve"> rates and </w:t>
      </w:r>
      <w:r w:rsidR="0012025C" w:rsidRPr="0012025C">
        <w:rPr>
          <w:snapToGrid w:val="0"/>
          <w:color w:val="000000"/>
          <w:position w:val="4"/>
          <w:sz w:val="12"/>
          <w:szCs w:val="0"/>
          <w:u w:color="000000"/>
        </w:rPr>
        <w:t>222</w:t>
      </w:r>
      <w:proofErr w:type="spellStart"/>
      <w:r w:rsidR="0012025C">
        <w:t>Rn</w:t>
      </w:r>
      <w:proofErr w:type="spellEnd"/>
      <w:r w:rsidR="0012025C">
        <w:t xml:space="preserve"> activity flux densities</w:t>
      </w:r>
      <w:r>
        <w:t>,</w:t>
      </w:r>
      <w:r w:rsidR="0012025C">
        <w:t xml:space="preserve"> May 2015.</w:t>
      </w:r>
      <w:bookmarkEnd w:id="52"/>
    </w:p>
    <w:tbl>
      <w:tblPr>
        <w:tblW w:w="0" w:type="auto"/>
        <w:jc w:val="center"/>
        <w:tblLook w:val="04A0"/>
      </w:tblPr>
      <w:tblGrid>
        <w:gridCol w:w="794"/>
        <w:gridCol w:w="883"/>
        <w:gridCol w:w="1559"/>
        <w:gridCol w:w="1661"/>
      </w:tblGrid>
      <w:tr w:rsidR="00AA12CF" w:rsidRPr="001670B5" w:rsidTr="00FE46DA">
        <w:trPr>
          <w:trHeight w:val="300"/>
          <w:jc w:val="center"/>
        </w:trPr>
        <w:tc>
          <w:tcPr>
            <w:tcW w:w="0" w:type="auto"/>
            <w:tcBorders>
              <w:top w:val="single" w:sz="12" w:space="0" w:color="auto"/>
              <w:left w:val="nil"/>
              <w:bottom w:val="single" w:sz="12" w:space="0" w:color="auto"/>
              <w:right w:val="nil"/>
            </w:tcBorders>
            <w:shd w:val="clear" w:color="auto" w:fill="auto"/>
            <w:noWrap/>
            <w:vAlign w:val="bottom"/>
            <w:hideMark/>
          </w:tcPr>
          <w:p w:rsidR="00AA12CF" w:rsidRPr="001670B5" w:rsidRDefault="00AA12CF" w:rsidP="00AA12CF">
            <w:pPr>
              <w:spacing w:after="60" w:line="240" w:lineRule="auto"/>
              <w:jc w:val="left"/>
              <w:rPr>
                <w:rFonts w:ascii="Arial" w:hAnsi="Arial" w:cs="Arial"/>
                <w:b/>
                <w:sz w:val="16"/>
                <w:szCs w:val="16"/>
                <w:lang w:eastAsia="en-AU"/>
              </w:rPr>
            </w:pPr>
            <w:r w:rsidRPr="001670B5">
              <w:rPr>
                <w:rFonts w:ascii="Arial" w:hAnsi="Arial" w:cs="Arial"/>
                <w:b/>
                <w:sz w:val="16"/>
                <w:szCs w:val="16"/>
                <w:lang w:eastAsia="en-AU"/>
              </w:rPr>
              <w:t>Easting</w:t>
            </w:r>
          </w:p>
        </w:tc>
        <w:tc>
          <w:tcPr>
            <w:tcW w:w="0" w:type="auto"/>
            <w:tcBorders>
              <w:top w:val="single" w:sz="12" w:space="0" w:color="auto"/>
              <w:left w:val="nil"/>
              <w:bottom w:val="single" w:sz="12" w:space="0" w:color="auto"/>
              <w:right w:val="nil"/>
            </w:tcBorders>
            <w:shd w:val="clear" w:color="auto" w:fill="auto"/>
            <w:noWrap/>
            <w:vAlign w:val="bottom"/>
            <w:hideMark/>
          </w:tcPr>
          <w:p w:rsidR="00AA12CF" w:rsidRPr="001670B5" w:rsidRDefault="00AA12CF" w:rsidP="00AA12CF">
            <w:pPr>
              <w:spacing w:after="60" w:line="240" w:lineRule="auto"/>
              <w:jc w:val="left"/>
              <w:rPr>
                <w:rFonts w:ascii="Arial" w:hAnsi="Arial" w:cs="Arial"/>
                <w:b/>
                <w:sz w:val="16"/>
                <w:szCs w:val="16"/>
                <w:lang w:eastAsia="en-AU"/>
              </w:rPr>
            </w:pPr>
            <w:r w:rsidRPr="001670B5">
              <w:rPr>
                <w:rFonts w:ascii="Arial" w:hAnsi="Arial" w:cs="Arial"/>
                <w:b/>
                <w:sz w:val="16"/>
                <w:szCs w:val="16"/>
                <w:lang w:eastAsia="en-AU"/>
              </w:rPr>
              <w:t>Northing</w:t>
            </w:r>
          </w:p>
        </w:tc>
        <w:tc>
          <w:tcPr>
            <w:tcW w:w="0" w:type="auto"/>
            <w:tcBorders>
              <w:top w:val="single" w:sz="12" w:space="0" w:color="auto"/>
              <w:left w:val="nil"/>
              <w:bottom w:val="single" w:sz="12" w:space="0" w:color="auto"/>
              <w:right w:val="nil"/>
            </w:tcBorders>
            <w:vAlign w:val="bottom"/>
          </w:tcPr>
          <w:p w:rsidR="00AA12CF" w:rsidRPr="001670B5" w:rsidRDefault="00AA12CF" w:rsidP="00AA12CF">
            <w:pPr>
              <w:spacing w:after="60" w:line="240" w:lineRule="auto"/>
              <w:jc w:val="center"/>
              <w:rPr>
                <w:rFonts w:ascii="Arial" w:hAnsi="Arial" w:cs="Arial"/>
                <w:b/>
                <w:sz w:val="16"/>
                <w:szCs w:val="16"/>
              </w:rPr>
            </w:pPr>
            <w:r w:rsidRPr="001670B5">
              <w:rPr>
                <w:rFonts w:ascii="Arial" w:hAnsi="Arial" w:cs="Arial"/>
                <w:b/>
                <w:sz w:val="16"/>
                <w:szCs w:val="16"/>
              </w:rPr>
              <w:t>Gamma dose rate</w:t>
            </w:r>
          </w:p>
        </w:tc>
        <w:tc>
          <w:tcPr>
            <w:tcW w:w="1661" w:type="dxa"/>
            <w:tcBorders>
              <w:top w:val="single" w:sz="12" w:space="0" w:color="auto"/>
              <w:left w:val="nil"/>
              <w:bottom w:val="single" w:sz="12" w:space="0" w:color="auto"/>
              <w:right w:val="nil"/>
            </w:tcBorders>
            <w:vAlign w:val="bottom"/>
          </w:tcPr>
          <w:p w:rsidR="00AA12CF" w:rsidRPr="001670B5" w:rsidRDefault="00AA12CF" w:rsidP="00AA12CF">
            <w:pPr>
              <w:spacing w:after="60" w:line="240" w:lineRule="auto"/>
              <w:jc w:val="center"/>
              <w:rPr>
                <w:rFonts w:ascii="Arial" w:hAnsi="Arial" w:cs="Arial"/>
                <w:b/>
                <w:sz w:val="16"/>
                <w:szCs w:val="16"/>
              </w:rPr>
            </w:pPr>
            <w:r w:rsidRPr="001670B5">
              <w:rPr>
                <w:rFonts w:ascii="Arial" w:hAnsi="Arial"/>
                <w:b/>
                <w:snapToGrid w:val="0"/>
                <w:color w:val="000000"/>
                <w:position w:val="4"/>
                <w:sz w:val="11"/>
                <w:szCs w:val="0"/>
                <w:u w:color="000000"/>
              </w:rPr>
              <w:t>222</w:t>
            </w:r>
            <w:proofErr w:type="spellStart"/>
            <w:r w:rsidRPr="001670B5">
              <w:rPr>
                <w:rFonts w:ascii="Arial" w:hAnsi="Arial" w:cs="Arial"/>
                <w:b/>
                <w:sz w:val="16"/>
                <w:szCs w:val="16"/>
              </w:rPr>
              <w:t>Rn</w:t>
            </w:r>
            <w:proofErr w:type="spellEnd"/>
            <w:r w:rsidRPr="001670B5">
              <w:rPr>
                <w:rFonts w:ascii="Arial" w:hAnsi="Arial" w:cs="Arial"/>
                <w:b/>
                <w:sz w:val="16"/>
                <w:szCs w:val="16"/>
              </w:rPr>
              <w:t xml:space="preserve"> activity flux</w:t>
            </w:r>
          </w:p>
        </w:tc>
      </w:tr>
      <w:tr w:rsidR="00AA12CF" w:rsidRPr="001670B5" w:rsidTr="00FE46DA">
        <w:trPr>
          <w:trHeight w:val="300"/>
          <w:jc w:val="center"/>
        </w:trPr>
        <w:tc>
          <w:tcPr>
            <w:tcW w:w="0" w:type="auto"/>
            <w:gridSpan w:val="2"/>
            <w:tcBorders>
              <w:top w:val="nil"/>
              <w:left w:val="nil"/>
              <w:bottom w:val="nil"/>
              <w:right w:val="nil"/>
            </w:tcBorders>
            <w:shd w:val="clear" w:color="auto" w:fill="auto"/>
            <w:noWrap/>
            <w:vAlign w:val="bottom"/>
            <w:hideMark/>
          </w:tcPr>
          <w:p w:rsidR="00AA12CF" w:rsidRPr="001670B5" w:rsidRDefault="00AA12CF" w:rsidP="001670B5">
            <w:pPr>
              <w:spacing w:after="0" w:line="240" w:lineRule="auto"/>
              <w:jc w:val="left"/>
              <w:rPr>
                <w:rFonts w:ascii="Arial" w:hAnsi="Arial" w:cs="Arial"/>
                <w:b/>
                <w:sz w:val="16"/>
                <w:szCs w:val="16"/>
                <w:lang w:eastAsia="en-AU"/>
              </w:rPr>
            </w:pPr>
            <w:r w:rsidRPr="001670B5">
              <w:rPr>
                <w:rFonts w:ascii="Arial" w:hAnsi="Arial" w:cs="Arial"/>
                <w:b/>
                <w:sz w:val="16"/>
                <w:szCs w:val="16"/>
                <w:lang w:eastAsia="en-AU"/>
              </w:rPr>
              <w:t>On containment</w:t>
            </w:r>
          </w:p>
        </w:tc>
        <w:tc>
          <w:tcPr>
            <w:tcW w:w="0" w:type="auto"/>
            <w:tcBorders>
              <w:top w:val="nil"/>
              <w:left w:val="nil"/>
              <w:bottom w:val="nil"/>
              <w:right w:val="nil"/>
            </w:tcBorders>
            <w:vAlign w:val="bottom"/>
          </w:tcPr>
          <w:p w:rsidR="00AA12CF" w:rsidRPr="001670B5" w:rsidRDefault="00AA12CF" w:rsidP="001670B5">
            <w:pPr>
              <w:spacing w:after="0"/>
              <w:jc w:val="center"/>
              <w:rPr>
                <w:rFonts w:ascii="Arial" w:hAnsi="Arial" w:cs="Arial"/>
                <w:sz w:val="16"/>
                <w:szCs w:val="16"/>
              </w:rPr>
            </w:pPr>
            <w:r>
              <w:rPr>
                <w:rFonts w:ascii="Arial" w:hAnsi="Arial" w:cs="Arial"/>
                <w:sz w:val="16"/>
                <w:szCs w:val="16"/>
              </w:rPr>
              <w:t>[µ</w:t>
            </w:r>
            <w:proofErr w:type="spellStart"/>
            <w:r>
              <w:rPr>
                <w:rFonts w:ascii="Arial" w:hAnsi="Arial" w:cs="Arial"/>
                <w:sz w:val="16"/>
                <w:szCs w:val="16"/>
              </w:rPr>
              <w:t>Gy</w:t>
            </w:r>
            <w:proofErr w:type="spellEnd"/>
            <w:r>
              <w:rPr>
                <w:rFonts w:ascii="Arial" w:hAnsi="Arial" w:cs="Arial"/>
                <w:sz w:val="16"/>
                <w:szCs w:val="16"/>
              </w:rPr>
              <w:t xml:space="preserve"> hr</w:t>
            </w:r>
            <w:r w:rsidRPr="001670B5">
              <w:rPr>
                <w:rFonts w:ascii="Arial" w:hAnsi="Arial"/>
                <w:snapToGrid w:val="0"/>
                <w:color w:val="000000"/>
                <w:position w:val="4"/>
                <w:sz w:val="11"/>
                <w:szCs w:val="0"/>
                <w:u w:color="000000"/>
              </w:rPr>
              <w:t>-1</w:t>
            </w:r>
            <w:r>
              <w:rPr>
                <w:rFonts w:ascii="Arial" w:hAnsi="Arial" w:cs="Arial"/>
                <w:sz w:val="16"/>
                <w:szCs w:val="16"/>
              </w:rPr>
              <w:t>]</w:t>
            </w:r>
          </w:p>
        </w:tc>
        <w:tc>
          <w:tcPr>
            <w:tcW w:w="1661" w:type="dxa"/>
            <w:tcBorders>
              <w:top w:val="nil"/>
              <w:left w:val="nil"/>
              <w:bottom w:val="nil"/>
              <w:right w:val="nil"/>
            </w:tcBorders>
            <w:vAlign w:val="bottom"/>
          </w:tcPr>
          <w:p w:rsidR="00AA12CF" w:rsidRPr="001670B5" w:rsidRDefault="00AA12CF" w:rsidP="001670B5">
            <w:pPr>
              <w:spacing w:after="0"/>
              <w:jc w:val="center"/>
              <w:rPr>
                <w:rFonts w:ascii="Arial" w:hAnsi="Arial" w:cs="Arial"/>
                <w:sz w:val="16"/>
                <w:szCs w:val="16"/>
              </w:rPr>
            </w:pPr>
            <w:r>
              <w:rPr>
                <w:rFonts w:ascii="Arial" w:hAnsi="Arial" w:cs="Arial"/>
                <w:sz w:val="16"/>
                <w:szCs w:val="16"/>
              </w:rPr>
              <w:t>[</w:t>
            </w:r>
            <w:proofErr w:type="spellStart"/>
            <w:r>
              <w:rPr>
                <w:rFonts w:ascii="Arial" w:hAnsi="Arial" w:cs="Arial"/>
                <w:sz w:val="16"/>
                <w:szCs w:val="16"/>
              </w:rPr>
              <w:t>mBq</w:t>
            </w:r>
            <w:proofErr w:type="spellEnd"/>
            <w:r>
              <w:rPr>
                <w:rFonts w:ascii="Arial" w:hAnsi="Arial" w:cs="Arial"/>
                <w:sz w:val="16"/>
                <w:szCs w:val="16"/>
              </w:rPr>
              <w:t xml:space="preserve"> m</w:t>
            </w:r>
            <w:r w:rsidRPr="001670B5">
              <w:rPr>
                <w:rFonts w:ascii="Arial" w:hAnsi="Arial"/>
                <w:snapToGrid w:val="0"/>
                <w:color w:val="000000"/>
                <w:position w:val="4"/>
                <w:sz w:val="11"/>
                <w:szCs w:val="0"/>
                <w:u w:color="000000"/>
              </w:rPr>
              <w:t>-2</w:t>
            </w:r>
            <w:r>
              <w:rPr>
                <w:rFonts w:ascii="Arial" w:hAnsi="Arial" w:cs="Arial"/>
                <w:sz w:val="16"/>
                <w:szCs w:val="16"/>
              </w:rPr>
              <w:t xml:space="preserve"> s</w:t>
            </w:r>
            <w:r w:rsidRPr="001670B5">
              <w:rPr>
                <w:rFonts w:ascii="Arial" w:hAnsi="Arial"/>
                <w:snapToGrid w:val="0"/>
                <w:color w:val="000000"/>
                <w:position w:val="4"/>
                <w:sz w:val="11"/>
                <w:szCs w:val="0"/>
                <w:u w:color="000000"/>
              </w:rPr>
              <w:t>-1</w:t>
            </w:r>
            <w:r>
              <w:rPr>
                <w:rFonts w:ascii="Arial" w:hAnsi="Arial" w:cs="Arial"/>
                <w:sz w:val="16"/>
                <w:szCs w:val="16"/>
              </w:rPr>
              <w:t>]</w:t>
            </w:r>
          </w:p>
        </w:tc>
      </w:tr>
      <w:tr w:rsidR="00AA12CF"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228811</w:t>
            </w:r>
          </w:p>
        </w:tc>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8506246</w:t>
            </w:r>
          </w:p>
        </w:tc>
        <w:tc>
          <w:tcPr>
            <w:tcW w:w="0" w:type="auto"/>
            <w:tcBorders>
              <w:top w:val="nil"/>
              <w:left w:val="nil"/>
              <w:bottom w:val="nil"/>
              <w:right w:val="nil"/>
            </w:tcBorders>
            <w:vAlign w:val="bottom"/>
          </w:tcPr>
          <w:p w:rsidR="00AA12CF" w:rsidRPr="00AA12CF" w:rsidRDefault="00AA12CF" w:rsidP="00AA12CF">
            <w:pPr>
              <w:spacing w:after="0" w:line="240" w:lineRule="auto"/>
              <w:jc w:val="center"/>
              <w:rPr>
                <w:rFonts w:ascii="Arial" w:hAnsi="Arial" w:cs="Arial"/>
                <w:sz w:val="16"/>
                <w:szCs w:val="16"/>
              </w:rPr>
            </w:pPr>
            <w:r w:rsidRPr="00AA12CF">
              <w:rPr>
                <w:rFonts w:ascii="Arial" w:hAnsi="Arial" w:cs="Arial"/>
                <w:sz w:val="16"/>
                <w:szCs w:val="16"/>
              </w:rPr>
              <w:t>0.11±0.01</w:t>
            </w:r>
          </w:p>
        </w:tc>
        <w:tc>
          <w:tcPr>
            <w:tcW w:w="1661" w:type="dxa"/>
            <w:tcBorders>
              <w:top w:val="nil"/>
              <w:left w:val="nil"/>
              <w:bottom w:val="nil"/>
              <w:right w:val="nil"/>
            </w:tcBorders>
            <w:vAlign w:val="bottom"/>
          </w:tcPr>
          <w:p w:rsidR="00AA12CF" w:rsidRPr="00AA12CF" w:rsidRDefault="00AA12CF" w:rsidP="00CA36F7">
            <w:pPr>
              <w:spacing w:after="0" w:line="240" w:lineRule="auto"/>
              <w:jc w:val="center"/>
              <w:rPr>
                <w:rFonts w:ascii="Arial" w:hAnsi="Arial" w:cs="Arial"/>
                <w:sz w:val="16"/>
                <w:szCs w:val="16"/>
              </w:rPr>
            </w:pPr>
            <w:r w:rsidRPr="00AA12CF">
              <w:rPr>
                <w:rFonts w:ascii="Arial" w:hAnsi="Arial" w:cs="Arial"/>
                <w:sz w:val="16"/>
                <w:szCs w:val="16"/>
              </w:rPr>
              <w:t>168±4</w:t>
            </w:r>
          </w:p>
        </w:tc>
      </w:tr>
      <w:tr w:rsidR="00AA12CF"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228777</w:t>
            </w:r>
          </w:p>
        </w:tc>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8506255</w:t>
            </w:r>
          </w:p>
        </w:tc>
        <w:tc>
          <w:tcPr>
            <w:tcW w:w="0" w:type="auto"/>
            <w:tcBorders>
              <w:top w:val="nil"/>
              <w:left w:val="nil"/>
              <w:bottom w:val="nil"/>
              <w:right w:val="nil"/>
            </w:tcBorders>
            <w:vAlign w:val="bottom"/>
          </w:tcPr>
          <w:p w:rsidR="00AA12CF" w:rsidRPr="00AA12CF" w:rsidRDefault="00AA12CF"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AA12CF" w:rsidRPr="00AA12CF" w:rsidRDefault="00AA12CF" w:rsidP="00CA36F7">
            <w:pPr>
              <w:spacing w:after="0" w:line="240" w:lineRule="auto"/>
              <w:jc w:val="center"/>
              <w:rPr>
                <w:rFonts w:ascii="Arial" w:hAnsi="Arial" w:cs="Arial"/>
                <w:sz w:val="16"/>
                <w:szCs w:val="16"/>
              </w:rPr>
            </w:pPr>
            <w:r w:rsidRPr="00AA12CF">
              <w:rPr>
                <w:rFonts w:ascii="Arial" w:hAnsi="Arial" w:cs="Arial"/>
                <w:sz w:val="16"/>
                <w:szCs w:val="16"/>
              </w:rPr>
              <w:t>52±2</w:t>
            </w:r>
          </w:p>
        </w:tc>
      </w:tr>
      <w:tr w:rsidR="00AA12CF"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228785</w:t>
            </w:r>
          </w:p>
        </w:tc>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8506237</w:t>
            </w:r>
          </w:p>
        </w:tc>
        <w:tc>
          <w:tcPr>
            <w:tcW w:w="0" w:type="auto"/>
            <w:tcBorders>
              <w:top w:val="nil"/>
              <w:left w:val="nil"/>
              <w:bottom w:val="nil"/>
              <w:right w:val="nil"/>
            </w:tcBorders>
            <w:vAlign w:val="bottom"/>
          </w:tcPr>
          <w:p w:rsidR="00AA12CF" w:rsidRPr="00AA12CF" w:rsidRDefault="00AA12CF"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AA12CF" w:rsidRPr="00AA12CF" w:rsidRDefault="00AA12CF" w:rsidP="00CA36F7">
            <w:pPr>
              <w:spacing w:after="0" w:line="240" w:lineRule="auto"/>
              <w:jc w:val="center"/>
              <w:rPr>
                <w:rFonts w:ascii="Arial" w:hAnsi="Arial" w:cs="Arial"/>
                <w:sz w:val="16"/>
                <w:szCs w:val="16"/>
              </w:rPr>
            </w:pPr>
            <w:r w:rsidRPr="00AA12CF">
              <w:rPr>
                <w:rFonts w:ascii="Arial" w:hAnsi="Arial" w:cs="Arial"/>
                <w:sz w:val="16"/>
                <w:szCs w:val="16"/>
              </w:rPr>
              <w:t>113±3</w:t>
            </w:r>
          </w:p>
        </w:tc>
      </w:tr>
      <w:tr w:rsidR="00AA12CF"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228796</w:t>
            </w:r>
          </w:p>
        </w:tc>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8506263</w:t>
            </w:r>
          </w:p>
        </w:tc>
        <w:tc>
          <w:tcPr>
            <w:tcW w:w="0" w:type="auto"/>
            <w:tcBorders>
              <w:top w:val="nil"/>
              <w:left w:val="nil"/>
              <w:bottom w:val="nil"/>
              <w:right w:val="nil"/>
            </w:tcBorders>
            <w:vAlign w:val="bottom"/>
          </w:tcPr>
          <w:p w:rsidR="00AA12CF" w:rsidRPr="00AA12CF" w:rsidRDefault="00AA12CF"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AA12CF" w:rsidRPr="00AA12CF" w:rsidRDefault="00AA12CF" w:rsidP="00CA36F7">
            <w:pPr>
              <w:spacing w:after="0" w:line="240" w:lineRule="auto"/>
              <w:jc w:val="center"/>
              <w:rPr>
                <w:rFonts w:ascii="Arial" w:hAnsi="Arial" w:cs="Arial"/>
                <w:sz w:val="16"/>
                <w:szCs w:val="16"/>
              </w:rPr>
            </w:pPr>
            <w:r w:rsidRPr="00AA12CF">
              <w:rPr>
                <w:rFonts w:ascii="Arial" w:hAnsi="Arial" w:cs="Arial"/>
                <w:sz w:val="16"/>
                <w:szCs w:val="16"/>
              </w:rPr>
              <w:t>43±2</w:t>
            </w:r>
          </w:p>
        </w:tc>
      </w:tr>
      <w:tr w:rsidR="00AA12CF"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228813</w:t>
            </w:r>
          </w:p>
        </w:tc>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8506255</w:t>
            </w:r>
          </w:p>
        </w:tc>
        <w:tc>
          <w:tcPr>
            <w:tcW w:w="0" w:type="auto"/>
            <w:tcBorders>
              <w:top w:val="nil"/>
              <w:left w:val="nil"/>
              <w:bottom w:val="nil"/>
              <w:right w:val="nil"/>
            </w:tcBorders>
            <w:vAlign w:val="bottom"/>
          </w:tcPr>
          <w:p w:rsidR="00AA12CF" w:rsidRPr="00AA12CF" w:rsidRDefault="00AA12CF"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AA12CF" w:rsidRPr="00AA12CF" w:rsidRDefault="00AA12CF" w:rsidP="00CA36F7">
            <w:pPr>
              <w:spacing w:after="0" w:line="240" w:lineRule="auto"/>
              <w:jc w:val="center"/>
              <w:rPr>
                <w:rFonts w:ascii="Arial" w:hAnsi="Arial" w:cs="Arial"/>
                <w:sz w:val="16"/>
                <w:szCs w:val="16"/>
              </w:rPr>
            </w:pPr>
            <w:r w:rsidRPr="00AA12CF">
              <w:rPr>
                <w:rFonts w:ascii="Arial" w:hAnsi="Arial" w:cs="Arial"/>
                <w:sz w:val="16"/>
                <w:szCs w:val="16"/>
              </w:rPr>
              <w:t>355±6</w:t>
            </w:r>
          </w:p>
        </w:tc>
      </w:tr>
      <w:tr w:rsidR="00AA12CF"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228784</w:t>
            </w:r>
          </w:p>
        </w:tc>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8506264</w:t>
            </w:r>
          </w:p>
        </w:tc>
        <w:tc>
          <w:tcPr>
            <w:tcW w:w="0" w:type="auto"/>
            <w:tcBorders>
              <w:top w:val="nil"/>
              <w:left w:val="nil"/>
              <w:bottom w:val="nil"/>
              <w:right w:val="nil"/>
            </w:tcBorders>
            <w:vAlign w:val="bottom"/>
          </w:tcPr>
          <w:p w:rsidR="00AA12CF" w:rsidRPr="00AA12CF" w:rsidRDefault="00AA12CF"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AA12CF" w:rsidRPr="00AA12CF" w:rsidRDefault="00AA12CF" w:rsidP="00CA36F7">
            <w:pPr>
              <w:spacing w:after="0" w:line="240" w:lineRule="auto"/>
              <w:jc w:val="center"/>
              <w:rPr>
                <w:rFonts w:ascii="Arial" w:hAnsi="Arial" w:cs="Arial"/>
                <w:sz w:val="16"/>
                <w:szCs w:val="16"/>
              </w:rPr>
            </w:pPr>
            <w:r w:rsidRPr="00AA12CF">
              <w:rPr>
                <w:rFonts w:ascii="Arial" w:hAnsi="Arial" w:cs="Arial"/>
                <w:sz w:val="16"/>
                <w:szCs w:val="16"/>
              </w:rPr>
              <w:t>138±3</w:t>
            </w:r>
          </w:p>
        </w:tc>
      </w:tr>
      <w:tr w:rsidR="00AA12CF"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228838</w:t>
            </w:r>
          </w:p>
        </w:tc>
        <w:tc>
          <w:tcPr>
            <w:tcW w:w="0" w:type="auto"/>
            <w:tcBorders>
              <w:top w:val="nil"/>
              <w:left w:val="nil"/>
              <w:bottom w:val="nil"/>
              <w:right w:val="nil"/>
            </w:tcBorders>
            <w:shd w:val="clear" w:color="auto" w:fill="auto"/>
            <w:noWrap/>
            <w:vAlign w:val="bottom"/>
            <w:hideMark/>
          </w:tcPr>
          <w:p w:rsidR="00AA12CF" w:rsidRPr="00AA12CF" w:rsidRDefault="00AA12CF"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8506222</w:t>
            </w:r>
          </w:p>
        </w:tc>
        <w:tc>
          <w:tcPr>
            <w:tcW w:w="0" w:type="auto"/>
            <w:tcBorders>
              <w:top w:val="nil"/>
              <w:left w:val="nil"/>
              <w:bottom w:val="nil"/>
              <w:right w:val="nil"/>
            </w:tcBorders>
            <w:vAlign w:val="bottom"/>
          </w:tcPr>
          <w:p w:rsidR="00AA12CF" w:rsidRPr="00AA12CF" w:rsidRDefault="00AA12CF"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AA12CF" w:rsidRPr="00AA12CF" w:rsidRDefault="00AA12CF" w:rsidP="00CA36F7">
            <w:pPr>
              <w:spacing w:after="0" w:line="240" w:lineRule="auto"/>
              <w:jc w:val="center"/>
              <w:rPr>
                <w:rFonts w:ascii="Arial" w:hAnsi="Arial" w:cs="Arial"/>
                <w:sz w:val="16"/>
                <w:szCs w:val="16"/>
              </w:rPr>
            </w:pPr>
            <w:r w:rsidRPr="00AA12CF">
              <w:rPr>
                <w:rFonts w:ascii="Arial" w:hAnsi="Arial" w:cs="Arial"/>
                <w:sz w:val="16"/>
                <w:szCs w:val="16"/>
              </w:rPr>
              <w:t>104±3</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228872</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8506216</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10±1</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228835</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8506217</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146±3</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228749</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8506246</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65±2</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228804</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8506227</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38±2</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228790</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8506256</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64±2</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228847</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8506238</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0.10±0.01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303±5</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228791</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8506249</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0.11±0.01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86±2</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228768</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8506243</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116±3</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228805</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8506234</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0.14±0.01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201±4</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228865</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8506205</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0.14±0.01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61±2</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228782</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8506259</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22±1</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228755</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8506266</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67±2</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228788</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8506244</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0.14±0.01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184±4</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228762</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8506274</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74±2</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228868</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8506209</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0.14±0.01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5±1</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228874</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8506233</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116±3</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228756</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8506260</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32±2</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228874</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8506225</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231±4</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228853</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8506243</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7±1</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228808</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8506238</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3035±</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228844</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8506230</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0.13±0.01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13±1</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228773</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8506249</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0.12±0.01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170±4</w:t>
            </w:r>
          </w:p>
        </w:tc>
      </w:tr>
      <w:tr w:rsidR="001670B5" w:rsidRPr="00AA12CF"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228752</w:t>
            </w:r>
          </w:p>
        </w:tc>
        <w:tc>
          <w:tcPr>
            <w:tcW w:w="0" w:type="auto"/>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sz w:val="16"/>
                <w:szCs w:val="16"/>
                <w:lang w:eastAsia="en-AU"/>
              </w:rPr>
            </w:pPr>
            <w:r w:rsidRPr="00AA12CF">
              <w:rPr>
                <w:rFonts w:ascii="Arial" w:hAnsi="Arial" w:cs="Arial"/>
                <w:sz w:val="16"/>
                <w:szCs w:val="16"/>
                <w:lang w:eastAsia="en-AU"/>
              </w:rPr>
              <w:t>8506254</w:t>
            </w:r>
          </w:p>
        </w:tc>
        <w:tc>
          <w:tcPr>
            <w:tcW w:w="0" w:type="auto"/>
            <w:tcBorders>
              <w:top w:val="nil"/>
              <w:left w:val="nil"/>
              <w:bottom w:val="nil"/>
              <w:right w:val="nil"/>
            </w:tcBorders>
            <w:vAlign w:val="bottom"/>
          </w:tcPr>
          <w:p w:rsidR="001670B5" w:rsidRPr="00AA12CF" w:rsidRDefault="001670B5" w:rsidP="00AA12CF">
            <w:pPr>
              <w:spacing w:after="0" w:line="240" w:lineRule="auto"/>
              <w:jc w:val="center"/>
              <w:rPr>
                <w:rFonts w:ascii="Arial" w:hAnsi="Arial" w:cs="Arial"/>
                <w:sz w:val="16"/>
                <w:szCs w:val="16"/>
              </w:rPr>
            </w:pPr>
            <w:r w:rsidRPr="00AA12CF">
              <w:rPr>
                <w:rFonts w:ascii="Arial" w:hAnsi="Arial" w:cs="Arial"/>
                <w:sz w:val="16"/>
                <w:szCs w:val="16"/>
              </w:rPr>
              <w:t>0.14±0.01</w:t>
            </w:r>
          </w:p>
        </w:tc>
        <w:tc>
          <w:tcPr>
            <w:tcW w:w="1661" w:type="dxa"/>
            <w:tcBorders>
              <w:top w:val="nil"/>
              <w:left w:val="nil"/>
              <w:bottom w:val="nil"/>
              <w:right w:val="nil"/>
            </w:tcBorders>
            <w:vAlign w:val="bottom"/>
          </w:tcPr>
          <w:p w:rsidR="001670B5" w:rsidRPr="00AA12CF" w:rsidRDefault="001670B5" w:rsidP="00CA36F7">
            <w:pPr>
              <w:spacing w:after="0" w:line="240" w:lineRule="auto"/>
              <w:jc w:val="center"/>
              <w:rPr>
                <w:rFonts w:ascii="Arial" w:hAnsi="Arial" w:cs="Arial"/>
                <w:sz w:val="16"/>
                <w:szCs w:val="16"/>
              </w:rPr>
            </w:pPr>
            <w:r w:rsidRPr="00AA12CF">
              <w:rPr>
                <w:rFonts w:ascii="Arial" w:hAnsi="Arial" w:cs="Arial"/>
                <w:sz w:val="16"/>
                <w:szCs w:val="16"/>
              </w:rPr>
              <w:t>76±2</w:t>
            </w:r>
          </w:p>
        </w:tc>
      </w:tr>
      <w:tr w:rsidR="001670B5" w:rsidRPr="001670B5" w:rsidTr="00FE46DA">
        <w:trPr>
          <w:trHeight w:val="300"/>
          <w:jc w:val="center"/>
        </w:trPr>
        <w:tc>
          <w:tcPr>
            <w:tcW w:w="0" w:type="auto"/>
            <w:gridSpan w:val="2"/>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b/>
                <w:sz w:val="16"/>
                <w:szCs w:val="16"/>
                <w:lang w:eastAsia="en-AU"/>
              </w:rPr>
            </w:pPr>
            <w:r w:rsidRPr="00AA12CF">
              <w:rPr>
                <w:rFonts w:ascii="Arial" w:hAnsi="Arial" w:cs="Arial"/>
                <w:b/>
                <w:sz w:val="16"/>
                <w:szCs w:val="16"/>
                <w:lang w:eastAsia="en-AU"/>
              </w:rPr>
              <w:t>Within fence</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228738</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8506182</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0.12±0.01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6±1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228909</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8506127</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0.13±0.01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19±1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228656</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8506222</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0.08±0.01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18±1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228926</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8506185</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0.14±0.01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13±1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228768</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8506309</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0.10±0.01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18±1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228947</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8506237</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0.13±0.01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21±1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228863</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8506269</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0.13±0.01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7±1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228675</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8506280</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0.10±0.01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14±1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228843</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8506152</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0.11±0.01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6±1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228696</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8506332</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0.12±0.01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11±1</w:t>
            </w:r>
          </w:p>
        </w:tc>
      </w:tr>
      <w:tr w:rsidR="001670B5" w:rsidRPr="001670B5" w:rsidTr="00FE46DA">
        <w:trPr>
          <w:trHeight w:val="300"/>
          <w:jc w:val="center"/>
        </w:trPr>
        <w:tc>
          <w:tcPr>
            <w:tcW w:w="0" w:type="auto"/>
            <w:gridSpan w:val="2"/>
            <w:tcBorders>
              <w:top w:val="nil"/>
              <w:left w:val="nil"/>
              <w:bottom w:val="nil"/>
              <w:right w:val="nil"/>
            </w:tcBorders>
            <w:shd w:val="clear" w:color="auto" w:fill="auto"/>
            <w:noWrap/>
            <w:vAlign w:val="bottom"/>
            <w:hideMark/>
          </w:tcPr>
          <w:p w:rsidR="001670B5" w:rsidRPr="00AA12CF" w:rsidRDefault="001670B5" w:rsidP="00AA12CF">
            <w:pPr>
              <w:spacing w:after="0" w:line="240" w:lineRule="auto"/>
              <w:jc w:val="left"/>
              <w:rPr>
                <w:rFonts w:ascii="Arial" w:hAnsi="Arial" w:cs="Arial"/>
                <w:b/>
                <w:sz w:val="16"/>
                <w:szCs w:val="16"/>
                <w:lang w:eastAsia="en-AU"/>
              </w:rPr>
            </w:pPr>
            <w:r w:rsidRPr="00AA12CF">
              <w:rPr>
                <w:rFonts w:ascii="Arial" w:hAnsi="Arial" w:cs="Arial"/>
                <w:b/>
                <w:sz w:val="16"/>
                <w:szCs w:val="16"/>
                <w:lang w:eastAsia="en-AU"/>
              </w:rPr>
              <w:t>Outside fence</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228701</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8506173</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0.12±0.01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6±1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228838</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8506125</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0.10±0.01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17±1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228902</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8506100</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0.13±0.01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12±1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228654</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8506180</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0.11±0.01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7±1</w:t>
            </w:r>
          </w:p>
        </w:tc>
      </w:tr>
      <w:tr w:rsidR="001670B5" w:rsidRPr="001670B5" w:rsidTr="00FE46DA">
        <w:trPr>
          <w:trHeight w:hRule="exact" w:val="284"/>
          <w:jc w:val="center"/>
        </w:trPr>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228753</w:t>
            </w:r>
          </w:p>
        </w:tc>
        <w:tc>
          <w:tcPr>
            <w:tcW w:w="0" w:type="auto"/>
            <w:tcBorders>
              <w:top w:val="nil"/>
              <w:left w:val="nil"/>
              <w:bottom w:val="nil"/>
              <w:right w:val="nil"/>
            </w:tcBorders>
            <w:shd w:val="clear" w:color="auto" w:fill="auto"/>
            <w:noWrap/>
            <w:vAlign w:val="bottom"/>
            <w:hideMark/>
          </w:tcPr>
          <w:p w:rsidR="001670B5" w:rsidRPr="001670B5" w:rsidRDefault="001670B5" w:rsidP="00AA12CF">
            <w:pPr>
              <w:spacing w:after="0" w:line="240" w:lineRule="auto"/>
              <w:rPr>
                <w:rFonts w:ascii="Arial" w:hAnsi="Arial" w:cs="Arial"/>
                <w:sz w:val="16"/>
                <w:szCs w:val="16"/>
              </w:rPr>
            </w:pPr>
            <w:r w:rsidRPr="001670B5">
              <w:rPr>
                <w:rFonts w:ascii="Arial" w:hAnsi="Arial" w:cs="Arial"/>
                <w:sz w:val="16"/>
                <w:szCs w:val="16"/>
              </w:rPr>
              <w:t>8506155</w:t>
            </w:r>
          </w:p>
        </w:tc>
        <w:tc>
          <w:tcPr>
            <w:tcW w:w="0" w:type="auto"/>
            <w:tcBorders>
              <w:top w:val="nil"/>
              <w:left w:val="nil"/>
              <w:bottom w:val="nil"/>
              <w:right w:val="nil"/>
            </w:tcBorders>
            <w:vAlign w:val="bottom"/>
          </w:tcPr>
          <w:p w:rsidR="001670B5" w:rsidRPr="001670B5" w:rsidRDefault="001670B5" w:rsidP="00AA12CF">
            <w:pPr>
              <w:spacing w:after="0" w:line="240" w:lineRule="auto"/>
              <w:jc w:val="center"/>
              <w:rPr>
                <w:rFonts w:ascii="Arial" w:hAnsi="Arial" w:cs="Arial"/>
                <w:sz w:val="16"/>
                <w:szCs w:val="16"/>
              </w:rPr>
            </w:pPr>
            <w:r w:rsidRPr="001670B5">
              <w:rPr>
                <w:rFonts w:ascii="Arial" w:hAnsi="Arial" w:cs="Arial"/>
                <w:sz w:val="16"/>
                <w:szCs w:val="16"/>
              </w:rPr>
              <w:t>0.13±0.01</w:t>
            </w:r>
          </w:p>
        </w:tc>
        <w:tc>
          <w:tcPr>
            <w:tcW w:w="1661" w:type="dxa"/>
            <w:tcBorders>
              <w:top w:val="nil"/>
              <w:left w:val="nil"/>
              <w:bottom w:val="nil"/>
              <w:right w:val="nil"/>
            </w:tcBorders>
            <w:vAlign w:val="bottom"/>
          </w:tcPr>
          <w:p w:rsidR="001670B5" w:rsidRPr="001670B5" w:rsidRDefault="001670B5" w:rsidP="00CA36F7">
            <w:pPr>
              <w:spacing w:after="0" w:line="240" w:lineRule="auto"/>
              <w:jc w:val="center"/>
              <w:rPr>
                <w:rFonts w:ascii="Arial" w:hAnsi="Arial" w:cs="Arial"/>
                <w:sz w:val="16"/>
                <w:szCs w:val="16"/>
              </w:rPr>
            </w:pPr>
            <w:r w:rsidRPr="001670B5">
              <w:rPr>
                <w:rFonts w:ascii="Arial" w:hAnsi="Arial" w:cs="Arial"/>
                <w:sz w:val="16"/>
                <w:szCs w:val="16"/>
              </w:rPr>
              <w:t>10±1</w:t>
            </w:r>
          </w:p>
        </w:tc>
      </w:tr>
    </w:tbl>
    <w:p w:rsidR="0012025C" w:rsidRPr="0012025C" w:rsidRDefault="0012025C" w:rsidP="00151C84">
      <w:pPr>
        <w:spacing w:after="0"/>
      </w:pPr>
    </w:p>
    <w:sectPr w:rsidR="0012025C" w:rsidRPr="0012025C" w:rsidSect="00CA36F7">
      <w:pgSz w:w="11906" w:h="16838" w:code="9"/>
      <w:pgMar w:top="1134" w:right="1800" w:bottom="1276" w:left="1800" w:header="1080" w:footer="835" w:gutter="0"/>
      <w:cols w:space="3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DDB" w:rsidRDefault="00726DDB">
      <w:r>
        <w:separator/>
      </w:r>
    </w:p>
  </w:endnote>
  <w:endnote w:type="continuationSeparator" w:id="0">
    <w:p w:rsidR="00726DDB" w:rsidRDefault="00726D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7C5F8B">
    <w:pPr>
      <w:pStyle w:val="Footer"/>
    </w:pPr>
    <w:fldSimple w:instr="PAGE">
      <w:r w:rsidR="00590F7C">
        <w:rPr>
          <w:noProof/>
        </w:rPr>
        <w:t>iv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590F7C">
    <w:pPr>
      <w:pStyle w:val="Footer"/>
    </w:pPr>
    <w:bookmarkStart w:id="2" w:name="_Toc513964624"/>
    <w:bookmarkEnd w:id="2"/>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7C5F8B">
    <w:pPr>
      <w:pStyle w:val="Footer"/>
    </w:pPr>
    <w:fldSimple w:instr="PAGE">
      <w:r w:rsidR="00590F7C">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7C5F8B">
    <w:pPr>
      <w:pStyle w:val="Footer"/>
    </w:pPr>
    <w:fldSimple w:instr="PAGE">
      <w:r w:rsidR="004E1B81">
        <w:rPr>
          <w:noProof/>
        </w:rPr>
        <w:t>iii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7C5F8B">
    <w:pPr>
      <w:pStyle w:val="Footer"/>
    </w:pPr>
    <w:fldSimple w:instr="PAGE">
      <w:r w:rsidR="00590F7C">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7C5F8B">
    <w:pPr>
      <w:pStyle w:val="Footer"/>
    </w:pPr>
    <w:fldSimple w:instr="PAGE">
      <w:r w:rsidR="00803C57">
        <w:rPr>
          <w:noProof/>
        </w:rPr>
        <w:t>14</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7C5F8B">
    <w:pPr>
      <w:pStyle w:val="Footer"/>
    </w:pPr>
    <w:fldSimple w:instr="PAGE">
      <w:r w:rsidR="00590F7C">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DDB" w:rsidRDefault="00726DDB">
      <w:r>
        <w:separator/>
      </w:r>
    </w:p>
  </w:footnote>
  <w:footnote w:type="continuationSeparator" w:id="0">
    <w:p w:rsidR="00726DDB" w:rsidRDefault="00726D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590F7C">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590F7C">
    <w:pPr>
      <w:pStyle w:val="Header"/>
      <w:jc w:val="right"/>
      <w:rPr>
        <w:smallCap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7C" w:rsidRDefault="007C5F8B">
    <w:pPr>
      <w:pStyle w:val="Header"/>
      <w:jc w:val="right"/>
      <w:rPr>
        <w:rFonts w:ascii="Arial" w:hAnsi="Arial"/>
        <w:sz w:val="14"/>
      </w:rPr>
    </w:pPr>
    <w:fldSimple w:instr=" FILENAME \* Lower\p  \* MERGEFORMAT ">
      <w:r w:rsidR="00590F7C" w:rsidRPr="00DD77D7">
        <w:rPr>
          <w:rFonts w:ascii="Arial" w:hAnsi="Arial"/>
          <w:noProof/>
          <w:sz w:val="14"/>
        </w:rPr>
        <w:t>http</w:t>
      </w:r>
      <w:r w:rsidR="00590F7C">
        <w:rPr>
          <w:noProof/>
        </w:rPr>
        <w:t>://spire.nt.environment.gov.au/spire/886642/557200/339741/991/sav containment survey 2015/el sherana 2015.docx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lvlText w:val=""/>
      <w:lvlJc w:val="left"/>
      <w:pPr>
        <w:tabs>
          <w:tab w:val="num" w:pos="360"/>
        </w:tabs>
        <w:ind w:left="360" w:hanging="360"/>
      </w:pPr>
      <w:rPr>
        <w:rFonts w:ascii="Symbol" w:hAnsi="Symbol" w:hint="default"/>
      </w:rPr>
    </w:lvl>
  </w:abstractNum>
  <w:abstractNum w:abstractNumId="10">
    <w:nsid w:val="0E0170D0"/>
    <w:multiLevelType w:val="hybridMultilevel"/>
    <w:tmpl w:val="7C403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5063C53"/>
    <w:multiLevelType w:val="hybridMultilevel"/>
    <w:tmpl w:val="E81E6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0935BD"/>
    <w:multiLevelType w:val="hybridMultilevel"/>
    <w:tmpl w:val="C02AA668"/>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4">
    <w:nsid w:val="59FF4860"/>
    <w:multiLevelType w:val="hybridMultilevel"/>
    <w:tmpl w:val="7B529D14"/>
    <w:lvl w:ilvl="0" w:tplc="0C09000F">
      <w:start w:val="1"/>
      <w:numFmt w:val="decimal"/>
      <w:lvlText w:val="%1."/>
      <w:lvlJc w:val="left"/>
      <w:pPr>
        <w:ind w:left="1680" w:hanging="360"/>
      </w:p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15">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64B5B03"/>
    <w:multiLevelType w:val="hybridMultilevel"/>
    <w:tmpl w:val="EA161008"/>
    <w:lvl w:ilvl="0" w:tplc="3FF880C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5"/>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1"/>
  </w:num>
  <w:num w:numId="16">
    <w:abstractNumId w:val="10"/>
  </w:num>
  <w:num w:numId="17">
    <w:abstractNumId w:val="13"/>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intFractionalCharacterWidth/>
  <w:proofState w:spelling="clean" w:grammar="clean"/>
  <w:stylePaneFormatFilter w:val="3F01"/>
  <w:defaultTabStop w:val="357"/>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tr0azwtzzxxeeprfr5zvrnt9xw05weefv0&quot;&gt;SSD Publications&lt;record-ids&gt;&lt;item&gt;4651&lt;/item&gt;&lt;/record-ids&gt;&lt;/item&gt;&lt;/Libraries&gt;"/>
  </w:docVars>
  <w:rsids>
    <w:rsidRoot w:val="004F772D"/>
    <w:rsid w:val="00002F82"/>
    <w:rsid w:val="00022775"/>
    <w:rsid w:val="0002353F"/>
    <w:rsid w:val="00052FB9"/>
    <w:rsid w:val="00056298"/>
    <w:rsid w:val="00063491"/>
    <w:rsid w:val="000A5FCC"/>
    <w:rsid w:val="000D62C1"/>
    <w:rsid w:val="001156CD"/>
    <w:rsid w:val="00115E0D"/>
    <w:rsid w:val="0011663F"/>
    <w:rsid w:val="0012025C"/>
    <w:rsid w:val="001314D8"/>
    <w:rsid w:val="001500CF"/>
    <w:rsid w:val="00151C84"/>
    <w:rsid w:val="00163629"/>
    <w:rsid w:val="001670B5"/>
    <w:rsid w:val="001709ED"/>
    <w:rsid w:val="00172844"/>
    <w:rsid w:val="001923AC"/>
    <w:rsid w:val="001C3FD2"/>
    <w:rsid w:val="001C6FC4"/>
    <w:rsid w:val="001D04A1"/>
    <w:rsid w:val="0020597A"/>
    <w:rsid w:val="00242E91"/>
    <w:rsid w:val="0024623C"/>
    <w:rsid w:val="002760F9"/>
    <w:rsid w:val="002B2226"/>
    <w:rsid w:val="002B6F54"/>
    <w:rsid w:val="002C00AF"/>
    <w:rsid w:val="002C4796"/>
    <w:rsid w:val="002C5C06"/>
    <w:rsid w:val="002F1994"/>
    <w:rsid w:val="002F5632"/>
    <w:rsid w:val="002F794E"/>
    <w:rsid w:val="00333005"/>
    <w:rsid w:val="00347955"/>
    <w:rsid w:val="00347BF8"/>
    <w:rsid w:val="00352578"/>
    <w:rsid w:val="003535B5"/>
    <w:rsid w:val="00371D2F"/>
    <w:rsid w:val="003916AC"/>
    <w:rsid w:val="003B1363"/>
    <w:rsid w:val="003B3E0F"/>
    <w:rsid w:val="003C5925"/>
    <w:rsid w:val="003F6691"/>
    <w:rsid w:val="00441B5A"/>
    <w:rsid w:val="00450823"/>
    <w:rsid w:val="0046624D"/>
    <w:rsid w:val="00491071"/>
    <w:rsid w:val="00491902"/>
    <w:rsid w:val="004928A2"/>
    <w:rsid w:val="004A043B"/>
    <w:rsid w:val="004A2711"/>
    <w:rsid w:val="004A611F"/>
    <w:rsid w:val="004C5D4B"/>
    <w:rsid w:val="004C6F40"/>
    <w:rsid w:val="004C792C"/>
    <w:rsid w:val="004E1B81"/>
    <w:rsid w:val="004E3326"/>
    <w:rsid w:val="004E6A3C"/>
    <w:rsid w:val="004F772D"/>
    <w:rsid w:val="00524E70"/>
    <w:rsid w:val="005257B9"/>
    <w:rsid w:val="00525FB9"/>
    <w:rsid w:val="00533490"/>
    <w:rsid w:val="00547F1C"/>
    <w:rsid w:val="00552F88"/>
    <w:rsid w:val="00564DF5"/>
    <w:rsid w:val="00573812"/>
    <w:rsid w:val="0058273D"/>
    <w:rsid w:val="0058288E"/>
    <w:rsid w:val="005834C6"/>
    <w:rsid w:val="0058792A"/>
    <w:rsid w:val="00590F7C"/>
    <w:rsid w:val="005A73B9"/>
    <w:rsid w:val="005B2DA5"/>
    <w:rsid w:val="005D2023"/>
    <w:rsid w:val="005F0498"/>
    <w:rsid w:val="00614CAF"/>
    <w:rsid w:val="006178B1"/>
    <w:rsid w:val="006244DC"/>
    <w:rsid w:val="0062474C"/>
    <w:rsid w:val="00673F3E"/>
    <w:rsid w:val="00690CAE"/>
    <w:rsid w:val="00692730"/>
    <w:rsid w:val="00695F36"/>
    <w:rsid w:val="006C080B"/>
    <w:rsid w:val="006D48C6"/>
    <w:rsid w:val="007143E7"/>
    <w:rsid w:val="00726DDB"/>
    <w:rsid w:val="00734841"/>
    <w:rsid w:val="00743088"/>
    <w:rsid w:val="007665A6"/>
    <w:rsid w:val="00766731"/>
    <w:rsid w:val="00790A47"/>
    <w:rsid w:val="007920C9"/>
    <w:rsid w:val="0079433E"/>
    <w:rsid w:val="007977EC"/>
    <w:rsid w:val="007A4E86"/>
    <w:rsid w:val="007B07B7"/>
    <w:rsid w:val="007C46B8"/>
    <w:rsid w:val="007C5F8B"/>
    <w:rsid w:val="007D1ED6"/>
    <w:rsid w:val="007D5B2A"/>
    <w:rsid w:val="007E5ED8"/>
    <w:rsid w:val="00803C57"/>
    <w:rsid w:val="00814C80"/>
    <w:rsid w:val="00837C19"/>
    <w:rsid w:val="00841E20"/>
    <w:rsid w:val="00844AEB"/>
    <w:rsid w:val="00852362"/>
    <w:rsid w:val="00873CB1"/>
    <w:rsid w:val="00885B0A"/>
    <w:rsid w:val="008A648B"/>
    <w:rsid w:val="008A719E"/>
    <w:rsid w:val="008C09B4"/>
    <w:rsid w:val="008C393A"/>
    <w:rsid w:val="008D016A"/>
    <w:rsid w:val="008F0656"/>
    <w:rsid w:val="008F19A8"/>
    <w:rsid w:val="00901A94"/>
    <w:rsid w:val="009137DB"/>
    <w:rsid w:val="00951DBA"/>
    <w:rsid w:val="009563B1"/>
    <w:rsid w:val="00962D28"/>
    <w:rsid w:val="009829A4"/>
    <w:rsid w:val="009A3C39"/>
    <w:rsid w:val="009B1278"/>
    <w:rsid w:val="009B44F5"/>
    <w:rsid w:val="009D5BF5"/>
    <w:rsid w:val="009F0281"/>
    <w:rsid w:val="009F31B4"/>
    <w:rsid w:val="009F662E"/>
    <w:rsid w:val="00A02B92"/>
    <w:rsid w:val="00A4235F"/>
    <w:rsid w:val="00A46D96"/>
    <w:rsid w:val="00A6037B"/>
    <w:rsid w:val="00A933D1"/>
    <w:rsid w:val="00AA12CF"/>
    <w:rsid w:val="00AA2431"/>
    <w:rsid w:val="00AA5D44"/>
    <w:rsid w:val="00AA64A3"/>
    <w:rsid w:val="00B15CB6"/>
    <w:rsid w:val="00B203AA"/>
    <w:rsid w:val="00B21C36"/>
    <w:rsid w:val="00B413A8"/>
    <w:rsid w:val="00B776D2"/>
    <w:rsid w:val="00B807C1"/>
    <w:rsid w:val="00B8170B"/>
    <w:rsid w:val="00BC1DFC"/>
    <w:rsid w:val="00BE25C0"/>
    <w:rsid w:val="00BF0484"/>
    <w:rsid w:val="00BF5E38"/>
    <w:rsid w:val="00C01B7C"/>
    <w:rsid w:val="00C12534"/>
    <w:rsid w:val="00C5323A"/>
    <w:rsid w:val="00C533A2"/>
    <w:rsid w:val="00C75CC5"/>
    <w:rsid w:val="00CA2B86"/>
    <w:rsid w:val="00CA2EB0"/>
    <w:rsid w:val="00CA36F7"/>
    <w:rsid w:val="00CC29E6"/>
    <w:rsid w:val="00CD3D84"/>
    <w:rsid w:val="00CF5FBE"/>
    <w:rsid w:val="00D37FE4"/>
    <w:rsid w:val="00D425D9"/>
    <w:rsid w:val="00D44115"/>
    <w:rsid w:val="00D44E2C"/>
    <w:rsid w:val="00D508B6"/>
    <w:rsid w:val="00D61746"/>
    <w:rsid w:val="00D7615D"/>
    <w:rsid w:val="00D77D1E"/>
    <w:rsid w:val="00DA412D"/>
    <w:rsid w:val="00DA654C"/>
    <w:rsid w:val="00DD77D7"/>
    <w:rsid w:val="00DF23AF"/>
    <w:rsid w:val="00E06246"/>
    <w:rsid w:val="00E16D1D"/>
    <w:rsid w:val="00E401EB"/>
    <w:rsid w:val="00E451AA"/>
    <w:rsid w:val="00E474D9"/>
    <w:rsid w:val="00E47E3D"/>
    <w:rsid w:val="00E82A74"/>
    <w:rsid w:val="00E9208F"/>
    <w:rsid w:val="00E961B5"/>
    <w:rsid w:val="00EA3EFC"/>
    <w:rsid w:val="00EC47D5"/>
    <w:rsid w:val="00EF112A"/>
    <w:rsid w:val="00F04CCB"/>
    <w:rsid w:val="00F16081"/>
    <w:rsid w:val="00F175E7"/>
    <w:rsid w:val="00F33432"/>
    <w:rsid w:val="00F61808"/>
    <w:rsid w:val="00F63569"/>
    <w:rsid w:val="00FE0A92"/>
    <w:rsid w:val="00FE46DA"/>
    <w:rsid w:val="00FE7BBE"/>
    <w:rsid w:val="00FF251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qFormat/>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qFormat/>
    <w:rsid w:val="002C4796"/>
    <w:pPr>
      <w:tabs>
        <w:tab w:val="left" w:pos="1500"/>
      </w:tabs>
      <w:spacing w:before="60" w:line="280" w:lineRule="atLeast"/>
      <w:ind w:left="1500" w:hanging="660"/>
    </w:pPr>
    <w:rPr>
      <w:b w:val="0"/>
      <w:sz w:val="20"/>
    </w:rPr>
  </w:style>
  <w:style w:type="paragraph" w:styleId="TOC2">
    <w:name w:val="toc 2"/>
    <w:basedOn w:val="TOC1"/>
    <w:uiPriority w:val="39"/>
    <w:qFormat/>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link w:val="figurecaptionChar"/>
    <w:uiPriority w:val="2"/>
    <w:qFormat/>
    <w:rsid w:val="002C4796"/>
    <w:pPr>
      <w:spacing w:after="240" w:line="240" w:lineRule="atLeast"/>
      <w:jc w:val="center"/>
    </w:pPr>
    <w:rPr>
      <w:rFonts w:ascii="Arial" w:hAnsi="Arial"/>
      <w:sz w:val="18"/>
      <w:lang w:eastAsia="en-US"/>
    </w:rPr>
  </w:style>
  <w:style w:type="paragraph" w:customStyle="1" w:styleId="tablecaption">
    <w:name w:val="table caption"/>
    <w:next w:val="Normal"/>
    <w:uiPriority w:val="2"/>
    <w:qFormat/>
    <w:rsid w:val="002C4796"/>
    <w:pPr>
      <w:keepNext/>
      <w:spacing w:before="120" w:after="120" w:line="240" w:lineRule="atLeast"/>
    </w:pPr>
    <w:rPr>
      <w:rFonts w:ascii="Arial" w:hAnsi="Arial"/>
      <w:sz w:val="18"/>
      <w:lang w:eastAsia="en-US"/>
    </w:rPr>
  </w:style>
  <w:style w:type="paragraph" w:customStyle="1" w:styleId="table1">
    <w:name w:val="table 1"/>
    <w:uiPriority w:val="2"/>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uiPriority w:val="2"/>
    <w:qFormat/>
    <w:rsid w:val="002C4796"/>
    <w:pPr>
      <w:tabs>
        <w:tab w:val="left" w:pos="240"/>
      </w:tabs>
      <w:spacing w:after="180" w:line="180" w:lineRule="atLeast"/>
      <w:ind w:left="238" w:hanging="238"/>
    </w:pPr>
    <w:rPr>
      <w:sz w:val="14"/>
    </w:rPr>
  </w:style>
  <w:style w:type="paragraph" w:customStyle="1" w:styleId="bulletlist1">
    <w:name w:val="bullet list 1"/>
    <w:basedOn w:val="Normal"/>
    <w:uiPriority w:val="2"/>
    <w:qFormat/>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
    <w:name w:val="quote"/>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styleId="ListNumber">
    <w:name w:val="List Number"/>
    <w:basedOn w:val="Normal"/>
    <w:rsid w:val="002C4796"/>
    <w:pPr>
      <w:numPr>
        <w:numId w:val="9"/>
      </w:numPr>
    </w:pPr>
  </w:style>
  <w:style w:type="paragraph" w:customStyle="1" w:styleId="platecaption">
    <w:name w:val="plate caption"/>
    <w:basedOn w:val="figurecaption"/>
    <w:rsid w:val="002C4796"/>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semiHidden/>
    <w:rsid w:val="002C4796"/>
    <w:rPr>
      <w:sz w:val="20"/>
    </w:rPr>
  </w:style>
  <w:style w:type="paragraph" w:styleId="DocumentMap">
    <w:name w:val="Document Map"/>
    <w:basedOn w:val="Normal"/>
    <w:semiHidden/>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table" w:styleId="TableGrid">
    <w:name w:val="Table Grid"/>
    <w:basedOn w:val="TableNormal"/>
    <w:rsid w:val="00F160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captionChar">
    <w:name w:val="figure caption Char"/>
    <w:basedOn w:val="DefaultParagraphFont"/>
    <w:link w:val="figurecaption"/>
    <w:uiPriority w:val="2"/>
    <w:rsid w:val="009F662E"/>
    <w:rPr>
      <w:rFonts w:ascii="Arial" w:hAnsi="Arial"/>
      <w:sz w:val="18"/>
      <w:lang w:eastAsia="en-US"/>
    </w:rPr>
  </w:style>
  <w:style w:type="paragraph" w:customStyle="1" w:styleId="referencelist1">
    <w:name w:val="reference list 1"/>
    <w:link w:val="referencelist1Char"/>
    <w:uiPriority w:val="2"/>
    <w:qFormat/>
    <w:rsid w:val="00EF112A"/>
    <w:pPr>
      <w:spacing w:after="120" w:line="280" w:lineRule="atLeast"/>
      <w:ind w:left="360" w:hanging="360"/>
      <w:jc w:val="both"/>
    </w:pPr>
    <w:rPr>
      <w:rFonts w:ascii="Garamond" w:hAnsi="Garamond"/>
      <w:sz w:val="24"/>
      <w:lang w:eastAsia="en-US"/>
    </w:rPr>
  </w:style>
  <w:style w:type="character" w:customStyle="1" w:styleId="referencelist1Char">
    <w:name w:val="reference list 1 Char"/>
    <w:basedOn w:val="DefaultParagraphFont"/>
    <w:link w:val="referencelist1"/>
    <w:uiPriority w:val="2"/>
    <w:rsid w:val="00EF112A"/>
    <w:rPr>
      <w:rFonts w:ascii="Garamond" w:hAnsi="Garamond"/>
      <w:sz w:val="24"/>
      <w:lang w:eastAsia="en-US"/>
    </w:rPr>
  </w:style>
  <w:style w:type="paragraph" w:styleId="Subtitle">
    <w:name w:val="Subtitle"/>
    <w:basedOn w:val="Normal"/>
    <w:next w:val="Normal"/>
    <w:link w:val="SubtitleChar"/>
    <w:qFormat/>
    <w:rsid w:val="00242E9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242E91"/>
    <w:rPr>
      <w:rFonts w:asciiTheme="majorHAnsi" w:eastAsiaTheme="majorEastAsia" w:hAnsiTheme="majorHAnsi" w:cstheme="majorBidi"/>
      <w:i/>
      <w:iCs/>
      <w:color w:val="4F81BD" w:themeColor="accent1"/>
      <w:spacing w:val="15"/>
      <w:sz w:val="24"/>
      <w:szCs w:val="24"/>
      <w:lang w:eastAsia="en-US"/>
    </w:rPr>
  </w:style>
  <w:style w:type="paragraph" w:styleId="TOCHeading">
    <w:name w:val="TOC Heading"/>
    <w:basedOn w:val="Heading1"/>
    <w:next w:val="Normal"/>
    <w:uiPriority w:val="39"/>
    <w:semiHidden/>
    <w:unhideWhenUsed/>
    <w:qFormat/>
    <w:rsid w:val="002F5632"/>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character" w:styleId="FollowedHyperlink">
    <w:name w:val="FollowedHyperlink"/>
    <w:basedOn w:val="DefaultParagraphFont"/>
    <w:rsid w:val="00525F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75146879">
      <w:bodyDiv w:val="1"/>
      <w:marLeft w:val="0"/>
      <w:marRight w:val="0"/>
      <w:marTop w:val="0"/>
      <w:marBottom w:val="0"/>
      <w:divBdr>
        <w:top w:val="none" w:sz="0" w:space="0" w:color="auto"/>
        <w:left w:val="none" w:sz="0" w:space="0" w:color="auto"/>
        <w:bottom w:val="none" w:sz="0" w:space="0" w:color="auto"/>
        <w:right w:val="none" w:sz="0" w:space="0" w:color="auto"/>
      </w:divBdr>
    </w:div>
    <w:div w:id="851530787">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3.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tif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hyperlink" Target="http://arpansa.gov.au/pubs/regulatory/inspections/R11-1285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Approval xmlns="b125ed6b-2419-462e-bf16-76e2ebd9e1d8" xsi:nil="true"/>
    <RecordNumber xmlns="b125ed6b-2419-462e-bf16-76e2ebd9e1d8" xsi:nil="true"/>
    <DocumentDescription xmlns="b125ed6b-2419-462e-bf16-76e2ebd9e1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SPIRE Document" ma:contentTypeID="0x010100218B2C713EC715488E2AF8D8006BBAEC0072AB33BBD0912948AB0C19E8FB8E197B" ma:contentTypeVersion="7" ma:contentTypeDescription="SPIRE Document" ma:contentTypeScope="" ma:versionID="8f3c3cb99e425491ac958beb40319925">
  <xsd:schema xmlns:xsd="http://www.w3.org/2001/XMLSchema" xmlns:xs="http://www.w3.org/2001/XMLSchema" xmlns:p="http://schemas.microsoft.com/office/2006/metadata/properties" xmlns:ns2="b125ed6b-2419-462e-bf16-76e2ebd9e1d8" targetNamespace="http://schemas.microsoft.com/office/2006/metadata/properties" ma:root="true" ma:fieldsID="685b789ca06d8a76887738fdfec6f101" ns2:_="">
    <xsd:import namespace="b125ed6b-2419-462e-bf16-76e2ebd9e1d8"/>
    <xsd:element name="properties">
      <xsd:complexType>
        <xsd:sequence>
          <xsd:element name="documentManagement">
            <xsd:complexType>
              <xsd:all>
                <xsd:element ref="ns2:DocumentDescription" minOccurs="0"/>
                <xsd:element ref="ns2:Approval" minOccurs="0"/>
                <xsd:element ref="ns2:Record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5ed6b-2419-462e-bf16-76e2ebd9e1d8"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58EB6A-91B8-4396-B05B-7967E37A03CB}">
  <ds:schemaRefs>
    <ds:schemaRef ds:uri="http://schemas.microsoft.com/office/2006/metadata/properties"/>
    <ds:schemaRef ds:uri="b125ed6b-2419-462e-bf16-76e2ebd9e1d8"/>
  </ds:schemaRefs>
</ds:datastoreItem>
</file>

<file path=customXml/itemProps2.xml><?xml version="1.0" encoding="utf-8"?>
<ds:datastoreItem xmlns:ds="http://schemas.openxmlformats.org/officeDocument/2006/customXml" ds:itemID="{DA143A52-1E1A-4C77-AB4D-921621DDB336}">
  <ds:schemaRefs>
    <ds:schemaRef ds:uri="http://schemas.microsoft.com/sharepoint/v3/contenttype/forms"/>
  </ds:schemaRefs>
</ds:datastoreItem>
</file>

<file path=customXml/itemProps3.xml><?xml version="1.0" encoding="utf-8"?>
<ds:datastoreItem xmlns:ds="http://schemas.openxmlformats.org/officeDocument/2006/customXml" ds:itemID="{DDC6D1E4-723B-449B-8F01-987A627A6C24}">
  <ds:schemaRefs>
    <ds:schemaRef ds:uri="http://schemas.microsoft.com/sharepoint/events"/>
  </ds:schemaRefs>
</ds:datastoreItem>
</file>

<file path=customXml/itemProps4.xml><?xml version="1.0" encoding="utf-8"?>
<ds:datastoreItem xmlns:ds="http://schemas.openxmlformats.org/officeDocument/2006/customXml" ds:itemID="{585FB3FE-66FB-45F5-A0F5-197E21C3C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25ed6b-2419-462e-bf16-76e2ebd9e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FF9F3C-2962-49D9-9F61-C0DBFBDD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17</Pages>
  <Words>3450</Words>
  <Characters>20652</Characters>
  <Application>Microsoft Office Word</Application>
  <DocSecurity>0</DocSecurity>
  <Lines>458</Lines>
  <Paragraphs>178</Paragraphs>
  <ScaleCrop>false</ScaleCrop>
  <HeadingPairs>
    <vt:vector size="2" baseType="variant">
      <vt:variant>
        <vt:lpstr>Title</vt:lpstr>
      </vt:variant>
      <vt:variant>
        <vt:i4>1</vt:i4>
      </vt:variant>
    </vt:vector>
  </HeadingPairs>
  <TitlesOfParts>
    <vt:vector size="1" baseType="lpstr">
      <vt:lpstr>IR template_2015</vt:lpstr>
    </vt:vector>
  </TitlesOfParts>
  <Company>EA</Company>
  <LinksUpToDate>false</LinksUpToDate>
  <CharactersWithSpaces>23924</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Gamma dose rates and 222Rn activity flux densities at the El Sherana containment</dc:title>
  <dc:creator>Australian Government Department of the Environment</dc:creator>
  <cp:lastModifiedBy>a06368</cp:lastModifiedBy>
  <cp:revision>32</cp:revision>
  <cp:lastPrinted>2003-09-10T07:40:00Z</cp:lastPrinted>
  <dcterms:created xsi:type="dcterms:W3CDTF">2015-07-22T02:45:00Z</dcterms:created>
  <dcterms:modified xsi:type="dcterms:W3CDTF">2015-08-21T05:16:00Z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0x010100218B2C713EC715488E2AF8D8006BBAEC0072AB33BBD0912948AB0C19E8FB8E197B</vt:lpwstr>
  </property>
</Properties>
</file>