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EAE" w:rsidRPr="00557A7B" w:rsidRDefault="00464059" w:rsidP="00856EAE">
      <w:pPr>
        <w:pStyle w:val="StyleCentered"/>
      </w:pPr>
      <w:r>
        <w:rPr>
          <w:noProof/>
          <w:lang w:eastAsia="en-AU"/>
        </w:rPr>
        <w:pict>
          <v:group id="_x0000_s1031" style="position:absolute;left:0;text-align:left;margin-left:398.95pt;margin-top:5.8pt;width:130.1pt;height:153.2pt;z-index:251664384" coordorigin="8546,683" coordsize="2602,3064">
            <v:rect id="_x0000_s1032" style="position:absolute;left:9951;top:683;width:1197;height:2984" fillcolor="black"/>
            <v:shapetype id="_x0000_t202" coordsize="21600,21600" o:spt="202" path="m,l,21600r21600,l21600,xe">
              <v:stroke joinstyle="miter"/>
              <v:path gradientshapeok="t" o:connecttype="rect"/>
            </v:shapetype>
            <v:shape id="_x0000_s1033" type="#_x0000_t202" style="position:absolute;left:10041;top:2337;width:1052;height:1273" fillcolor="black" stroked="f">
              <v:textbox style="mso-next-textbox:#_x0000_s1033" inset="0,0,0,0">
                <w:txbxContent>
                  <w:p w:rsidR="000E55B0" w:rsidRPr="0086045D" w:rsidRDefault="000E55B0" w:rsidP="00856EAE">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643</w:t>
                    </w:r>
                  </w:p>
                </w:txbxContent>
              </v:textbox>
            </v:shape>
            <v:shape id="_x0000_s1034" type="#_x0000_t202" style="position:absolute;left:8546;top:2515;width:1302;height:1232" stroked="f">
              <v:textbox style="mso-next-textbox:#_x0000_s1034">
                <w:txbxContent>
                  <w:p w:rsidR="000E55B0" w:rsidRPr="0086045D" w:rsidRDefault="000E55B0" w:rsidP="00856EAE">
                    <w:pPr>
                      <w:spacing w:after="0" w:line="400" w:lineRule="exact"/>
                      <w:jc w:val="right"/>
                      <w:rPr>
                        <w:i/>
                        <w:spacing w:val="20"/>
                        <w:sz w:val="32"/>
                        <w:szCs w:val="32"/>
                      </w:rPr>
                    </w:pPr>
                    <w:proofErr w:type="gramStart"/>
                    <w:r w:rsidRPr="0086045D">
                      <w:rPr>
                        <w:i/>
                        <w:spacing w:val="20"/>
                        <w:sz w:val="32"/>
                        <w:szCs w:val="32"/>
                      </w:rPr>
                      <w:t>internal</w:t>
                    </w:r>
                    <w:proofErr w:type="gramEnd"/>
                    <w:r w:rsidRPr="0086045D">
                      <w:rPr>
                        <w:i/>
                        <w:spacing w:val="20"/>
                        <w:sz w:val="32"/>
                        <w:szCs w:val="32"/>
                      </w:rPr>
                      <w:t xml:space="preserve"> report</w:t>
                    </w:r>
                  </w:p>
                </w:txbxContent>
              </v:textbox>
            </v:shape>
          </v:group>
        </w:pict>
      </w:r>
      <w:r>
        <w:rPr>
          <w:noProof/>
          <w:lang w:eastAsia="en-AU"/>
        </w:rPr>
        <w:pict>
          <v:shape id="_x0000_s1029" type="#_x0000_t202" style="position:absolute;left:0;text-align:left;margin-left:327.4pt;margin-top:246pt;width:206.45pt;height:196.9pt;z-index:251662336" stroked="f">
            <v:textbox style="mso-next-textbox:#_x0000_s1029">
              <w:txbxContent>
                <w:p w:rsidR="000E55B0" w:rsidRPr="007A4E86" w:rsidRDefault="000E55B0" w:rsidP="00856EAE">
                  <w:pPr>
                    <w:spacing w:after="0" w:line="720" w:lineRule="atLeast"/>
                    <w:jc w:val="left"/>
                    <w:rPr>
                      <w:rFonts w:ascii="Arial" w:hAnsi="Arial" w:cs="Arial"/>
                      <w:spacing w:val="-2"/>
                      <w:sz w:val="36"/>
                      <w:szCs w:val="36"/>
                    </w:rPr>
                  </w:pPr>
                  <w:bookmarkStart w:id="0" w:name="OLE_LINK1"/>
                  <w:bookmarkStart w:id="1" w:name="OLE_LINK2"/>
                  <w:bookmarkStart w:id="2" w:name="_Hlk443485221"/>
                  <w:r>
                    <w:rPr>
                      <w:rFonts w:ascii="Arial" w:hAnsi="Arial" w:cs="Arial"/>
                      <w:spacing w:val="-2"/>
                      <w:sz w:val="36"/>
                      <w:szCs w:val="36"/>
                    </w:rPr>
                    <w:t xml:space="preserve">A revised operational limit for the water </w:t>
                  </w:r>
                  <w:r w:rsidRPr="00F0418B">
                    <w:rPr>
                      <w:rFonts w:ascii="Arial" w:hAnsi="Arial"/>
                      <w:snapToGrid w:val="0"/>
                      <w:color w:val="000000"/>
                      <w:spacing w:val="-10"/>
                      <w:position w:val="9"/>
                      <w:szCs w:val="0"/>
                      <w:u w:color="000000"/>
                    </w:rPr>
                    <w:t>226</w:t>
                  </w:r>
                  <w:r>
                    <w:rPr>
                      <w:rFonts w:ascii="Arial" w:hAnsi="Arial" w:cs="Arial"/>
                      <w:spacing w:val="-2"/>
                      <w:sz w:val="36"/>
                      <w:szCs w:val="36"/>
                    </w:rPr>
                    <w:t xml:space="preserve">Ra activity concentration downstream of </w:t>
                  </w:r>
                  <w:r w:rsidRPr="00F0418B">
                    <w:rPr>
                      <w:rFonts w:ascii="Arial" w:hAnsi="Arial" w:cs="Arial"/>
                      <w:spacing w:val="-2"/>
                      <w:sz w:val="36"/>
                      <w:szCs w:val="36"/>
                      <w:lang w:val="en-US"/>
                    </w:rPr>
                    <w:t xml:space="preserve">Ranger mine </w:t>
                  </w:r>
                  <w:bookmarkEnd w:id="0"/>
                  <w:bookmarkEnd w:id="1"/>
                  <w:bookmarkEnd w:id="2"/>
                </w:p>
              </w:txbxContent>
            </v:textbox>
          </v:shape>
        </w:pict>
      </w:r>
      <w:r w:rsidR="00856EAE">
        <w:rPr>
          <w:noProof/>
          <w:lang w:eastAsia="en-AU"/>
        </w:rPr>
        <w:drawing>
          <wp:anchor distT="0" distB="0" distL="114300" distR="114300" simplePos="0" relativeHeight="251661312" behindDoc="0" locked="0" layoutInCell="1" allowOverlap="1">
            <wp:simplePos x="0" y="0"/>
            <wp:positionH relativeFrom="column">
              <wp:posOffset>3422015</wp:posOffset>
            </wp:positionH>
            <wp:positionV relativeFrom="paragraph">
              <wp:posOffset>5932805</wp:posOffset>
            </wp:positionV>
            <wp:extent cx="3239770" cy="111760"/>
            <wp:effectExtent l="19050" t="0" r="0" b="0"/>
            <wp:wrapNone/>
            <wp:docPr id="8"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8" cstate="print"/>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Pr>
          <w:noProof/>
          <w:lang w:eastAsia="en-AU"/>
        </w:rPr>
        <w:pict>
          <v:group id="_x0000_s1026" style="position:absolute;left:0;text-align:left;margin-left:18.35pt;margin-top:193.95pt;width:288.9pt;height:596.9pt;z-index:251660288;mso-position-horizontal-relative:text;mso-position-vertical-relative:text" coordorigin="989,3418" coordsize="5933,11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024;top:4703;width:5708;height:10323">
              <v:imagedata r:id="rId9" o:title="pandanus"/>
            </v:shape>
            <v:rect id="_x0000_s1028" style="position:absolute;left:989;top:3418;width:5933;height:11208" filled="f" strokeweight="4.5pt"/>
          </v:group>
        </w:pict>
      </w:r>
    </w:p>
    <w:p w:rsidR="00856EAE" w:rsidRDefault="00464059" w:rsidP="00856EAE">
      <w:r>
        <w:rPr>
          <w:noProof/>
          <w:lang w:eastAsia="en-AU"/>
        </w:rPr>
        <w:pict>
          <v:shape id="_x0000_s1030" type="#_x0000_t202" style="position:absolute;left:0;text-align:left;margin-left:327.4pt;margin-top:473.85pt;width:230.85pt;height:227.25pt;z-index:251663360" stroked="f">
            <v:textbox style="mso-next-textbox:#_x0000_s1030">
              <w:txbxContent>
                <w:p w:rsidR="000E55B0" w:rsidRDefault="000E55B0" w:rsidP="00856EAE">
                  <w:pPr>
                    <w:spacing w:after="0" w:line="600" w:lineRule="atLeast"/>
                    <w:jc w:val="left"/>
                    <w:rPr>
                      <w:rFonts w:ascii="Arial" w:hAnsi="Arial" w:cs="Arial"/>
                      <w:spacing w:val="-2"/>
                      <w:sz w:val="28"/>
                      <w:szCs w:val="28"/>
                    </w:rPr>
                  </w:pPr>
                  <w:r w:rsidRPr="00BD01D3">
                    <w:rPr>
                      <w:rFonts w:ascii="Arial" w:hAnsi="Arial" w:cs="Arial"/>
                      <w:spacing w:val="-2"/>
                      <w:sz w:val="28"/>
                      <w:szCs w:val="28"/>
                    </w:rPr>
                    <w:t>Andreas Bollhöfer, Che Doering, Peter Medley</w:t>
                  </w:r>
                </w:p>
                <w:p w:rsidR="000E55B0" w:rsidRPr="00172461" w:rsidRDefault="000E55B0" w:rsidP="00856EAE">
                  <w:pPr>
                    <w:pStyle w:val="cover-author"/>
                  </w:pPr>
                  <w:r>
                    <w:t>February 2016</w:t>
                  </w:r>
                </w:p>
                <w:p w:rsidR="000E55B0" w:rsidRPr="00172461" w:rsidRDefault="000E55B0" w:rsidP="00856EAE">
                  <w:pPr>
                    <w:spacing w:after="0" w:line="600" w:lineRule="atLeast"/>
                    <w:jc w:val="left"/>
                    <w:rPr>
                      <w:rFonts w:ascii="Calibri" w:hAnsi="Calibri"/>
                      <w:spacing w:val="-2"/>
                      <w:sz w:val="28"/>
                      <w:szCs w:val="28"/>
                    </w:rPr>
                  </w:pPr>
                </w:p>
                <w:p w:rsidR="000E55B0" w:rsidRDefault="000E55B0" w:rsidP="00856EAE">
                  <w:pPr>
                    <w:pStyle w:val="cover-author"/>
                  </w:pPr>
                  <w:r w:rsidRPr="003535B5">
                    <w:t xml:space="preserve">Release </w:t>
                  </w:r>
                  <w:r w:rsidRPr="00371D2F">
                    <w:t>status</w:t>
                  </w:r>
                  <w:r w:rsidRPr="003535B5">
                    <w:t xml:space="preserve"> – </w:t>
                  </w:r>
                  <w:r>
                    <w:t>Public</w:t>
                  </w:r>
                </w:p>
                <w:p w:rsidR="000E55B0" w:rsidRPr="003535B5" w:rsidRDefault="000E55B0" w:rsidP="00856EAE">
                  <w:pPr>
                    <w:pStyle w:val="cover-author"/>
                  </w:pPr>
                  <w:r>
                    <w:t xml:space="preserve">Project number – </w:t>
                  </w:r>
                  <w:r w:rsidRPr="00CE444A">
                    <w:t>MON-2000-002</w:t>
                  </w:r>
                </w:p>
              </w:txbxContent>
            </v:textbox>
          </v:shape>
        </w:pict>
      </w:r>
      <w:r w:rsidR="00856EAE">
        <w:rPr>
          <w:noProof/>
          <w:lang w:eastAsia="en-AU"/>
        </w:rPr>
        <w:drawing>
          <wp:anchor distT="0" distB="0" distL="114300" distR="114300" simplePos="0" relativeHeight="251665408" behindDoc="0" locked="0" layoutInCell="1" allowOverlap="1">
            <wp:simplePos x="0" y="0"/>
            <wp:positionH relativeFrom="column">
              <wp:posOffset>1097280</wp:posOffset>
            </wp:positionH>
            <wp:positionV relativeFrom="paragraph">
              <wp:posOffset>443230</wp:posOffset>
            </wp:positionV>
            <wp:extent cx="2051685" cy="1414145"/>
            <wp:effectExtent l="19050" t="0" r="5715" b="0"/>
            <wp:wrapSquare wrapText="bothSides"/>
            <wp:docPr id="9" name="Picture 0"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jpg"/>
                    <pic:cNvPicPr/>
                  </pic:nvPicPr>
                  <pic:blipFill>
                    <a:blip r:embed="rId10" cstate="print"/>
                    <a:stretch>
                      <a:fillRect/>
                    </a:stretch>
                  </pic:blipFill>
                  <pic:spPr>
                    <a:xfrm>
                      <a:off x="0" y="0"/>
                      <a:ext cx="2051685" cy="1414145"/>
                    </a:xfrm>
                    <a:prstGeom prst="rect">
                      <a:avLst/>
                    </a:prstGeom>
                  </pic:spPr>
                </pic:pic>
              </a:graphicData>
            </a:graphic>
          </wp:anchor>
        </w:drawing>
      </w:r>
    </w:p>
    <w:p w:rsidR="00856EAE" w:rsidRDefault="00856EAE" w:rsidP="00856EAE">
      <w:pPr>
        <w:sectPr w:rsidR="00856EAE" w:rsidSect="00371D2F">
          <w:headerReference w:type="even" r:id="rId11"/>
          <w:footerReference w:type="even" r:id="rId12"/>
          <w:footerReference w:type="default" r:id="rId13"/>
          <w:footerReference w:type="first" r:id="rId14"/>
          <w:pgSz w:w="11906" w:h="16838" w:code="9"/>
          <w:pgMar w:top="567" w:right="567" w:bottom="567" w:left="567" w:header="1077" w:footer="833" w:gutter="0"/>
          <w:pgNumType w:fmt="lowerRoman" w:start="1"/>
          <w:cols w:space="360"/>
          <w:noEndnote/>
        </w:sectPr>
      </w:pPr>
    </w:p>
    <w:p w:rsidR="00856EAE" w:rsidRDefault="00856EAE" w:rsidP="00856EAE">
      <w:pPr>
        <w:rPr>
          <w:i/>
          <w:sz w:val="18"/>
        </w:rPr>
      </w:pPr>
      <w:r>
        <w:rPr>
          <w:i/>
          <w:sz w:val="18"/>
        </w:rPr>
        <w:t>This page has been left blank intentionally.</w:t>
      </w:r>
    </w:p>
    <w:p w:rsidR="00856EAE" w:rsidRDefault="00856EAE" w:rsidP="00856EAE">
      <w:pPr>
        <w:sectPr w:rsidR="00856EAE">
          <w:pgSz w:w="11906" w:h="16838" w:code="9"/>
          <w:pgMar w:top="1440" w:right="1800" w:bottom="1440" w:left="1800" w:header="1080" w:footer="835" w:gutter="0"/>
          <w:pgNumType w:fmt="lowerRoman" w:start="1"/>
          <w:cols w:space="360"/>
          <w:noEndnote/>
        </w:sectPr>
      </w:pPr>
      <w:r>
        <w:t xml:space="preserve"> </w:t>
      </w:r>
    </w:p>
    <w:p w:rsidR="00856EAE" w:rsidRDefault="00856EAE" w:rsidP="00856EAE">
      <w:pPr>
        <w:jc w:val="center"/>
      </w:pPr>
      <w:r w:rsidRPr="00F0418B">
        <w:rPr>
          <w:rFonts w:ascii="Arial" w:hAnsi="Arial"/>
          <w:b/>
          <w:sz w:val="36"/>
        </w:rPr>
        <w:t>A revised</w:t>
      </w:r>
      <w:r w:rsidRPr="00A74B73">
        <w:t xml:space="preserve"> </w:t>
      </w:r>
      <w:r w:rsidRPr="00A74B73">
        <w:rPr>
          <w:rFonts w:ascii="Arial" w:hAnsi="Arial"/>
          <w:b/>
          <w:sz w:val="36"/>
        </w:rPr>
        <w:t>operational</w:t>
      </w:r>
      <w:r w:rsidRPr="00F0418B">
        <w:rPr>
          <w:rFonts w:ascii="Arial" w:hAnsi="Arial"/>
          <w:b/>
          <w:sz w:val="36"/>
        </w:rPr>
        <w:t xml:space="preserve"> limit for the</w:t>
      </w:r>
      <w:r>
        <w:rPr>
          <w:rFonts w:ascii="Arial" w:hAnsi="Arial"/>
          <w:b/>
          <w:sz w:val="36"/>
        </w:rPr>
        <w:t xml:space="preserve"> water</w:t>
      </w:r>
      <w:r w:rsidRPr="00F0418B">
        <w:rPr>
          <w:rFonts w:ascii="Arial" w:hAnsi="Arial"/>
          <w:b/>
          <w:sz w:val="36"/>
        </w:rPr>
        <w:t xml:space="preserve"> </w:t>
      </w:r>
      <w:r w:rsidRPr="00F0418B">
        <w:rPr>
          <w:rFonts w:ascii="Arial" w:hAnsi="Arial"/>
          <w:b/>
          <w:snapToGrid w:val="0"/>
          <w:color w:val="000000"/>
          <w:position w:val="9"/>
          <w:szCs w:val="0"/>
          <w:u w:color="000000"/>
        </w:rPr>
        <w:t>226</w:t>
      </w:r>
      <w:r w:rsidRPr="00F0418B">
        <w:rPr>
          <w:rFonts w:ascii="Arial" w:hAnsi="Arial"/>
          <w:b/>
          <w:sz w:val="36"/>
        </w:rPr>
        <w:t>Ra activity concentration downstream of Ranger mine</w:t>
      </w:r>
    </w:p>
    <w:p w:rsidR="00856EAE" w:rsidRDefault="00856EAE" w:rsidP="00856EAE"/>
    <w:p w:rsidR="00856EAE" w:rsidRDefault="00856EAE" w:rsidP="00856EAE"/>
    <w:p w:rsidR="00856EAE" w:rsidRDefault="00856EAE" w:rsidP="00856EAE">
      <w:pPr>
        <w:pStyle w:val="authors"/>
      </w:pPr>
      <w:r>
        <w:t>Andreas Bollhöfer, Che Doering,</w:t>
      </w:r>
      <w:r w:rsidRPr="00BD01D3">
        <w:t xml:space="preserve"> </w:t>
      </w:r>
      <w:r>
        <w:t>Peter Medley</w:t>
      </w:r>
    </w:p>
    <w:p w:rsidR="00856EAE" w:rsidRDefault="00856EAE" w:rsidP="00856EAE">
      <w:pPr>
        <w:pStyle w:val="StyleCentered"/>
      </w:pPr>
    </w:p>
    <w:p w:rsidR="00856EAE" w:rsidRDefault="00856EAE" w:rsidP="00856EAE">
      <w:pPr>
        <w:pStyle w:val="StyleCentered"/>
      </w:pPr>
    </w:p>
    <w:p w:rsidR="00856EAE" w:rsidRDefault="00856EAE" w:rsidP="00856EAE">
      <w:pPr>
        <w:pStyle w:val="StyleCentered"/>
      </w:pPr>
      <w:r>
        <w:t>Supervising Scientist</w:t>
      </w:r>
    </w:p>
    <w:p w:rsidR="00856EAE" w:rsidRDefault="00856EAE" w:rsidP="00856EAE">
      <w:pPr>
        <w:pStyle w:val="StyleCentered"/>
      </w:pPr>
      <w:r>
        <w:t>GPO Box 461, Darwin NT 0801</w:t>
      </w:r>
    </w:p>
    <w:p w:rsidR="00856EAE" w:rsidRDefault="00856EAE" w:rsidP="00856EAE">
      <w:pPr>
        <w:pStyle w:val="StyleCentered"/>
      </w:pPr>
    </w:p>
    <w:p w:rsidR="00856EAE" w:rsidRDefault="00856EAE" w:rsidP="00856EAE">
      <w:pPr>
        <w:pStyle w:val="StyleCentered"/>
      </w:pPr>
    </w:p>
    <w:p w:rsidR="00856EAE" w:rsidRDefault="00856EAE" w:rsidP="00856EAE">
      <w:pPr>
        <w:pStyle w:val="StyleCentered"/>
      </w:pPr>
    </w:p>
    <w:p w:rsidR="00856EAE" w:rsidRDefault="00856EAE" w:rsidP="00856EAE">
      <w:pPr>
        <w:pStyle w:val="StyleCentered"/>
      </w:pPr>
    </w:p>
    <w:p w:rsidR="00856EAE" w:rsidRDefault="00CE444A" w:rsidP="00856EAE">
      <w:pPr>
        <w:pStyle w:val="StyleCentered"/>
      </w:pPr>
      <w:r>
        <w:t>February 2016</w:t>
      </w:r>
    </w:p>
    <w:p w:rsidR="00856EAE" w:rsidRDefault="00856EAE" w:rsidP="00856EAE">
      <w:pPr>
        <w:pStyle w:val="StyleCentered"/>
      </w:pPr>
    </w:p>
    <w:p w:rsidR="00856EAE" w:rsidRDefault="00856EAE" w:rsidP="00856EAE">
      <w:pPr>
        <w:pStyle w:val="StyleCentered"/>
      </w:pPr>
    </w:p>
    <w:p w:rsidR="00856EAE" w:rsidRDefault="00856EAE" w:rsidP="00856EAE">
      <w:pPr>
        <w:pStyle w:val="StyleCentered"/>
      </w:pPr>
    </w:p>
    <w:p w:rsidR="00856EAE" w:rsidRDefault="00856EAE" w:rsidP="00856EAE">
      <w:pPr>
        <w:pStyle w:val="StyleCentered"/>
      </w:pPr>
      <w:r>
        <w:t xml:space="preserve">(Release status – </w:t>
      </w:r>
      <w:r w:rsidR="00CE444A">
        <w:t>Public</w:t>
      </w:r>
      <w:r>
        <w:t>)</w:t>
      </w:r>
    </w:p>
    <w:p w:rsidR="00856EAE" w:rsidRDefault="00856EAE" w:rsidP="00856EAE">
      <w:pPr>
        <w:pStyle w:val="StyleCentered"/>
      </w:pPr>
    </w:p>
    <w:p w:rsidR="00856EAE" w:rsidRDefault="00856EAE" w:rsidP="00856EAE"/>
    <w:p w:rsidR="00856EAE" w:rsidRDefault="00856EAE" w:rsidP="00856EAE"/>
    <w:p w:rsidR="00856EAE" w:rsidRDefault="00856EAE" w:rsidP="00856EAE"/>
    <w:p w:rsidR="00856EAE" w:rsidRDefault="00856EAE" w:rsidP="00856EAE"/>
    <w:p w:rsidR="00856EAE" w:rsidRDefault="00856EAE" w:rsidP="00856EAE"/>
    <w:p w:rsidR="00856EAE" w:rsidRDefault="00856EAE" w:rsidP="00856EAE"/>
    <w:p w:rsidR="00856EAE" w:rsidRDefault="00856EAE" w:rsidP="00856EAE"/>
    <w:p w:rsidR="00856EAE" w:rsidRDefault="00856EAE" w:rsidP="00856EAE">
      <w:pPr>
        <w:pStyle w:val="StyleCentered"/>
      </w:pPr>
      <w:r>
        <w:rPr>
          <w:noProof/>
          <w:lang w:eastAsia="en-AU"/>
        </w:rPr>
        <w:drawing>
          <wp:inline distT="0" distB="0" distL="0" distR="0">
            <wp:extent cx="2672442" cy="990600"/>
            <wp:effectExtent l="0" t="0" r="0" b="0"/>
            <wp:docPr id="12" name="Picture 1" descr="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jpg"/>
                    <pic:cNvPicPr/>
                  </pic:nvPicPr>
                  <pic:blipFill>
                    <a:blip r:embed="rId15" cstate="print"/>
                    <a:stretch>
                      <a:fillRect/>
                    </a:stretch>
                  </pic:blipFill>
                  <pic:spPr>
                    <a:xfrm>
                      <a:off x="0" y="0"/>
                      <a:ext cx="2672442" cy="990600"/>
                    </a:xfrm>
                    <a:prstGeom prst="rect">
                      <a:avLst/>
                    </a:prstGeom>
                  </pic:spPr>
                </pic:pic>
              </a:graphicData>
            </a:graphic>
          </wp:inline>
        </w:drawing>
      </w:r>
    </w:p>
    <w:p w:rsidR="00856EAE" w:rsidRDefault="00856EAE" w:rsidP="00856EAE">
      <w:pPr>
        <w:rPr>
          <w:i/>
          <w:sz w:val="18"/>
        </w:rPr>
        <w:sectPr w:rsidR="00856EAE">
          <w:pgSz w:w="11906" w:h="16838" w:code="9"/>
          <w:pgMar w:top="1440" w:right="1800" w:bottom="1440" w:left="1800" w:header="1080" w:footer="835" w:gutter="0"/>
          <w:pgNumType w:fmt="lowerRoman" w:start="1"/>
          <w:cols w:space="360"/>
          <w:noEndnote/>
        </w:sectPr>
      </w:pPr>
    </w:p>
    <w:p w:rsidR="00856EAE" w:rsidRDefault="00856EAE" w:rsidP="00856EAE">
      <w:pPr>
        <w:rPr>
          <w:i/>
          <w:sz w:val="18"/>
        </w:rPr>
      </w:pPr>
      <w:r>
        <w:rPr>
          <w:i/>
          <w:sz w:val="18"/>
        </w:rPr>
        <w:t>How to cite this report:</w:t>
      </w:r>
    </w:p>
    <w:p w:rsidR="00283593" w:rsidRPr="005D2C55" w:rsidRDefault="00283593" w:rsidP="00283593">
      <w:pPr>
        <w:pStyle w:val="referencelist1"/>
        <w:rPr>
          <w:sz w:val="20"/>
        </w:rPr>
      </w:pPr>
      <w:proofErr w:type="spellStart"/>
      <w:r w:rsidRPr="005D2C55">
        <w:rPr>
          <w:sz w:val="20"/>
        </w:rPr>
        <w:t>Bollhöfer</w:t>
      </w:r>
      <w:proofErr w:type="spellEnd"/>
      <w:r w:rsidRPr="005D2C55">
        <w:rPr>
          <w:sz w:val="20"/>
        </w:rPr>
        <w:t xml:space="preserve"> A, </w:t>
      </w:r>
      <w:r w:rsidR="005D2C55" w:rsidRPr="005D2C55">
        <w:rPr>
          <w:sz w:val="20"/>
        </w:rPr>
        <w:t xml:space="preserve">Doering C &amp; </w:t>
      </w:r>
      <w:r w:rsidRPr="005D2C55">
        <w:rPr>
          <w:sz w:val="20"/>
        </w:rPr>
        <w:t xml:space="preserve">Medley P </w:t>
      </w:r>
      <w:proofErr w:type="gramStart"/>
      <w:r w:rsidRPr="005D2C55">
        <w:rPr>
          <w:i/>
          <w:sz w:val="20"/>
        </w:rPr>
        <w:t>A</w:t>
      </w:r>
      <w:proofErr w:type="gramEnd"/>
      <w:r w:rsidRPr="005D2C55">
        <w:rPr>
          <w:i/>
          <w:sz w:val="20"/>
        </w:rPr>
        <w:t xml:space="preserve"> revised operational limit for the water 226Ra activity concentration downstream of Ranger mine</w:t>
      </w:r>
      <w:r w:rsidR="005D2C55" w:rsidRPr="005D2C55">
        <w:rPr>
          <w:i/>
          <w:sz w:val="20"/>
        </w:rPr>
        <w:t xml:space="preserve">. </w:t>
      </w:r>
      <w:r w:rsidR="005D2C55" w:rsidRPr="005D2C55">
        <w:rPr>
          <w:sz w:val="20"/>
        </w:rPr>
        <w:t xml:space="preserve">Internal Report 643, </w:t>
      </w:r>
      <w:r w:rsidR="005D2C55" w:rsidRPr="005D2C55">
        <w:rPr>
          <w:spacing w:val="-2"/>
          <w:sz w:val="20"/>
        </w:rPr>
        <w:t>February, Supervising Scientist, Darwin.</w:t>
      </w:r>
    </w:p>
    <w:p w:rsidR="00856EAE" w:rsidRPr="00962D28" w:rsidRDefault="00856EAE" w:rsidP="00856EAE">
      <w:pPr>
        <w:rPr>
          <w:i/>
          <w:sz w:val="18"/>
        </w:rPr>
      </w:pPr>
      <w:r w:rsidRPr="00962D28">
        <w:rPr>
          <w:i/>
          <w:sz w:val="18"/>
        </w:rPr>
        <w:t xml:space="preserve">Project number: </w:t>
      </w:r>
      <w:r w:rsidR="00E70777" w:rsidRPr="00E70777">
        <w:rPr>
          <w:i/>
          <w:sz w:val="18"/>
        </w:rPr>
        <w:t>MON-2000-002</w:t>
      </w:r>
    </w:p>
    <w:p w:rsidR="00856EAE" w:rsidRDefault="00856EAE" w:rsidP="00856EAE">
      <w:pPr>
        <w:rPr>
          <w:i/>
          <w:sz w:val="18"/>
        </w:rPr>
      </w:pPr>
      <w:r>
        <w:rPr>
          <w:i/>
          <w:sz w:val="18"/>
        </w:rPr>
        <w:t>Authors of this report:</w:t>
      </w:r>
    </w:p>
    <w:p w:rsidR="00283593" w:rsidRPr="007C74F7" w:rsidRDefault="00283593" w:rsidP="00283593">
      <w:pPr>
        <w:spacing w:after="80" w:line="240" w:lineRule="auto"/>
        <w:ind w:left="357"/>
        <w:rPr>
          <w:sz w:val="20"/>
        </w:rPr>
      </w:pPr>
      <w:r w:rsidRPr="007C74F7">
        <w:rPr>
          <w:sz w:val="20"/>
        </w:rPr>
        <w:t xml:space="preserve">Andreas </w:t>
      </w:r>
      <w:proofErr w:type="spellStart"/>
      <w:r w:rsidRPr="007C74F7">
        <w:rPr>
          <w:sz w:val="20"/>
        </w:rPr>
        <w:t>Bollhöfer</w:t>
      </w:r>
      <w:proofErr w:type="spellEnd"/>
      <w:r w:rsidRPr="007C74F7">
        <w:rPr>
          <w:sz w:val="20"/>
        </w:rPr>
        <w:t xml:space="preserve"> – Environmental Research Institute of the Supervising Scientist, GPO Box 461, Darwin NT 0801, Australia</w:t>
      </w:r>
    </w:p>
    <w:p w:rsidR="00283593" w:rsidRPr="007C74F7" w:rsidRDefault="00283593" w:rsidP="00283593">
      <w:pPr>
        <w:spacing w:after="80" w:line="240" w:lineRule="auto"/>
        <w:ind w:left="357"/>
        <w:rPr>
          <w:sz w:val="20"/>
        </w:rPr>
      </w:pPr>
      <w:r>
        <w:rPr>
          <w:sz w:val="20"/>
        </w:rPr>
        <w:t xml:space="preserve">Che </w:t>
      </w:r>
      <w:proofErr w:type="gramStart"/>
      <w:r>
        <w:rPr>
          <w:sz w:val="20"/>
        </w:rPr>
        <w:t>Doering</w:t>
      </w:r>
      <w:r w:rsidRPr="007C74F7">
        <w:rPr>
          <w:sz w:val="20"/>
        </w:rPr>
        <w:t xml:space="preserve">  –</w:t>
      </w:r>
      <w:proofErr w:type="gramEnd"/>
      <w:r w:rsidRPr="007C74F7">
        <w:rPr>
          <w:sz w:val="20"/>
        </w:rPr>
        <w:t xml:space="preserve"> Environmental Research Institute of the Supervising Scientist, GPO Box 461, Darwin NT 0801, Australia</w:t>
      </w:r>
    </w:p>
    <w:p w:rsidR="00283593" w:rsidRPr="007C74F7" w:rsidRDefault="00283593" w:rsidP="00283593">
      <w:pPr>
        <w:spacing w:after="80" w:line="240" w:lineRule="auto"/>
        <w:ind w:left="357"/>
        <w:rPr>
          <w:sz w:val="20"/>
        </w:rPr>
      </w:pPr>
      <w:r w:rsidRPr="007C74F7">
        <w:rPr>
          <w:sz w:val="20"/>
        </w:rPr>
        <w:t>Peter Medley – Environmental Research Institute of the Supervising Scientist, GPO Box 461, Darwin NT 0801, Australia</w:t>
      </w:r>
    </w:p>
    <w:p w:rsidR="00856EAE" w:rsidRDefault="00856EAE" w:rsidP="00856EAE"/>
    <w:p w:rsidR="00856EAE" w:rsidRPr="005A73B9" w:rsidRDefault="00856EAE" w:rsidP="00856EAE">
      <w:r w:rsidRPr="005A73B9">
        <w:t xml:space="preserve">Supervising Scientist is a branch of the Australian Government </w:t>
      </w:r>
      <w:r w:rsidRPr="005A73B9">
        <w:rPr>
          <w:lang w:eastAsia="en-AU"/>
        </w:rPr>
        <w:t xml:space="preserve">Department of </w:t>
      </w:r>
      <w:r>
        <w:rPr>
          <w:lang w:eastAsia="en-AU"/>
        </w:rPr>
        <w:br/>
      </w:r>
      <w:r w:rsidRPr="005A73B9">
        <w:rPr>
          <w:lang w:eastAsia="en-AU"/>
        </w:rPr>
        <w:t>the Environment.</w:t>
      </w:r>
    </w:p>
    <w:p w:rsidR="00856EAE" w:rsidRDefault="00856EAE" w:rsidP="00856EAE">
      <w:r>
        <w:rPr>
          <w:noProof/>
          <w:lang w:eastAsia="en-AU"/>
        </w:rPr>
        <w:drawing>
          <wp:inline distT="0" distB="0" distL="0" distR="0">
            <wp:extent cx="1524000" cy="533400"/>
            <wp:effectExtent l="19050" t="0" r="0" b="0"/>
            <wp:docPr id="14" name="Picture 0" descr="Copyright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Image.tif"/>
                    <pic:cNvPicPr/>
                  </pic:nvPicPr>
                  <pic:blipFill>
                    <a:blip r:embed="rId16" cstate="print"/>
                    <a:stretch>
                      <a:fillRect/>
                    </a:stretch>
                  </pic:blipFill>
                  <pic:spPr>
                    <a:xfrm>
                      <a:off x="0" y="0"/>
                      <a:ext cx="1524000" cy="533400"/>
                    </a:xfrm>
                    <a:prstGeom prst="rect">
                      <a:avLst/>
                    </a:prstGeom>
                  </pic:spPr>
                </pic:pic>
              </a:graphicData>
            </a:graphic>
          </wp:inline>
        </w:drawing>
      </w:r>
    </w:p>
    <w:p w:rsidR="00856EAE" w:rsidRPr="005A73B9" w:rsidRDefault="00856EAE" w:rsidP="00856EAE">
      <w:r w:rsidRPr="005A73B9">
        <w:t>© Commonwealth of Australia 2015</w:t>
      </w:r>
    </w:p>
    <w:p w:rsidR="00856EAE" w:rsidRDefault="00856EAE" w:rsidP="00856EAE">
      <w:pPr>
        <w:spacing w:after="0"/>
      </w:pPr>
      <w:r>
        <w:t>Supervising Scientist</w:t>
      </w:r>
    </w:p>
    <w:p w:rsidR="00856EAE" w:rsidRDefault="00856EAE" w:rsidP="00856EAE">
      <w:pPr>
        <w:spacing w:after="0"/>
      </w:pPr>
      <w:r>
        <w:rPr>
          <w:lang w:eastAsia="en-AU"/>
        </w:rPr>
        <w:t xml:space="preserve">Department of the Environment </w:t>
      </w:r>
    </w:p>
    <w:p w:rsidR="00856EAE" w:rsidRDefault="00856EAE" w:rsidP="00856EAE">
      <w:r>
        <w:t xml:space="preserve">GPO </w:t>
      </w:r>
      <w:smartTag w:uri="urn:schemas-microsoft-com:office:smarttags" w:element="address">
        <w:smartTag w:uri="urn:schemas-microsoft-com:office:smarttags" w:element="Street">
          <w:r>
            <w:t>Box 461</w:t>
          </w:r>
        </w:smartTag>
        <w:r>
          <w:t xml:space="preserve">, </w:t>
        </w:r>
        <w:smartTag w:uri="urn:schemas-microsoft-com:office:smarttags" w:element="City">
          <w:r>
            <w:t>Darwin</w:t>
          </w:r>
        </w:smartTag>
        <w:r>
          <w:t xml:space="preserve"> </w:t>
        </w:r>
        <w:smartTag w:uri="urn:schemas-microsoft-com:office:smarttags" w:element="State">
          <w:r>
            <w:t>NT</w:t>
          </w:r>
        </w:smartTag>
      </w:smartTag>
      <w:r>
        <w:t xml:space="preserve"> 0801 Australia</w:t>
      </w:r>
    </w:p>
    <w:p w:rsidR="00856EAE" w:rsidRPr="006F2AA7" w:rsidRDefault="00856EAE" w:rsidP="00856EAE">
      <w:pPr>
        <w:rPr>
          <w:lang w:val="de-DE"/>
        </w:rPr>
      </w:pPr>
      <w:r w:rsidRPr="00543AAF">
        <w:rPr>
          <w:b/>
          <w:lang w:val="de-DE"/>
        </w:rPr>
        <w:t>environment</w:t>
      </w:r>
      <w:r>
        <w:rPr>
          <w:lang w:val="de-DE"/>
        </w:rPr>
        <w:t>.gov.au/</w:t>
      </w:r>
      <w:r w:rsidRPr="00052FB9">
        <w:rPr>
          <w:lang w:val="de-DE"/>
        </w:rPr>
        <w:t>science/supervising-scientist/publications</w:t>
      </w:r>
    </w:p>
    <w:p w:rsidR="00856EAE" w:rsidRDefault="00856EAE" w:rsidP="00856EAE">
      <w:r>
        <w:t>IR</w:t>
      </w:r>
      <w:r w:rsidR="00283593">
        <w:t>643</w:t>
      </w:r>
      <w: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r w:rsidRPr="005A73B9">
        <w:t>http://creative</w:t>
      </w:r>
      <w:bookmarkStart w:id="4" w:name="_Toc513964642"/>
      <w:bookmarkStart w:id="5" w:name="_Toc529153317"/>
      <w:bookmarkStart w:id="6" w:name="_Toc529257114"/>
      <w:bookmarkStart w:id="7" w:name="_Toc530561182"/>
      <w:bookmarkStart w:id="8" w:name="_Toc328494"/>
      <w:bookmarkStart w:id="9" w:name="_Toc10348567"/>
      <w:bookmarkStart w:id="10" w:name="_Toc10440452"/>
      <w:bookmarkStart w:id="11" w:name="_Toc14069262"/>
      <w:bookmarkStart w:id="12" w:name="_Toc44923914"/>
      <w:bookmarkStart w:id="13" w:name="_Toc44999410"/>
      <w:bookmarkStart w:id="14" w:name="_Toc45098428"/>
      <w:bookmarkStart w:id="15" w:name="_Toc45703076"/>
      <w:r>
        <w:t>commons.org/licenses/by/3.0/au/</w:t>
      </w:r>
    </w:p>
    <w:p w:rsidR="00856EAE" w:rsidRPr="00892A8E" w:rsidRDefault="00856EAE" w:rsidP="00856EAE">
      <w:pPr>
        <w:rPr>
          <w:b/>
          <w:spacing w:val="-2"/>
          <w:lang w:val="en-US" w:eastAsia="en-AU"/>
        </w:rPr>
      </w:pPr>
      <w:r w:rsidRPr="00892A8E">
        <w:rPr>
          <w:b/>
          <w:spacing w:val="-2"/>
          <w:lang w:val="en-US" w:eastAsia="en-AU"/>
        </w:rPr>
        <w:t>Disclaimer</w:t>
      </w:r>
    </w:p>
    <w:p w:rsidR="00856EAE" w:rsidRPr="00614CAF" w:rsidRDefault="00856EAE" w:rsidP="00856EAE">
      <w:pPr>
        <w:rPr>
          <w:spacing w:val="-4"/>
          <w:lang w:val="en-US" w:eastAsia="en-AU"/>
        </w:rPr>
      </w:pPr>
      <w:r w:rsidRPr="00614CAF">
        <w:rPr>
          <w:spacing w:val="-4"/>
          <w:lang w:val="en-US" w:eastAsia="en-AU"/>
        </w:rPr>
        <w:t xml:space="preserve">The views and opinions expressed in this publication are those of the authors and do not necessarily reflect those of the Australian Government or the Minister for the Environment. </w:t>
      </w:r>
    </w:p>
    <w:p w:rsidR="00856EAE" w:rsidRPr="00F61808" w:rsidRDefault="00856EAE" w:rsidP="00856EAE">
      <w:r w:rsidRPr="00F61808">
        <w:rPr>
          <w:lang w:val="en-US"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856EAE" w:rsidRPr="005A73B9" w:rsidRDefault="00856EAE" w:rsidP="00856EAE">
      <w:r w:rsidRPr="005A73B9">
        <w:t>Printed and bound in Darwin NT by Supervising Scientist.</w:t>
      </w:r>
    </w:p>
    <w:p w:rsidR="00856EAE" w:rsidRPr="005A73B9" w:rsidRDefault="00856EAE" w:rsidP="00856EAE">
      <w:pPr>
        <w:sectPr w:rsidR="00856EAE" w:rsidRPr="005A73B9" w:rsidSect="009F0281">
          <w:pgSz w:w="11906" w:h="16838" w:code="9"/>
          <w:pgMar w:top="1440" w:right="1800" w:bottom="1440" w:left="1800" w:header="1080" w:footer="835" w:gutter="0"/>
          <w:pgNumType w:fmt="lowerRoman"/>
          <w:cols w:space="360"/>
          <w:noEndnote/>
        </w:sectPr>
      </w:pPr>
    </w:p>
    <w:p w:rsidR="00856EAE" w:rsidRDefault="00856EAE" w:rsidP="00856EAE">
      <w:pPr>
        <w:pStyle w:val="Heading1"/>
      </w:pPr>
      <w:bookmarkStart w:id="16" w:name="_Toc52076361"/>
      <w:bookmarkStart w:id="17" w:name="_Toc52076386"/>
      <w:bookmarkStart w:id="18" w:name="_Toc429564233"/>
      <w:bookmarkStart w:id="19" w:name="_Toc443054531"/>
      <w:bookmarkStart w:id="20" w:name="_Toc443054568"/>
      <w:r>
        <w:t>Contents</w:t>
      </w:r>
      <w:bookmarkStart w:id="21" w:name="_Toc529153318"/>
      <w:bookmarkStart w:id="22" w:name="_Toc529257115"/>
      <w:bookmarkStart w:id="23" w:name="_Toc530561183"/>
      <w:bookmarkStart w:id="24" w:name="_Toc1034856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18651B" w:rsidRDefault="00464059">
      <w:pPr>
        <w:pStyle w:val="TOC1"/>
        <w:rPr>
          <w:rFonts w:asciiTheme="minorHAnsi" w:eastAsiaTheme="minorEastAsia" w:hAnsiTheme="minorHAnsi" w:cstheme="minorBidi"/>
          <w:b w:val="0"/>
          <w:noProof/>
          <w:sz w:val="22"/>
          <w:szCs w:val="22"/>
          <w:lang w:eastAsia="en-AU"/>
        </w:rPr>
      </w:pPr>
      <w:r w:rsidRPr="00464059">
        <w:fldChar w:fldCharType="begin"/>
      </w:r>
      <w:r w:rsidR="00856EAE">
        <w:instrText xml:space="preserve"> TOC \o "1-2" \h \z \t "Heading 3,3,Heading 4,4,Subtitle,2" </w:instrText>
      </w:r>
      <w:r w:rsidRPr="00464059">
        <w:fldChar w:fldCharType="separate"/>
      </w:r>
      <w:hyperlink w:anchor="_Toc443054569" w:history="1">
        <w:r w:rsidR="0018651B" w:rsidRPr="00E12C0F">
          <w:rPr>
            <w:rStyle w:val="Hyperlink"/>
            <w:noProof/>
          </w:rPr>
          <w:t>Executive summary</w:t>
        </w:r>
        <w:r w:rsidR="0018651B">
          <w:rPr>
            <w:noProof/>
            <w:webHidden/>
          </w:rPr>
          <w:tab/>
        </w:r>
        <w:r>
          <w:rPr>
            <w:noProof/>
            <w:webHidden/>
          </w:rPr>
          <w:fldChar w:fldCharType="begin"/>
        </w:r>
        <w:r w:rsidR="0018651B">
          <w:rPr>
            <w:noProof/>
            <w:webHidden/>
          </w:rPr>
          <w:instrText xml:space="preserve"> PAGEREF _Toc443054569 \h </w:instrText>
        </w:r>
        <w:r>
          <w:rPr>
            <w:noProof/>
            <w:webHidden/>
          </w:rPr>
        </w:r>
        <w:r>
          <w:rPr>
            <w:noProof/>
            <w:webHidden/>
          </w:rPr>
          <w:fldChar w:fldCharType="separate"/>
        </w:r>
        <w:r w:rsidR="00A56862">
          <w:rPr>
            <w:noProof/>
            <w:webHidden/>
          </w:rPr>
          <w:t>vi</w:t>
        </w:r>
        <w:r>
          <w:rPr>
            <w:noProof/>
            <w:webHidden/>
          </w:rPr>
          <w:fldChar w:fldCharType="end"/>
        </w:r>
      </w:hyperlink>
    </w:p>
    <w:p w:rsidR="0018651B" w:rsidRDefault="00464059">
      <w:pPr>
        <w:pStyle w:val="TOC1"/>
        <w:rPr>
          <w:rFonts w:asciiTheme="minorHAnsi" w:eastAsiaTheme="minorEastAsia" w:hAnsiTheme="minorHAnsi" w:cstheme="minorBidi"/>
          <w:b w:val="0"/>
          <w:noProof/>
          <w:sz w:val="22"/>
          <w:szCs w:val="22"/>
          <w:lang w:eastAsia="en-AU"/>
        </w:rPr>
      </w:pPr>
      <w:hyperlink w:anchor="_Toc443054570" w:history="1">
        <w:r w:rsidR="0018651B" w:rsidRPr="00E12C0F">
          <w:rPr>
            <w:rStyle w:val="Hyperlink"/>
            <w:noProof/>
          </w:rPr>
          <w:t>1  Introduction</w:t>
        </w:r>
        <w:r w:rsidR="0018651B">
          <w:rPr>
            <w:noProof/>
            <w:webHidden/>
          </w:rPr>
          <w:tab/>
        </w:r>
        <w:r>
          <w:rPr>
            <w:noProof/>
            <w:webHidden/>
          </w:rPr>
          <w:fldChar w:fldCharType="begin"/>
        </w:r>
        <w:r w:rsidR="0018651B">
          <w:rPr>
            <w:noProof/>
            <w:webHidden/>
          </w:rPr>
          <w:instrText xml:space="preserve"> PAGEREF _Toc443054570 \h </w:instrText>
        </w:r>
        <w:r>
          <w:rPr>
            <w:noProof/>
            <w:webHidden/>
          </w:rPr>
        </w:r>
        <w:r>
          <w:rPr>
            <w:noProof/>
            <w:webHidden/>
          </w:rPr>
          <w:fldChar w:fldCharType="separate"/>
        </w:r>
        <w:r w:rsidR="00A56862">
          <w:rPr>
            <w:noProof/>
            <w:webHidden/>
          </w:rPr>
          <w:t>7</w:t>
        </w:r>
        <w:r>
          <w:rPr>
            <w:noProof/>
            <w:webHidden/>
          </w:rPr>
          <w:fldChar w:fldCharType="end"/>
        </w:r>
      </w:hyperlink>
    </w:p>
    <w:p w:rsidR="0018651B" w:rsidRDefault="00464059">
      <w:pPr>
        <w:pStyle w:val="TOC2"/>
        <w:rPr>
          <w:rFonts w:asciiTheme="minorHAnsi" w:eastAsiaTheme="minorEastAsia" w:hAnsiTheme="minorHAnsi" w:cstheme="minorBidi"/>
          <w:noProof/>
          <w:szCs w:val="22"/>
          <w:lang w:eastAsia="en-AU"/>
        </w:rPr>
      </w:pPr>
      <w:hyperlink w:anchor="_Toc443054571" w:history="1">
        <w:r w:rsidR="0018651B" w:rsidRPr="00E12C0F">
          <w:rPr>
            <w:rStyle w:val="Hyperlink"/>
            <w:noProof/>
          </w:rPr>
          <w:t>1.1  Radium</w:t>
        </w:r>
        <w:r w:rsidR="0018651B">
          <w:rPr>
            <w:noProof/>
            <w:webHidden/>
          </w:rPr>
          <w:tab/>
        </w:r>
        <w:r>
          <w:rPr>
            <w:noProof/>
            <w:webHidden/>
          </w:rPr>
          <w:fldChar w:fldCharType="begin"/>
        </w:r>
        <w:r w:rsidR="0018651B">
          <w:rPr>
            <w:noProof/>
            <w:webHidden/>
          </w:rPr>
          <w:instrText xml:space="preserve"> PAGEREF _Toc443054571 \h </w:instrText>
        </w:r>
        <w:r>
          <w:rPr>
            <w:noProof/>
            <w:webHidden/>
          </w:rPr>
        </w:r>
        <w:r>
          <w:rPr>
            <w:noProof/>
            <w:webHidden/>
          </w:rPr>
          <w:fldChar w:fldCharType="separate"/>
        </w:r>
        <w:r w:rsidR="00A56862">
          <w:rPr>
            <w:noProof/>
            <w:webHidden/>
          </w:rPr>
          <w:t>8</w:t>
        </w:r>
        <w:r>
          <w:rPr>
            <w:noProof/>
            <w:webHidden/>
          </w:rPr>
          <w:fldChar w:fldCharType="end"/>
        </w:r>
      </w:hyperlink>
    </w:p>
    <w:p w:rsidR="0018651B" w:rsidRDefault="00464059">
      <w:pPr>
        <w:pStyle w:val="TOC2"/>
        <w:rPr>
          <w:rFonts w:asciiTheme="minorHAnsi" w:eastAsiaTheme="minorEastAsia" w:hAnsiTheme="minorHAnsi" w:cstheme="minorBidi"/>
          <w:noProof/>
          <w:szCs w:val="22"/>
          <w:lang w:eastAsia="en-AU"/>
        </w:rPr>
      </w:pPr>
      <w:hyperlink w:anchor="_Toc443054572" w:history="1">
        <w:r w:rsidR="0018651B" w:rsidRPr="00E12C0F">
          <w:rPr>
            <w:rStyle w:val="Hyperlink"/>
            <w:noProof/>
          </w:rPr>
          <w:t>1.2  Radionuclide concentration ratios</w:t>
        </w:r>
        <w:r w:rsidR="0018651B">
          <w:rPr>
            <w:noProof/>
            <w:webHidden/>
          </w:rPr>
          <w:tab/>
        </w:r>
        <w:r>
          <w:rPr>
            <w:noProof/>
            <w:webHidden/>
          </w:rPr>
          <w:fldChar w:fldCharType="begin"/>
        </w:r>
        <w:r w:rsidR="0018651B">
          <w:rPr>
            <w:noProof/>
            <w:webHidden/>
          </w:rPr>
          <w:instrText xml:space="preserve"> PAGEREF _Toc443054572 \h </w:instrText>
        </w:r>
        <w:r>
          <w:rPr>
            <w:noProof/>
            <w:webHidden/>
          </w:rPr>
        </w:r>
        <w:r>
          <w:rPr>
            <w:noProof/>
            <w:webHidden/>
          </w:rPr>
          <w:fldChar w:fldCharType="separate"/>
        </w:r>
        <w:r w:rsidR="00A56862">
          <w:rPr>
            <w:noProof/>
            <w:webHidden/>
          </w:rPr>
          <w:t>11</w:t>
        </w:r>
        <w:r>
          <w:rPr>
            <w:noProof/>
            <w:webHidden/>
          </w:rPr>
          <w:fldChar w:fldCharType="end"/>
        </w:r>
      </w:hyperlink>
    </w:p>
    <w:p w:rsidR="0018651B" w:rsidRDefault="00464059">
      <w:pPr>
        <w:pStyle w:val="TOC2"/>
        <w:rPr>
          <w:rFonts w:asciiTheme="minorHAnsi" w:eastAsiaTheme="minorEastAsia" w:hAnsiTheme="minorHAnsi" w:cstheme="minorBidi"/>
          <w:noProof/>
          <w:szCs w:val="22"/>
          <w:lang w:eastAsia="en-AU"/>
        </w:rPr>
      </w:pPr>
      <w:hyperlink w:anchor="_Toc443054573" w:history="1">
        <w:r w:rsidR="0018651B" w:rsidRPr="00E12C0F">
          <w:rPr>
            <w:rStyle w:val="Hyperlink"/>
            <w:noProof/>
          </w:rPr>
          <w:t>1.3  Radiation protection of humans</w:t>
        </w:r>
        <w:r w:rsidR="0018651B">
          <w:rPr>
            <w:noProof/>
            <w:webHidden/>
          </w:rPr>
          <w:tab/>
        </w:r>
        <w:r>
          <w:rPr>
            <w:noProof/>
            <w:webHidden/>
          </w:rPr>
          <w:fldChar w:fldCharType="begin"/>
        </w:r>
        <w:r w:rsidR="0018651B">
          <w:rPr>
            <w:noProof/>
            <w:webHidden/>
          </w:rPr>
          <w:instrText xml:space="preserve"> PAGEREF _Toc443054573 \h </w:instrText>
        </w:r>
        <w:r>
          <w:rPr>
            <w:noProof/>
            <w:webHidden/>
          </w:rPr>
        </w:r>
        <w:r>
          <w:rPr>
            <w:noProof/>
            <w:webHidden/>
          </w:rPr>
          <w:fldChar w:fldCharType="separate"/>
        </w:r>
        <w:r w:rsidR="00A56862">
          <w:rPr>
            <w:noProof/>
            <w:webHidden/>
          </w:rPr>
          <w:t>12</w:t>
        </w:r>
        <w:r>
          <w:rPr>
            <w:noProof/>
            <w:webHidden/>
          </w:rPr>
          <w:fldChar w:fldCharType="end"/>
        </w:r>
      </w:hyperlink>
    </w:p>
    <w:p w:rsidR="0018651B" w:rsidRDefault="00464059">
      <w:pPr>
        <w:pStyle w:val="TOC3"/>
        <w:rPr>
          <w:rFonts w:asciiTheme="minorHAnsi" w:eastAsiaTheme="minorEastAsia" w:hAnsiTheme="minorHAnsi" w:cstheme="minorBidi"/>
          <w:noProof/>
          <w:sz w:val="22"/>
          <w:szCs w:val="22"/>
          <w:lang w:eastAsia="en-AU"/>
        </w:rPr>
      </w:pPr>
      <w:hyperlink w:anchor="_Toc443054574" w:history="1">
        <w:r w:rsidR="0018651B" w:rsidRPr="00E12C0F">
          <w:rPr>
            <w:rStyle w:val="Hyperlink"/>
            <w:noProof/>
          </w:rPr>
          <w:t>1.3.1 Ingestion pathway approach</w:t>
        </w:r>
        <w:r w:rsidR="0018651B">
          <w:rPr>
            <w:noProof/>
            <w:webHidden/>
          </w:rPr>
          <w:tab/>
        </w:r>
        <w:r>
          <w:rPr>
            <w:noProof/>
            <w:webHidden/>
          </w:rPr>
          <w:fldChar w:fldCharType="begin"/>
        </w:r>
        <w:r w:rsidR="0018651B">
          <w:rPr>
            <w:noProof/>
            <w:webHidden/>
          </w:rPr>
          <w:instrText xml:space="preserve"> PAGEREF _Toc443054574 \h </w:instrText>
        </w:r>
        <w:r>
          <w:rPr>
            <w:noProof/>
            <w:webHidden/>
          </w:rPr>
        </w:r>
        <w:r>
          <w:rPr>
            <w:noProof/>
            <w:webHidden/>
          </w:rPr>
          <w:fldChar w:fldCharType="separate"/>
        </w:r>
        <w:r w:rsidR="00A56862">
          <w:rPr>
            <w:noProof/>
            <w:webHidden/>
          </w:rPr>
          <w:t>12</w:t>
        </w:r>
        <w:r>
          <w:rPr>
            <w:noProof/>
            <w:webHidden/>
          </w:rPr>
          <w:fldChar w:fldCharType="end"/>
        </w:r>
      </w:hyperlink>
    </w:p>
    <w:p w:rsidR="0018651B" w:rsidRDefault="00464059">
      <w:pPr>
        <w:pStyle w:val="TOC3"/>
        <w:rPr>
          <w:rFonts w:asciiTheme="minorHAnsi" w:eastAsiaTheme="minorEastAsia" w:hAnsiTheme="minorHAnsi" w:cstheme="minorBidi"/>
          <w:noProof/>
          <w:sz w:val="22"/>
          <w:szCs w:val="22"/>
          <w:lang w:eastAsia="en-AU"/>
        </w:rPr>
      </w:pPr>
      <w:hyperlink w:anchor="_Toc443054575" w:history="1">
        <w:r w:rsidR="0018651B" w:rsidRPr="00E12C0F">
          <w:rPr>
            <w:rStyle w:val="Hyperlink"/>
            <w:noProof/>
          </w:rPr>
          <w:t>1.3.2 Existing operational radium-226 water quality limit based on human radiological protection criteria</w:t>
        </w:r>
        <w:r w:rsidR="0018651B">
          <w:rPr>
            <w:noProof/>
            <w:webHidden/>
          </w:rPr>
          <w:tab/>
        </w:r>
        <w:r>
          <w:rPr>
            <w:noProof/>
            <w:webHidden/>
          </w:rPr>
          <w:fldChar w:fldCharType="begin"/>
        </w:r>
        <w:r w:rsidR="0018651B">
          <w:rPr>
            <w:noProof/>
            <w:webHidden/>
          </w:rPr>
          <w:instrText xml:space="preserve"> PAGEREF _Toc443054575 \h </w:instrText>
        </w:r>
        <w:r>
          <w:rPr>
            <w:noProof/>
            <w:webHidden/>
          </w:rPr>
        </w:r>
        <w:r>
          <w:rPr>
            <w:noProof/>
            <w:webHidden/>
          </w:rPr>
          <w:fldChar w:fldCharType="separate"/>
        </w:r>
        <w:r w:rsidR="00A56862">
          <w:rPr>
            <w:noProof/>
            <w:webHidden/>
          </w:rPr>
          <w:t>12</w:t>
        </w:r>
        <w:r>
          <w:rPr>
            <w:noProof/>
            <w:webHidden/>
          </w:rPr>
          <w:fldChar w:fldCharType="end"/>
        </w:r>
      </w:hyperlink>
    </w:p>
    <w:p w:rsidR="0018651B" w:rsidRDefault="00464059">
      <w:pPr>
        <w:pStyle w:val="TOC2"/>
        <w:rPr>
          <w:rFonts w:asciiTheme="minorHAnsi" w:eastAsiaTheme="minorEastAsia" w:hAnsiTheme="minorHAnsi" w:cstheme="minorBidi"/>
          <w:noProof/>
          <w:szCs w:val="22"/>
          <w:lang w:eastAsia="en-AU"/>
        </w:rPr>
      </w:pPr>
      <w:hyperlink w:anchor="_Toc443054576" w:history="1">
        <w:r w:rsidR="0018651B" w:rsidRPr="00E12C0F">
          <w:rPr>
            <w:rStyle w:val="Hyperlink"/>
            <w:noProof/>
          </w:rPr>
          <w:t>1.4  Radiation protection of the environment</w:t>
        </w:r>
        <w:r w:rsidR="0018651B">
          <w:rPr>
            <w:noProof/>
            <w:webHidden/>
          </w:rPr>
          <w:tab/>
        </w:r>
        <w:r>
          <w:rPr>
            <w:noProof/>
            <w:webHidden/>
          </w:rPr>
          <w:fldChar w:fldCharType="begin"/>
        </w:r>
        <w:r w:rsidR="0018651B">
          <w:rPr>
            <w:noProof/>
            <w:webHidden/>
          </w:rPr>
          <w:instrText xml:space="preserve"> PAGEREF _Toc443054576 \h </w:instrText>
        </w:r>
        <w:r>
          <w:rPr>
            <w:noProof/>
            <w:webHidden/>
          </w:rPr>
        </w:r>
        <w:r>
          <w:rPr>
            <w:noProof/>
            <w:webHidden/>
          </w:rPr>
          <w:fldChar w:fldCharType="separate"/>
        </w:r>
        <w:r w:rsidR="00A56862">
          <w:rPr>
            <w:noProof/>
            <w:webHidden/>
          </w:rPr>
          <w:t>13</w:t>
        </w:r>
        <w:r>
          <w:rPr>
            <w:noProof/>
            <w:webHidden/>
          </w:rPr>
          <w:fldChar w:fldCharType="end"/>
        </w:r>
      </w:hyperlink>
    </w:p>
    <w:p w:rsidR="0018651B" w:rsidRDefault="00464059">
      <w:pPr>
        <w:pStyle w:val="TOC3"/>
        <w:rPr>
          <w:rFonts w:asciiTheme="minorHAnsi" w:eastAsiaTheme="minorEastAsia" w:hAnsiTheme="minorHAnsi" w:cstheme="minorBidi"/>
          <w:noProof/>
          <w:sz w:val="22"/>
          <w:szCs w:val="22"/>
          <w:lang w:eastAsia="en-AU"/>
        </w:rPr>
      </w:pPr>
      <w:hyperlink w:anchor="_Toc443054577" w:history="1">
        <w:r w:rsidR="0018651B" w:rsidRPr="00E12C0F">
          <w:rPr>
            <w:rStyle w:val="Hyperlink"/>
            <w:noProof/>
          </w:rPr>
          <w:t>1.4.1  Approach</w:t>
        </w:r>
        <w:r w:rsidR="0018651B">
          <w:rPr>
            <w:noProof/>
            <w:webHidden/>
          </w:rPr>
          <w:tab/>
        </w:r>
        <w:r>
          <w:rPr>
            <w:noProof/>
            <w:webHidden/>
          </w:rPr>
          <w:fldChar w:fldCharType="begin"/>
        </w:r>
        <w:r w:rsidR="0018651B">
          <w:rPr>
            <w:noProof/>
            <w:webHidden/>
          </w:rPr>
          <w:instrText xml:space="preserve"> PAGEREF _Toc443054577 \h </w:instrText>
        </w:r>
        <w:r>
          <w:rPr>
            <w:noProof/>
            <w:webHidden/>
          </w:rPr>
        </w:r>
        <w:r>
          <w:rPr>
            <w:noProof/>
            <w:webHidden/>
          </w:rPr>
          <w:fldChar w:fldCharType="separate"/>
        </w:r>
        <w:r w:rsidR="00A56862">
          <w:rPr>
            <w:noProof/>
            <w:webHidden/>
          </w:rPr>
          <w:t>13</w:t>
        </w:r>
        <w:r>
          <w:rPr>
            <w:noProof/>
            <w:webHidden/>
          </w:rPr>
          <w:fldChar w:fldCharType="end"/>
        </w:r>
      </w:hyperlink>
    </w:p>
    <w:p w:rsidR="0018651B" w:rsidRDefault="00464059">
      <w:pPr>
        <w:pStyle w:val="TOC3"/>
        <w:rPr>
          <w:rFonts w:asciiTheme="minorHAnsi" w:eastAsiaTheme="minorEastAsia" w:hAnsiTheme="minorHAnsi" w:cstheme="minorBidi"/>
          <w:noProof/>
          <w:sz w:val="22"/>
          <w:szCs w:val="22"/>
          <w:lang w:eastAsia="en-AU"/>
        </w:rPr>
      </w:pPr>
      <w:hyperlink w:anchor="_Toc443054578" w:history="1">
        <w:r w:rsidR="0018651B" w:rsidRPr="00E12C0F">
          <w:rPr>
            <w:rStyle w:val="Hyperlink"/>
            <w:noProof/>
          </w:rPr>
          <w:t>1.4.2  Aquatic organisms</w:t>
        </w:r>
        <w:r w:rsidR="0018651B">
          <w:rPr>
            <w:noProof/>
            <w:webHidden/>
          </w:rPr>
          <w:tab/>
        </w:r>
        <w:r>
          <w:rPr>
            <w:noProof/>
            <w:webHidden/>
          </w:rPr>
          <w:fldChar w:fldCharType="begin"/>
        </w:r>
        <w:r w:rsidR="0018651B">
          <w:rPr>
            <w:noProof/>
            <w:webHidden/>
          </w:rPr>
          <w:instrText xml:space="preserve"> PAGEREF _Toc443054578 \h </w:instrText>
        </w:r>
        <w:r>
          <w:rPr>
            <w:noProof/>
            <w:webHidden/>
          </w:rPr>
        </w:r>
        <w:r>
          <w:rPr>
            <w:noProof/>
            <w:webHidden/>
          </w:rPr>
          <w:fldChar w:fldCharType="separate"/>
        </w:r>
        <w:r w:rsidR="00A56862">
          <w:rPr>
            <w:noProof/>
            <w:webHidden/>
          </w:rPr>
          <w:t>14</w:t>
        </w:r>
        <w:r>
          <w:rPr>
            <w:noProof/>
            <w:webHidden/>
          </w:rPr>
          <w:fldChar w:fldCharType="end"/>
        </w:r>
      </w:hyperlink>
    </w:p>
    <w:p w:rsidR="0018651B" w:rsidRDefault="00464059">
      <w:pPr>
        <w:pStyle w:val="TOC1"/>
        <w:rPr>
          <w:rFonts w:asciiTheme="minorHAnsi" w:eastAsiaTheme="minorEastAsia" w:hAnsiTheme="minorHAnsi" w:cstheme="minorBidi"/>
          <w:b w:val="0"/>
          <w:noProof/>
          <w:sz w:val="22"/>
          <w:szCs w:val="22"/>
          <w:lang w:eastAsia="en-AU"/>
        </w:rPr>
      </w:pPr>
      <w:hyperlink w:anchor="_Toc443054579" w:history="1">
        <w:r w:rsidR="0018651B" w:rsidRPr="00E12C0F">
          <w:rPr>
            <w:rStyle w:val="Hyperlink"/>
            <w:noProof/>
          </w:rPr>
          <w:t>2  Methods</w:t>
        </w:r>
        <w:r w:rsidR="0018651B">
          <w:rPr>
            <w:noProof/>
            <w:webHidden/>
          </w:rPr>
          <w:tab/>
        </w:r>
        <w:r>
          <w:rPr>
            <w:noProof/>
            <w:webHidden/>
          </w:rPr>
          <w:fldChar w:fldCharType="begin"/>
        </w:r>
        <w:r w:rsidR="0018651B">
          <w:rPr>
            <w:noProof/>
            <w:webHidden/>
          </w:rPr>
          <w:instrText xml:space="preserve"> PAGEREF _Toc443054579 \h </w:instrText>
        </w:r>
        <w:r>
          <w:rPr>
            <w:noProof/>
            <w:webHidden/>
          </w:rPr>
        </w:r>
        <w:r>
          <w:rPr>
            <w:noProof/>
            <w:webHidden/>
          </w:rPr>
          <w:fldChar w:fldCharType="separate"/>
        </w:r>
        <w:r w:rsidR="00A56862">
          <w:rPr>
            <w:noProof/>
            <w:webHidden/>
          </w:rPr>
          <w:t>16</w:t>
        </w:r>
        <w:r>
          <w:rPr>
            <w:noProof/>
            <w:webHidden/>
          </w:rPr>
          <w:fldChar w:fldCharType="end"/>
        </w:r>
      </w:hyperlink>
    </w:p>
    <w:p w:rsidR="0018651B" w:rsidRDefault="00464059">
      <w:pPr>
        <w:pStyle w:val="TOC2"/>
        <w:rPr>
          <w:rFonts w:asciiTheme="minorHAnsi" w:eastAsiaTheme="minorEastAsia" w:hAnsiTheme="minorHAnsi" w:cstheme="minorBidi"/>
          <w:noProof/>
          <w:szCs w:val="22"/>
          <w:lang w:eastAsia="en-AU"/>
        </w:rPr>
      </w:pPr>
      <w:hyperlink w:anchor="_Toc443054580" w:history="1">
        <w:r w:rsidR="0018651B" w:rsidRPr="00E12C0F">
          <w:rPr>
            <w:rStyle w:val="Hyperlink"/>
            <w:noProof/>
          </w:rPr>
          <w:t>2.1  Data provenance</w:t>
        </w:r>
        <w:r w:rsidR="0018651B">
          <w:rPr>
            <w:noProof/>
            <w:webHidden/>
          </w:rPr>
          <w:tab/>
        </w:r>
        <w:r>
          <w:rPr>
            <w:noProof/>
            <w:webHidden/>
          </w:rPr>
          <w:fldChar w:fldCharType="begin"/>
        </w:r>
        <w:r w:rsidR="0018651B">
          <w:rPr>
            <w:noProof/>
            <w:webHidden/>
          </w:rPr>
          <w:instrText xml:space="preserve"> PAGEREF _Toc443054580 \h </w:instrText>
        </w:r>
        <w:r>
          <w:rPr>
            <w:noProof/>
            <w:webHidden/>
          </w:rPr>
        </w:r>
        <w:r>
          <w:rPr>
            <w:noProof/>
            <w:webHidden/>
          </w:rPr>
          <w:fldChar w:fldCharType="separate"/>
        </w:r>
        <w:r w:rsidR="00A56862">
          <w:rPr>
            <w:noProof/>
            <w:webHidden/>
          </w:rPr>
          <w:t>16</w:t>
        </w:r>
        <w:r>
          <w:rPr>
            <w:noProof/>
            <w:webHidden/>
          </w:rPr>
          <w:fldChar w:fldCharType="end"/>
        </w:r>
      </w:hyperlink>
    </w:p>
    <w:p w:rsidR="0018651B" w:rsidRDefault="00464059">
      <w:pPr>
        <w:pStyle w:val="TOC3"/>
        <w:rPr>
          <w:rFonts w:asciiTheme="minorHAnsi" w:eastAsiaTheme="minorEastAsia" w:hAnsiTheme="minorHAnsi" w:cstheme="minorBidi"/>
          <w:noProof/>
          <w:sz w:val="22"/>
          <w:szCs w:val="22"/>
          <w:lang w:eastAsia="en-AU"/>
        </w:rPr>
      </w:pPr>
      <w:hyperlink w:anchor="_Toc443054581" w:history="1">
        <w:r w:rsidR="0018651B" w:rsidRPr="00E12C0F">
          <w:rPr>
            <w:rStyle w:val="Hyperlink"/>
            <w:noProof/>
          </w:rPr>
          <w:t>2.1.1  Mussels</w:t>
        </w:r>
        <w:r w:rsidR="0018651B">
          <w:rPr>
            <w:noProof/>
            <w:webHidden/>
          </w:rPr>
          <w:tab/>
        </w:r>
        <w:r>
          <w:rPr>
            <w:noProof/>
            <w:webHidden/>
          </w:rPr>
          <w:fldChar w:fldCharType="begin"/>
        </w:r>
        <w:r w:rsidR="0018651B">
          <w:rPr>
            <w:noProof/>
            <w:webHidden/>
          </w:rPr>
          <w:instrText xml:space="preserve"> PAGEREF _Toc443054581 \h </w:instrText>
        </w:r>
        <w:r>
          <w:rPr>
            <w:noProof/>
            <w:webHidden/>
          </w:rPr>
        </w:r>
        <w:r>
          <w:rPr>
            <w:noProof/>
            <w:webHidden/>
          </w:rPr>
          <w:fldChar w:fldCharType="separate"/>
        </w:r>
        <w:r w:rsidR="00A56862">
          <w:rPr>
            <w:noProof/>
            <w:webHidden/>
          </w:rPr>
          <w:t>16</w:t>
        </w:r>
        <w:r>
          <w:rPr>
            <w:noProof/>
            <w:webHidden/>
          </w:rPr>
          <w:fldChar w:fldCharType="end"/>
        </w:r>
      </w:hyperlink>
    </w:p>
    <w:p w:rsidR="0018651B" w:rsidRDefault="00464059">
      <w:pPr>
        <w:pStyle w:val="TOC3"/>
        <w:rPr>
          <w:rFonts w:asciiTheme="minorHAnsi" w:eastAsiaTheme="minorEastAsia" w:hAnsiTheme="minorHAnsi" w:cstheme="minorBidi"/>
          <w:noProof/>
          <w:sz w:val="22"/>
          <w:szCs w:val="22"/>
          <w:lang w:eastAsia="en-AU"/>
        </w:rPr>
      </w:pPr>
      <w:hyperlink w:anchor="_Toc443054582" w:history="1">
        <w:r w:rsidR="0018651B" w:rsidRPr="00E12C0F">
          <w:rPr>
            <w:rStyle w:val="Hyperlink"/>
            <w:noProof/>
          </w:rPr>
          <w:t>2.1.2  Water</w:t>
        </w:r>
        <w:r w:rsidR="0018651B">
          <w:rPr>
            <w:noProof/>
            <w:webHidden/>
          </w:rPr>
          <w:tab/>
        </w:r>
        <w:r>
          <w:rPr>
            <w:noProof/>
            <w:webHidden/>
          </w:rPr>
          <w:fldChar w:fldCharType="begin"/>
        </w:r>
        <w:r w:rsidR="0018651B">
          <w:rPr>
            <w:noProof/>
            <w:webHidden/>
          </w:rPr>
          <w:instrText xml:space="preserve"> PAGEREF _Toc443054582 \h </w:instrText>
        </w:r>
        <w:r>
          <w:rPr>
            <w:noProof/>
            <w:webHidden/>
          </w:rPr>
        </w:r>
        <w:r>
          <w:rPr>
            <w:noProof/>
            <w:webHidden/>
          </w:rPr>
          <w:fldChar w:fldCharType="separate"/>
        </w:r>
        <w:r w:rsidR="00A56862">
          <w:rPr>
            <w:noProof/>
            <w:webHidden/>
          </w:rPr>
          <w:t>16</w:t>
        </w:r>
        <w:r>
          <w:rPr>
            <w:noProof/>
            <w:webHidden/>
          </w:rPr>
          <w:fldChar w:fldCharType="end"/>
        </w:r>
      </w:hyperlink>
    </w:p>
    <w:p w:rsidR="0018651B" w:rsidRDefault="00464059">
      <w:pPr>
        <w:pStyle w:val="TOC3"/>
        <w:rPr>
          <w:rFonts w:asciiTheme="minorHAnsi" w:eastAsiaTheme="minorEastAsia" w:hAnsiTheme="minorHAnsi" w:cstheme="minorBidi"/>
          <w:noProof/>
          <w:sz w:val="22"/>
          <w:szCs w:val="22"/>
          <w:lang w:eastAsia="en-AU"/>
        </w:rPr>
      </w:pPr>
      <w:hyperlink w:anchor="_Toc443054583" w:history="1">
        <w:r w:rsidR="0018651B" w:rsidRPr="00E12C0F">
          <w:rPr>
            <w:rStyle w:val="Hyperlink"/>
            <w:noProof/>
          </w:rPr>
          <w:t>2.1.3  Concentration ratios</w:t>
        </w:r>
        <w:r w:rsidR="0018651B">
          <w:rPr>
            <w:noProof/>
            <w:webHidden/>
          </w:rPr>
          <w:tab/>
        </w:r>
        <w:r>
          <w:rPr>
            <w:noProof/>
            <w:webHidden/>
          </w:rPr>
          <w:fldChar w:fldCharType="begin"/>
        </w:r>
        <w:r w:rsidR="0018651B">
          <w:rPr>
            <w:noProof/>
            <w:webHidden/>
          </w:rPr>
          <w:instrText xml:space="preserve"> PAGEREF _Toc443054583 \h </w:instrText>
        </w:r>
        <w:r>
          <w:rPr>
            <w:noProof/>
            <w:webHidden/>
          </w:rPr>
        </w:r>
        <w:r>
          <w:rPr>
            <w:noProof/>
            <w:webHidden/>
          </w:rPr>
          <w:fldChar w:fldCharType="separate"/>
        </w:r>
        <w:r w:rsidR="00A56862">
          <w:rPr>
            <w:noProof/>
            <w:webHidden/>
          </w:rPr>
          <w:t>16</w:t>
        </w:r>
        <w:r>
          <w:rPr>
            <w:noProof/>
            <w:webHidden/>
          </w:rPr>
          <w:fldChar w:fldCharType="end"/>
        </w:r>
      </w:hyperlink>
    </w:p>
    <w:p w:rsidR="0018651B" w:rsidRDefault="00464059">
      <w:pPr>
        <w:pStyle w:val="TOC2"/>
        <w:rPr>
          <w:rFonts w:asciiTheme="minorHAnsi" w:eastAsiaTheme="minorEastAsia" w:hAnsiTheme="minorHAnsi" w:cstheme="minorBidi"/>
          <w:noProof/>
          <w:szCs w:val="22"/>
          <w:lang w:eastAsia="en-AU"/>
        </w:rPr>
      </w:pPr>
      <w:hyperlink w:anchor="_Toc443054584" w:history="1">
        <w:r w:rsidR="0018651B" w:rsidRPr="00E12C0F">
          <w:rPr>
            <w:rStyle w:val="Hyperlink"/>
            <w:noProof/>
          </w:rPr>
          <w:t>2.2  Human dose assessment</w:t>
        </w:r>
        <w:r w:rsidR="0018651B">
          <w:rPr>
            <w:noProof/>
            <w:webHidden/>
          </w:rPr>
          <w:tab/>
        </w:r>
        <w:r>
          <w:rPr>
            <w:noProof/>
            <w:webHidden/>
          </w:rPr>
          <w:fldChar w:fldCharType="begin"/>
        </w:r>
        <w:r w:rsidR="0018651B">
          <w:rPr>
            <w:noProof/>
            <w:webHidden/>
          </w:rPr>
          <w:instrText xml:space="preserve"> PAGEREF _Toc443054584 \h </w:instrText>
        </w:r>
        <w:r>
          <w:rPr>
            <w:noProof/>
            <w:webHidden/>
          </w:rPr>
        </w:r>
        <w:r>
          <w:rPr>
            <w:noProof/>
            <w:webHidden/>
          </w:rPr>
          <w:fldChar w:fldCharType="separate"/>
        </w:r>
        <w:r w:rsidR="00A56862">
          <w:rPr>
            <w:noProof/>
            <w:webHidden/>
          </w:rPr>
          <w:t>17</w:t>
        </w:r>
        <w:r>
          <w:rPr>
            <w:noProof/>
            <w:webHidden/>
          </w:rPr>
          <w:fldChar w:fldCharType="end"/>
        </w:r>
      </w:hyperlink>
    </w:p>
    <w:p w:rsidR="0018651B" w:rsidRDefault="00464059">
      <w:pPr>
        <w:pStyle w:val="TOC3"/>
        <w:rPr>
          <w:rFonts w:asciiTheme="minorHAnsi" w:eastAsiaTheme="minorEastAsia" w:hAnsiTheme="minorHAnsi" w:cstheme="minorBidi"/>
          <w:noProof/>
          <w:sz w:val="22"/>
          <w:szCs w:val="22"/>
          <w:lang w:eastAsia="en-AU"/>
        </w:rPr>
      </w:pPr>
      <w:hyperlink w:anchor="_Toc443054585" w:history="1">
        <w:r w:rsidR="0018651B" w:rsidRPr="00E12C0F">
          <w:rPr>
            <w:rStyle w:val="Hyperlink"/>
            <w:noProof/>
          </w:rPr>
          <w:t>2.2.1  Exposure scenario</w:t>
        </w:r>
        <w:r w:rsidR="0018651B">
          <w:rPr>
            <w:noProof/>
            <w:webHidden/>
          </w:rPr>
          <w:tab/>
        </w:r>
        <w:r>
          <w:rPr>
            <w:noProof/>
            <w:webHidden/>
          </w:rPr>
          <w:fldChar w:fldCharType="begin"/>
        </w:r>
        <w:r w:rsidR="0018651B">
          <w:rPr>
            <w:noProof/>
            <w:webHidden/>
          </w:rPr>
          <w:instrText xml:space="preserve"> PAGEREF _Toc443054585 \h </w:instrText>
        </w:r>
        <w:r>
          <w:rPr>
            <w:noProof/>
            <w:webHidden/>
          </w:rPr>
        </w:r>
        <w:r>
          <w:rPr>
            <w:noProof/>
            <w:webHidden/>
          </w:rPr>
          <w:fldChar w:fldCharType="separate"/>
        </w:r>
        <w:r w:rsidR="00A56862">
          <w:rPr>
            <w:noProof/>
            <w:webHidden/>
          </w:rPr>
          <w:t>17</w:t>
        </w:r>
        <w:r>
          <w:rPr>
            <w:noProof/>
            <w:webHidden/>
          </w:rPr>
          <w:fldChar w:fldCharType="end"/>
        </w:r>
      </w:hyperlink>
    </w:p>
    <w:p w:rsidR="0018651B" w:rsidRDefault="00464059">
      <w:pPr>
        <w:pStyle w:val="TOC3"/>
        <w:rPr>
          <w:rFonts w:asciiTheme="minorHAnsi" w:eastAsiaTheme="minorEastAsia" w:hAnsiTheme="minorHAnsi" w:cstheme="minorBidi"/>
          <w:noProof/>
          <w:sz w:val="22"/>
          <w:szCs w:val="22"/>
          <w:lang w:eastAsia="en-AU"/>
        </w:rPr>
      </w:pPr>
      <w:hyperlink w:anchor="_Toc443054586" w:history="1">
        <w:r w:rsidR="0018651B" w:rsidRPr="00E12C0F">
          <w:rPr>
            <w:rStyle w:val="Hyperlink"/>
            <w:noProof/>
          </w:rPr>
          <w:t>2.2.2  Concentration ratio</w:t>
        </w:r>
        <w:r w:rsidR="0018651B">
          <w:rPr>
            <w:noProof/>
            <w:webHidden/>
          </w:rPr>
          <w:tab/>
        </w:r>
        <w:r>
          <w:rPr>
            <w:noProof/>
            <w:webHidden/>
          </w:rPr>
          <w:fldChar w:fldCharType="begin"/>
        </w:r>
        <w:r w:rsidR="0018651B">
          <w:rPr>
            <w:noProof/>
            <w:webHidden/>
          </w:rPr>
          <w:instrText xml:space="preserve"> PAGEREF _Toc443054586 \h </w:instrText>
        </w:r>
        <w:r>
          <w:rPr>
            <w:noProof/>
            <w:webHidden/>
          </w:rPr>
        </w:r>
        <w:r>
          <w:rPr>
            <w:noProof/>
            <w:webHidden/>
          </w:rPr>
          <w:fldChar w:fldCharType="separate"/>
        </w:r>
        <w:r w:rsidR="00A56862">
          <w:rPr>
            <w:noProof/>
            <w:webHidden/>
          </w:rPr>
          <w:t>17</w:t>
        </w:r>
        <w:r>
          <w:rPr>
            <w:noProof/>
            <w:webHidden/>
          </w:rPr>
          <w:fldChar w:fldCharType="end"/>
        </w:r>
      </w:hyperlink>
    </w:p>
    <w:p w:rsidR="0018651B" w:rsidRDefault="00464059">
      <w:pPr>
        <w:pStyle w:val="TOC3"/>
        <w:rPr>
          <w:rFonts w:asciiTheme="minorHAnsi" w:eastAsiaTheme="minorEastAsia" w:hAnsiTheme="minorHAnsi" w:cstheme="minorBidi"/>
          <w:noProof/>
          <w:sz w:val="22"/>
          <w:szCs w:val="22"/>
          <w:lang w:eastAsia="en-AU"/>
        </w:rPr>
      </w:pPr>
      <w:hyperlink w:anchor="_Toc443054587" w:history="1">
        <w:r w:rsidR="0018651B" w:rsidRPr="00E12C0F">
          <w:rPr>
            <w:rStyle w:val="Hyperlink"/>
            <w:noProof/>
          </w:rPr>
          <w:t>2.2.3  Benchmark dose rate</w:t>
        </w:r>
        <w:r w:rsidR="0018651B">
          <w:rPr>
            <w:noProof/>
            <w:webHidden/>
          </w:rPr>
          <w:tab/>
        </w:r>
        <w:r>
          <w:rPr>
            <w:noProof/>
            <w:webHidden/>
          </w:rPr>
          <w:fldChar w:fldCharType="begin"/>
        </w:r>
        <w:r w:rsidR="0018651B">
          <w:rPr>
            <w:noProof/>
            <w:webHidden/>
          </w:rPr>
          <w:instrText xml:space="preserve"> PAGEREF _Toc443054587 \h </w:instrText>
        </w:r>
        <w:r>
          <w:rPr>
            <w:noProof/>
            <w:webHidden/>
          </w:rPr>
        </w:r>
        <w:r>
          <w:rPr>
            <w:noProof/>
            <w:webHidden/>
          </w:rPr>
          <w:fldChar w:fldCharType="separate"/>
        </w:r>
        <w:r w:rsidR="00A56862">
          <w:rPr>
            <w:noProof/>
            <w:webHidden/>
          </w:rPr>
          <w:t>17</w:t>
        </w:r>
        <w:r>
          <w:rPr>
            <w:noProof/>
            <w:webHidden/>
          </w:rPr>
          <w:fldChar w:fldCharType="end"/>
        </w:r>
      </w:hyperlink>
    </w:p>
    <w:p w:rsidR="0018651B" w:rsidRDefault="00464059">
      <w:pPr>
        <w:pStyle w:val="TOC3"/>
        <w:rPr>
          <w:rFonts w:asciiTheme="minorHAnsi" w:eastAsiaTheme="minorEastAsia" w:hAnsiTheme="minorHAnsi" w:cstheme="minorBidi"/>
          <w:noProof/>
          <w:sz w:val="22"/>
          <w:szCs w:val="22"/>
          <w:lang w:eastAsia="en-AU"/>
        </w:rPr>
      </w:pPr>
      <w:hyperlink w:anchor="_Toc443054588" w:history="1">
        <w:r w:rsidR="0018651B" w:rsidRPr="00E12C0F">
          <w:rPr>
            <w:rStyle w:val="Hyperlink"/>
            <w:noProof/>
          </w:rPr>
          <w:t>2.2.4  Assessment approach</w:t>
        </w:r>
        <w:r w:rsidR="0018651B">
          <w:rPr>
            <w:noProof/>
            <w:webHidden/>
          </w:rPr>
          <w:tab/>
        </w:r>
        <w:r>
          <w:rPr>
            <w:noProof/>
            <w:webHidden/>
          </w:rPr>
          <w:fldChar w:fldCharType="begin"/>
        </w:r>
        <w:r w:rsidR="0018651B">
          <w:rPr>
            <w:noProof/>
            <w:webHidden/>
          </w:rPr>
          <w:instrText xml:space="preserve"> PAGEREF _Toc443054588 \h </w:instrText>
        </w:r>
        <w:r>
          <w:rPr>
            <w:noProof/>
            <w:webHidden/>
          </w:rPr>
        </w:r>
        <w:r>
          <w:rPr>
            <w:noProof/>
            <w:webHidden/>
          </w:rPr>
          <w:fldChar w:fldCharType="separate"/>
        </w:r>
        <w:r w:rsidR="00A56862">
          <w:rPr>
            <w:noProof/>
            <w:webHidden/>
          </w:rPr>
          <w:t>17</w:t>
        </w:r>
        <w:r>
          <w:rPr>
            <w:noProof/>
            <w:webHidden/>
          </w:rPr>
          <w:fldChar w:fldCharType="end"/>
        </w:r>
      </w:hyperlink>
    </w:p>
    <w:p w:rsidR="0018651B" w:rsidRDefault="00464059">
      <w:pPr>
        <w:pStyle w:val="TOC2"/>
        <w:rPr>
          <w:rFonts w:asciiTheme="minorHAnsi" w:eastAsiaTheme="minorEastAsia" w:hAnsiTheme="minorHAnsi" w:cstheme="minorBidi"/>
          <w:noProof/>
          <w:szCs w:val="22"/>
          <w:lang w:eastAsia="en-AU"/>
        </w:rPr>
      </w:pPr>
      <w:hyperlink w:anchor="_Toc443054589" w:history="1">
        <w:r w:rsidR="0018651B" w:rsidRPr="00E12C0F">
          <w:rPr>
            <w:rStyle w:val="Hyperlink"/>
            <w:noProof/>
          </w:rPr>
          <w:t>2.3  Environmental dose assessment</w:t>
        </w:r>
        <w:r w:rsidR="0018651B">
          <w:rPr>
            <w:noProof/>
            <w:webHidden/>
          </w:rPr>
          <w:tab/>
        </w:r>
        <w:r>
          <w:rPr>
            <w:noProof/>
            <w:webHidden/>
          </w:rPr>
          <w:fldChar w:fldCharType="begin"/>
        </w:r>
        <w:r w:rsidR="0018651B">
          <w:rPr>
            <w:noProof/>
            <w:webHidden/>
          </w:rPr>
          <w:instrText xml:space="preserve"> PAGEREF _Toc443054589 \h </w:instrText>
        </w:r>
        <w:r>
          <w:rPr>
            <w:noProof/>
            <w:webHidden/>
          </w:rPr>
        </w:r>
        <w:r>
          <w:rPr>
            <w:noProof/>
            <w:webHidden/>
          </w:rPr>
          <w:fldChar w:fldCharType="separate"/>
        </w:r>
        <w:r w:rsidR="00A56862">
          <w:rPr>
            <w:noProof/>
            <w:webHidden/>
          </w:rPr>
          <w:t>17</w:t>
        </w:r>
        <w:r>
          <w:rPr>
            <w:noProof/>
            <w:webHidden/>
          </w:rPr>
          <w:fldChar w:fldCharType="end"/>
        </w:r>
      </w:hyperlink>
    </w:p>
    <w:p w:rsidR="0018651B" w:rsidRDefault="00464059">
      <w:pPr>
        <w:pStyle w:val="TOC3"/>
        <w:rPr>
          <w:rFonts w:asciiTheme="minorHAnsi" w:eastAsiaTheme="minorEastAsia" w:hAnsiTheme="minorHAnsi" w:cstheme="minorBidi"/>
          <w:noProof/>
          <w:sz w:val="22"/>
          <w:szCs w:val="22"/>
          <w:lang w:eastAsia="en-AU"/>
        </w:rPr>
      </w:pPr>
      <w:hyperlink w:anchor="_Toc443054590" w:history="1">
        <w:r w:rsidR="0018651B" w:rsidRPr="00E12C0F">
          <w:rPr>
            <w:rStyle w:val="Hyperlink"/>
            <w:noProof/>
          </w:rPr>
          <w:t>2.3.1  Exposure scenario</w:t>
        </w:r>
        <w:r w:rsidR="0018651B">
          <w:rPr>
            <w:noProof/>
            <w:webHidden/>
          </w:rPr>
          <w:tab/>
        </w:r>
        <w:r>
          <w:rPr>
            <w:noProof/>
            <w:webHidden/>
          </w:rPr>
          <w:fldChar w:fldCharType="begin"/>
        </w:r>
        <w:r w:rsidR="0018651B">
          <w:rPr>
            <w:noProof/>
            <w:webHidden/>
          </w:rPr>
          <w:instrText xml:space="preserve"> PAGEREF _Toc443054590 \h </w:instrText>
        </w:r>
        <w:r>
          <w:rPr>
            <w:noProof/>
            <w:webHidden/>
          </w:rPr>
        </w:r>
        <w:r>
          <w:rPr>
            <w:noProof/>
            <w:webHidden/>
          </w:rPr>
          <w:fldChar w:fldCharType="separate"/>
        </w:r>
        <w:r w:rsidR="00A56862">
          <w:rPr>
            <w:noProof/>
            <w:webHidden/>
          </w:rPr>
          <w:t>17</w:t>
        </w:r>
        <w:r>
          <w:rPr>
            <w:noProof/>
            <w:webHidden/>
          </w:rPr>
          <w:fldChar w:fldCharType="end"/>
        </w:r>
      </w:hyperlink>
    </w:p>
    <w:p w:rsidR="0018651B" w:rsidRDefault="00464059">
      <w:pPr>
        <w:pStyle w:val="TOC3"/>
        <w:rPr>
          <w:rFonts w:asciiTheme="minorHAnsi" w:eastAsiaTheme="minorEastAsia" w:hAnsiTheme="minorHAnsi" w:cstheme="minorBidi"/>
          <w:noProof/>
          <w:sz w:val="22"/>
          <w:szCs w:val="22"/>
          <w:lang w:eastAsia="en-AU"/>
        </w:rPr>
      </w:pPr>
      <w:hyperlink w:anchor="_Toc443054591" w:history="1">
        <w:r w:rsidR="0018651B" w:rsidRPr="00E12C0F">
          <w:rPr>
            <w:rStyle w:val="Hyperlink"/>
            <w:noProof/>
          </w:rPr>
          <w:t>2.3.2  Benchmark dose rate</w:t>
        </w:r>
        <w:r w:rsidR="0018651B">
          <w:rPr>
            <w:noProof/>
            <w:webHidden/>
          </w:rPr>
          <w:tab/>
        </w:r>
        <w:r>
          <w:rPr>
            <w:noProof/>
            <w:webHidden/>
          </w:rPr>
          <w:fldChar w:fldCharType="begin"/>
        </w:r>
        <w:r w:rsidR="0018651B">
          <w:rPr>
            <w:noProof/>
            <w:webHidden/>
          </w:rPr>
          <w:instrText xml:space="preserve"> PAGEREF _Toc443054591 \h </w:instrText>
        </w:r>
        <w:r>
          <w:rPr>
            <w:noProof/>
            <w:webHidden/>
          </w:rPr>
        </w:r>
        <w:r>
          <w:rPr>
            <w:noProof/>
            <w:webHidden/>
          </w:rPr>
          <w:fldChar w:fldCharType="separate"/>
        </w:r>
        <w:r w:rsidR="00A56862">
          <w:rPr>
            <w:noProof/>
            <w:webHidden/>
          </w:rPr>
          <w:t>18</w:t>
        </w:r>
        <w:r>
          <w:rPr>
            <w:noProof/>
            <w:webHidden/>
          </w:rPr>
          <w:fldChar w:fldCharType="end"/>
        </w:r>
      </w:hyperlink>
    </w:p>
    <w:p w:rsidR="0018651B" w:rsidRDefault="00464059">
      <w:pPr>
        <w:pStyle w:val="TOC3"/>
        <w:rPr>
          <w:rFonts w:asciiTheme="minorHAnsi" w:eastAsiaTheme="minorEastAsia" w:hAnsiTheme="minorHAnsi" w:cstheme="minorBidi"/>
          <w:noProof/>
          <w:sz w:val="22"/>
          <w:szCs w:val="22"/>
          <w:lang w:eastAsia="en-AU"/>
        </w:rPr>
      </w:pPr>
      <w:hyperlink w:anchor="_Toc443054592" w:history="1">
        <w:r w:rsidR="0018651B" w:rsidRPr="00E12C0F">
          <w:rPr>
            <w:rStyle w:val="Hyperlink"/>
            <w:noProof/>
          </w:rPr>
          <w:t>2.3.3  Assessment approach</w:t>
        </w:r>
        <w:r w:rsidR="0018651B">
          <w:rPr>
            <w:noProof/>
            <w:webHidden/>
          </w:rPr>
          <w:tab/>
        </w:r>
        <w:r>
          <w:rPr>
            <w:noProof/>
            <w:webHidden/>
          </w:rPr>
          <w:fldChar w:fldCharType="begin"/>
        </w:r>
        <w:r w:rsidR="0018651B">
          <w:rPr>
            <w:noProof/>
            <w:webHidden/>
          </w:rPr>
          <w:instrText xml:space="preserve"> PAGEREF _Toc443054592 \h </w:instrText>
        </w:r>
        <w:r>
          <w:rPr>
            <w:noProof/>
            <w:webHidden/>
          </w:rPr>
        </w:r>
        <w:r>
          <w:rPr>
            <w:noProof/>
            <w:webHidden/>
          </w:rPr>
          <w:fldChar w:fldCharType="separate"/>
        </w:r>
        <w:r w:rsidR="00A56862">
          <w:rPr>
            <w:noProof/>
            <w:webHidden/>
          </w:rPr>
          <w:t>18</w:t>
        </w:r>
        <w:r>
          <w:rPr>
            <w:noProof/>
            <w:webHidden/>
          </w:rPr>
          <w:fldChar w:fldCharType="end"/>
        </w:r>
      </w:hyperlink>
    </w:p>
    <w:p w:rsidR="0018651B" w:rsidRDefault="00464059">
      <w:pPr>
        <w:pStyle w:val="TOC1"/>
        <w:rPr>
          <w:rFonts w:asciiTheme="minorHAnsi" w:eastAsiaTheme="minorEastAsia" w:hAnsiTheme="minorHAnsi" w:cstheme="minorBidi"/>
          <w:b w:val="0"/>
          <w:noProof/>
          <w:sz w:val="22"/>
          <w:szCs w:val="22"/>
          <w:lang w:eastAsia="en-AU"/>
        </w:rPr>
      </w:pPr>
      <w:hyperlink w:anchor="_Toc443054593" w:history="1">
        <w:r w:rsidR="0018651B" w:rsidRPr="00E12C0F">
          <w:rPr>
            <w:rStyle w:val="Hyperlink"/>
            <w:noProof/>
          </w:rPr>
          <w:t>3  Results</w:t>
        </w:r>
        <w:r w:rsidR="0018651B">
          <w:rPr>
            <w:noProof/>
            <w:webHidden/>
          </w:rPr>
          <w:tab/>
        </w:r>
        <w:r>
          <w:rPr>
            <w:noProof/>
            <w:webHidden/>
          </w:rPr>
          <w:fldChar w:fldCharType="begin"/>
        </w:r>
        <w:r w:rsidR="0018651B">
          <w:rPr>
            <w:noProof/>
            <w:webHidden/>
          </w:rPr>
          <w:instrText xml:space="preserve"> PAGEREF _Toc443054593 \h </w:instrText>
        </w:r>
        <w:r>
          <w:rPr>
            <w:noProof/>
            <w:webHidden/>
          </w:rPr>
        </w:r>
        <w:r>
          <w:rPr>
            <w:noProof/>
            <w:webHidden/>
          </w:rPr>
          <w:fldChar w:fldCharType="separate"/>
        </w:r>
        <w:r w:rsidR="00A56862">
          <w:rPr>
            <w:noProof/>
            <w:webHidden/>
          </w:rPr>
          <w:t>19</w:t>
        </w:r>
        <w:r>
          <w:rPr>
            <w:noProof/>
            <w:webHidden/>
          </w:rPr>
          <w:fldChar w:fldCharType="end"/>
        </w:r>
      </w:hyperlink>
    </w:p>
    <w:p w:rsidR="0018651B" w:rsidRDefault="00464059">
      <w:pPr>
        <w:pStyle w:val="TOC2"/>
        <w:rPr>
          <w:rFonts w:asciiTheme="minorHAnsi" w:eastAsiaTheme="minorEastAsia" w:hAnsiTheme="minorHAnsi" w:cstheme="minorBidi"/>
          <w:noProof/>
          <w:szCs w:val="22"/>
          <w:lang w:eastAsia="en-AU"/>
        </w:rPr>
      </w:pPr>
      <w:hyperlink w:anchor="_Toc443054594" w:history="1">
        <w:r w:rsidR="0018651B" w:rsidRPr="00E12C0F">
          <w:rPr>
            <w:rStyle w:val="Hyperlink"/>
            <w:noProof/>
          </w:rPr>
          <w:t xml:space="preserve">3.1  Mudginberri mussel </w:t>
        </w:r>
        <w:r w:rsidR="0018651B" w:rsidRPr="00E12C0F">
          <w:rPr>
            <w:rStyle w:val="Hyperlink"/>
            <w:noProof/>
            <w:snapToGrid w:val="0"/>
            <w:position w:val="7"/>
            <w:u w:color="000000"/>
          </w:rPr>
          <w:t>226</w:t>
        </w:r>
        <w:r w:rsidR="0018651B" w:rsidRPr="00E12C0F">
          <w:rPr>
            <w:rStyle w:val="Hyperlink"/>
            <w:noProof/>
          </w:rPr>
          <w:t>Ra activity concentrations</w:t>
        </w:r>
        <w:r w:rsidR="0018651B">
          <w:rPr>
            <w:noProof/>
            <w:webHidden/>
          </w:rPr>
          <w:tab/>
        </w:r>
        <w:r>
          <w:rPr>
            <w:noProof/>
            <w:webHidden/>
          </w:rPr>
          <w:fldChar w:fldCharType="begin"/>
        </w:r>
        <w:r w:rsidR="0018651B">
          <w:rPr>
            <w:noProof/>
            <w:webHidden/>
          </w:rPr>
          <w:instrText xml:space="preserve"> PAGEREF _Toc443054594 \h </w:instrText>
        </w:r>
        <w:r>
          <w:rPr>
            <w:noProof/>
            <w:webHidden/>
          </w:rPr>
        </w:r>
        <w:r>
          <w:rPr>
            <w:noProof/>
            <w:webHidden/>
          </w:rPr>
          <w:fldChar w:fldCharType="separate"/>
        </w:r>
        <w:r w:rsidR="00A56862">
          <w:rPr>
            <w:noProof/>
            <w:webHidden/>
          </w:rPr>
          <w:t>19</w:t>
        </w:r>
        <w:r>
          <w:rPr>
            <w:noProof/>
            <w:webHidden/>
          </w:rPr>
          <w:fldChar w:fldCharType="end"/>
        </w:r>
      </w:hyperlink>
    </w:p>
    <w:p w:rsidR="0018651B" w:rsidRDefault="00464059">
      <w:pPr>
        <w:pStyle w:val="TOC2"/>
        <w:rPr>
          <w:rFonts w:asciiTheme="minorHAnsi" w:eastAsiaTheme="minorEastAsia" w:hAnsiTheme="minorHAnsi" w:cstheme="minorBidi"/>
          <w:noProof/>
          <w:szCs w:val="22"/>
          <w:lang w:eastAsia="en-AU"/>
        </w:rPr>
      </w:pPr>
      <w:hyperlink w:anchor="_Toc443054595" w:history="1">
        <w:r w:rsidR="0018651B" w:rsidRPr="00E12C0F">
          <w:rPr>
            <w:rStyle w:val="Hyperlink"/>
            <w:noProof/>
          </w:rPr>
          <w:t xml:space="preserve">3.2  Water </w:t>
        </w:r>
        <w:r w:rsidR="0018651B" w:rsidRPr="00E12C0F">
          <w:rPr>
            <w:rStyle w:val="Hyperlink"/>
            <w:noProof/>
            <w:snapToGrid w:val="0"/>
            <w:position w:val="7"/>
            <w:u w:color="000000"/>
          </w:rPr>
          <w:t>226</w:t>
        </w:r>
        <w:r w:rsidR="0018651B" w:rsidRPr="00E12C0F">
          <w:rPr>
            <w:rStyle w:val="Hyperlink"/>
            <w:noProof/>
          </w:rPr>
          <w:t>Ra activity concentrations</w:t>
        </w:r>
        <w:r w:rsidR="0018651B">
          <w:rPr>
            <w:noProof/>
            <w:webHidden/>
          </w:rPr>
          <w:tab/>
        </w:r>
        <w:r>
          <w:rPr>
            <w:noProof/>
            <w:webHidden/>
          </w:rPr>
          <w:fldChar w:fldCharType="begin"/>
        </w:r>
        <w:r w:rsidR="0018651B">
          <w:rPr>
            <w:noProof/>
            <w:webHidden/>
          </w:rPr>
          <w:instrText xml:space="preserve"> PAGEREF _Toc443054595 \h </w:instrText>
        </w:r>
        <w:r>
          <w:rPr>
            <w:noProof/>
            <w:webHidden/>
          </w:rPr>
        </w:r>
        <w:r>
          <w:rPr>
            <w:noProof/>
            <w:webHidden/>
          </w:rPr>
          <w:fldChar w:fldCharType="separate"/>
        </w:r>
        <w:r w:rsidR="00A56862">
          <w:rPr>
            <w:noProof/>
            <w:webHidden/>
          </w:rPr>
          <w:t>19</w:t>
        </w:r>
        <w:r>
          <w:rPr>
            <w:noProof/>
            <w:webHidden/>
          </w:rPr>
          <w:fldChar w:fldCharType="end"/>
        </w:r>
      </w:hyperlink>
    </w:p>
    <w:p w:rsidR="0018651B" w:rsidRDefault="00464059">
      <w:pPr>
        <w:pStyle w:val="TOC3"/>
        <w:rPr>
          <w:rFonts w:asciiTheme="minorHAnsi" w:eastAsiaTheme="minorEastAsia" w:hAnsiTheme="minorHAnsi" w:cstheme="minorBidi"/>
          <w:noProof/>
          <w:sz w:val="22"/>
          <w:szCs w:val="22"/>
          <w:lang w:eastAsia="en-AU"/>
        </w:rPr>
      </w:pPr>
      <w:hyperlink w:anchor="_Toc443054596" w:history="1">
        <w:r w:rsidR="0018651B" w:rsidRPr="00E12C0F">
          <w:rPr>
            <w:rStyle w:val="Hyperlink"/>
            <w:noProof/>
          </w:rPr>
          <w:t>3.2.1  Mudginberri Billabong</w:t>
        </w:r>
        <w:r w:rsidR="0018651B">
          <w:rPr>
            <w:noProof/>
            <w:webHidden/>
          </w:rPr>
          <w:tab/>
        </w:r>
        <w:r>
          <w:rPr>
            <w:noProof/>
            <w:webHidden/>
          </w:rPr>
          <w:fldChar w:fldCharType="begin"/>
        </w:r>
        <w:r w:rsidR="0018651B">
          <w:rPr>
            <w:noProof/>
            <w:webHidden/>
          </w:rPr>
          <w:instrText xml:space="preserve"> PAGEREF _Toc443054596 \h </w:instrText>
        </w:r>
        <w:r>
          <w:rPr>
            <w:noProof/>
            <w:webHidden/>
          </w:rPr>
        </w:r>
        <w:r>
          <w:rPr>
            <w:noProof/>
            <w:webHidden/>
          </w:rPr>
          <w:fldChar w:fldCharType="separate"/>
        </w:r>
        <w:r w:rsidR="00A56862">
          <w:rPr>
            <w:noProof/>
            <w:webHidden/>
          </w:rPr>
          <w:t>19</w:t>
        </w:r>
        <w:r>
          <w:rPr>
            <w:noProof/>
            <w:webHidden/>
          </w:rPr>
          <w:fldChar w:fldCharType="end"/>
        </w:r>
      </w:hyperlink>
    </w:p>
    <w:p w:rsidR="0018651B" w:rsidRDefault="00464059">
      <w:pPr>
        <w:pStyle w:val="TOC3"/>
        <w:rPr>
          <w:rFonts w:asciiTheme="minorHAnsi" w:eastAsiaTheme="minorEastAsia" w:hAnsiTheme="minorHAnsi" w:cstheme="minorBidi"/>
          <w:noProof/>
          <w:sz w:val="22"/>
          <w:szCs w:val="22"/>
          <w:lang w:eastAsia="en-AU"/>
        </w:rPr>
      </w:pPr>
      <w:hyperlink w:anchor="_Toc443054597" w:history="1">
        <w:r w:rsidR="0018651B" w:rsidRPr="00E12C0F">
          <w:rPr>
            <w:rStyle w:val="Hyperlink"/>
            <w:noProof/>
          </w:rPr>
          <w:t>3.1.2  Magela Creek</w:t>
        </w:r>
        <w:r w:rsidR="0018651B">
          <w:rPr>
            <w:noProof/>
            <w:webHidden/>
          </w:rPr>
          <w:tab/>
        </w:r>
        <w:r>
          <w:rPr>
            <w:noProof/>
            <w:webHidden/>
          </w:rPr>
          <w:fldChar w:fldCharType="begin"/>
        </w:r>
        <w:r w:rsidR="0018651B">
          <w:rPr>
            <w:noProof/>
            <w:webHidden/>
          </w:rPr>
          <w:instrText xml:space="preserve"> PAGEREF _Toc443054597 \h </w:instrText>
        </w:r>
        <w:r>
          <w:rPr>
            <w:noProof/>
            <w:webHidden/>
          </w:rPr>
        </w:r>
        <w:r>
          <w:rPr>
            <w:noProof/>
            <w:webHidden/>
          </w:rPr>
          <w:fldChar w:fldCharType="separate"/>
        </w:r>
        <w:r w:rsidR="00A56862">
          <w:rPr>
            <w:noProof/>
            <w:webHidden/>
          </w:rPr>
          <w:t>20</w:t>
        </w:r>
        <w:r>
          <w:rPr>
            <w:noProof/>
            <w:webHidden/>
          </w:rPr>
          <w:fldChar w:fldCharType="end"/>
        </w:r>
      </w:hyperlink>
    </w:p>
    <w:p w:rsidR="0018651B" w:rsidRDefault="00464059">
      <w:pPr>
        <w:pStyle w:val="TOC2"/>
        <w:rPr>
          <w:rFonts w:asciiTheme="minorHAnsi" w:eastAsiaTheme="minorEastAsia" w:hAnsiTheme="minorHAnsi" w:cstheme="minorBidi"/>
          <w:noProof/>
          <w:szCs w:val="22"/>
          <w:lang w:eastAsia="en-AU"/>
        </w:rPr>
      </w:pPr>
      <w:hyperlink w:anchor="_Toc443054598" w:history="1">
        <w:r w:rsidR="0018651B" w:rsidRPr="00E12C0F">
          <w:rPr>
            <w:rStyle w:val="Hyperlink"/>
            <w:noProof/>
          </w:rPr>
          <w:t>3.3  Radium-226 concentration ratios</w:t>
        </w:r>
        <w:r w:rsidR="0018651B">
          <w:rPr>
            <w:noProof/>
            <w:webHidden/>
          </w:rPr>
          <w:tab/>
        </w:r>
        <w:r>
          <w:rPr>
            <w:noProof/>
            <w:webHidden/>
          </w:rPr>
          <w:fldChar w:fldCharType="begin"/>
        </w:r>
        <w:r w:rsidR="0018651B">
          <w:rPr>
            <w:noProof/>
            <w:webHidden/>
          </w:rPr>
          <w:instrText xml:space="preserve"> PAGEREF _Toc443054598 \h </w:instrText>
        </w:r>
        <w:r>
          <w:rPr>
            <w:noProof/>
            <w:webHidden/>
          </w:rPr>
        </w:r>
        <w:r>
          <w:rPr>
            <w:noProof/>
            <w:webHidden/>
          </w:rPr>
          <w:fldChar w:fldCharType="separate"/>
        </w:r>
        <w:r w:rsidR="00A56862">
          <w:rPr>
            <w:noProof/>
            <w:webHidden/>
          </w:rPr>
          <w:t>22</w:t>
        </w:r>
        <w:r>
          <w:rPr>
            <w:noProof/>
            <w:webHidden/>
          </w:rPr>
          <w:fldChar w:fldCharType="end"/>
        </w:r>
      </w:hyperlink>
    </w:p>
    <w:p w:rsidR="0018651B" w:rsidRDefault="00464059">
      <w:pPr>
        <w:pStyle w:val="TOC2"/>
        <w:rPr>
          <w:rFonts w:asciiTheme="minorHAnsi" w:eastAsiaTheme="minorEastAsia" w:hAnsiTheme="minorHAnsi" w:cstheme="minorBidi"/>
          <w:noProof/>
          <w:szCs w:val="22"/>
          <w:lang w:eastAsia="en-AU"/>
        </w:rPr>
      </w:pPr>
      <w:hyperlink w:anchor="_Toc443054599" w:history="1">
        <w:r w:rsidR="0018651B" w:rsidRPr="00E12C0F">
          <w:rPr>
            <w:rStyle w:val="Hyperlink"/>
            <w:noProof/>
          </w:rPr>
          <w:t>3.4  Human dose assessment</w:t>
        </w:r>
        <w:r w:rsidR="0018651B">
          <w:rPr>
            <w:noProof/>
            <w:webHidden/>
          </w:rPr>
          <w:tab/>
        </w:r>
        <w:r>
          <w:rPr>
            <w:noProof/>
            <w:webHidden/>
          </w:rPr>
          <w:fldChar w:fldCharType="begin"/>
        </w:r>
        <w:r w:rsidR="0018651B">
          <w:rPr>
            <w:noProof/>
            <w:webHidden/>
          </w:rPr>
          <w:instrText xml:space="preserve"> PAGEREF _Toc443054599 \h </w:instrText>
        </w:r>
        <w:r>
          <w:rPr>
            <w:noProof/>
            <w:webHidden/>
          </w:rPr>
        </w:r>
        <w:r>
          <w:rPr>
            <w:noProof/>
            <w:webHidden/>
          </w:rPr>
          <w:fldChar w:fldCharType="separate"/>
        </w:r>
        <w:r w:rsidR="00A56862">
          <w:rPr>
            <w:noProof/>
            <w:webHidden/>
          </w:rPr>
          <w:t>23</w:t>
        </w:r>
        <w:r>
          <w:rPr>
            <w:noProof/>
            <w:webHidden/>
          </w:rPr>
          <w:fldChar w:fldCharType="end"/>
        </w:r>
      </w:hyperlink>
    </w:p>
    <w:p w:rsidR="0018651B" w:rsidRDefault="00464059">
      <w:pPr>
        <w:pStyle w:val="TOC2"/>
        <w:rPr>
          <w:rFonts w:asciiTheme="minorHAnsi" w:eastAsiaTheme="minorEastAsia" w:hAnsiTheme="minorHAnsi" w:cstheme="minorBidi"/>
          <w:noProof/>
          <w:szCs w:val="22"/>
          <w:lang w:eastAsia="en-AU"/>
        </w:rPr>
      </w:pPr>
      <w:hyperlink w:anchor="_Toc443054600" w:history="1">
        <w:r w:rsidR="0018651B" w:rsidRPr="00E12C0F">
          <w:rPr>
            <w:rStyle w:val="Hyperlink"/>
            <w:noProof/>
          </w:rPr>
          <w:t>3.5  Environmental dose assessment</w:t>
        </w:r>
        <w:r w:rsidR="0018651B">
          <w:rPr>
            <w:noProof/>
            <w:webHidden/>
          </w:rPr>
          <w:tab/>
        </w:r>
        <w:r>
          <w:rPr>
            <w:noProof/>
            <w:webHidden/>
          </w:rPr>
          <w:fldChar w:fldCharType="begin"/>
        </w:r>
        <w:r w:rsidR="0018651B">
          <w:rPr>
            <w:noProof/>
            <w:webHidden/>
          </w:rPr>
          <w:instrText xml:space="preserve"> PAGEREF _Toc443054600 \h </w:instrText>
        </w:r>
        <w:r>
          <w:rPr>
            <w:noProof/>
            <w:webHidden/>
          </w:rPr>
        </w:r>
        <w:r>
          <w:rPr>
            <w:noProof/>
            <w:webHidden/>
          </w:rPr>
          <w:fldChar w:fldCharType="separate"/>
        </w:r>
        <w:r w:rsidR="00A56862">
          <w:rPr>
            <w:noProof/>
            <w:webHidden/>
          </w:rPr>
          <w:t>24</w:t>
        </w:r>
        <w:r>
          <w:rPr>
            <w:noProof/>
            <w:webHidden/>
          </w:rPr>
          <w:fldChar w:fldCharType="end"/>
        </w:r>
      </w:hyperlink>
    </w:p>
    <w:p w:rsidR="0018651B" w:rsidRDefault="00464059">
      <w:pPr>
        <w:pStyle w:val="TOC1"/>
        <w:rPr>
          <w:rFonts w:asciiTheme="minorHAnsi" w:eastAsiaTheme="minorEastAsia" w:hAnsiTheme="minorHAnsi" w:cstheme="minorBidi"/>
          <w:b w:val="0"/>
          <w:noProof/>
          <w:sz w:val="22"/>
          <w:szCs w:val="22"/>
          <w:lang w:eastAsia="en-AU"/>
        </w:rPr>
      </w:pPr>
      <w:hyperlink w:anchor="_Toc443054601" w:history="1">
        <w:r w:rsidR="0018651B" w:rsidRPr="00E12C0F">
          <w:rPr>
            <w:rStyle w:val="Hyperlink"/>
            <w:noProof/>
          </w:rPr>
          <w:t>4  Summary and conclusions</w:t>
        </w:r>
        <w:r w:rsidR="0018651B">
          <w:rPr>
            <w:noProof/>
            <w:webHidden/>
          </w:rPr>
          <w:tab/>
        </w:r>
        <w:r>
          <w:rPr>
            <w:noProof/>
            <w:webHidden/>
          </w:rPr>
          <w:fldChar w:fldCharType="begin"/>
        </w:r>
        <w:r w:rsidR="0018651B">
          <w:rPr>
            <w:noProof/>
            <w:webHidden/>
          </w:rPr>
          <w:instrText xml:space="preserve"> PAGEREF _Toc443054601 \h </w:instrText>
        </w:r>
        <w:r>
          <w:rPr>
            <w:noProof/>
            <w:webHidden/>
          </w:rPr>
        </w:r>
        <w:r>
          <w:rPr>
            <w:noProof/>
            <w:webHidden/>
          </w:rPr>
          <w:fldChar w:fldCharType="separate"/>
        </w:r>
        <w:r w:rsidR="00A56862">
          <w:rPr>
            <w:noProof/>
            <w:webHidden/>
          </w:rPr>
          <w:t>26</w:t>
        </w:r>
        <w:r>
          <w:rPr>
            <w:noProof/>
            <w:webHidden/>
          </w:rPr>
          <w:fldChar w:fldCharType="end"/>
        </w:r>
      </w:hyperlink>
    </w:p>
    <w:p w:rsidR="0018651B" w:rsidRDefault="00464059">
      <w:pPr>
        <w:pStyle w:val="TOC1"/>
        <w:rPr>
          <w:rFonts w:asciiTheme="minorHAnsi" w:eastAsiaTheme="minorEastAsia" w:hAnsiTheme="minorHAnsi" w:cstheme="minorBidi"/>
          <w:b w:val="0"/>
          <w:noProof/>
          <w:sz w:val="22"/>
          <w:szCs w:val="22"/>
          <w:lang w:eastAsia="en-AU"/>
        </w:rPr>
      </w:pPr>
      <w:hyperlink w:anchor="_Toc443054602" w:history="1">
        <w:r w:rsidR="0018651B" w:rsidRPr="00E12C0F">
          <w:rPr>
            <w:rStyle w:val="Hyperlink"/>
            <w:noProof/>
          </w:rPr>
          <w:t>References</w:t>
        </w:r>
        <w:r w:rsidR="0018651B">
          <w:rPr>
            <w:noProof/>
            <w:webHidden/>
          </w:rPr>
          <w:tab/>
        </w:r>
        <w:r>
          <w:rPr>
            <w:noProof/>
            <w:webHidden/>
          </w:rPr>
          <w:fldChar w:fldCharType="begin"/>
        </w:r>
        <w:r w:rsidR="0018651B">
          <w:rPr>
            <w:noProof/>
            <w:webHidden/>
          </w:rPr>
          <w:instrText xml:space="preserve"> PAGEREF _Toc443054602 \h </w:instrText>
        </w:r>
        <w:r>
          <w:rPr>
            <w:noProof/>
            <w:webHidden/>
          </w:rPr>
        </w:r>
        <w:r>
          <w:rPr>
            <w:noProof/>
            <w:webHidden/>
          </w:rPr>
          <w:fldChar w:fldCharType="separate"/>
        </w:r>
        <w:r w:rsidR="00A56862">
          <w:rPr>
            <w:noProof/>
            <w:webHidden/>
          </w:rPr>
          <w:t>27</w:t>
        </w:r>
        <w:r>
          <w:rPr>
            <w:noProof/>
            <w:webHidden/>
          </w:rPr>
          <w:fldChar w:fldCharType="end"/>
        </w:r>
      </w:hyperlink>
    </w:p>
    <w:p w:rsidR="00856EAE" w:rsidRDefault="00464059" w:rsidP="00856EAE">
      <w:r>
        <w:rPr>
          <w:rFonts w:ascii="Arial" w:hAnsi="Arial"/>
        </w:rPr>
        <w:fldChar w:fldCharType="end"/>
      </w:r>
    </w:p>
    <w:p w:rsidR="00856EAE" w:rsidRDefault="00856EAE" w:rsidP="00856EAE">
      <w:pPr>
        <w:pStyle w:val="TOC1"/>
      </w:pPr>
      <w:r>
        <w:t>List of Figures</w:t>
      </w:r>
    </w:p>
    <w:p w:rsidR="00D62FA2" w:rsidRDefault="00464059">
      <w:pPr>
        <w:pStyle w:val="TableofFigures"/>
        <w:tabs>
          <w:tab w:val="right" w:leader="dot" w:pos="8296"/>
        </w:tabs>
        <w:rPr>
          <w:rFonts w:asciiTheme="minorHAnsi" w:eastAsiaTheme="minorEastAsia" w:hAnsiTheme="minorHAnsi" w:cstheme="minorBidi"/>
          <w:noProof/>
          <w:sz w:val="22"/>
          <w:szCs w:val="22"/>
          <w:lang w:eastAsia="en-AU"/>
        </w:rPr>
      </w:pPr>
      <w:r w:rsidRPr="00464059">
        <w:fldChar w:fldCharType="begin"/>
      </w:r>
      <w:r w:rsidR="00856EAE">
        <w:instrText xml:space="preserve"> TOC \h \z \t "figure caption" \c </w:instrText>
      </w:r>
      <w:r w:rsidRPr="00464059">
        <w:fldChar w:fldCharType="separate"/>
      </w:r>
      <w:hyperlink w:anchor="_Toc433624061" w:history="1">
        <w:r w:rsidR="00D62FA2" w:rsidRPr="0013395B">
          <w:rPr>
            <w:rStyle w:val="Hyperlink"/>
            <w:noProof/>
          </w:rPr>
          <w:t>Figure 1 Location of Ranger mine and Supervising Scientist Branch sampling sites along the Magela Creek channel. BBB, Bowerbird Billabong; MCUS, Magela Creek upstream; GTC, Georgetown Creek; MCDS, Magela Creek downstream; MBB, Mudginberri Billabong. GTB and CJB are Georgetown and Coonjimba Billabongs (from Supervising Scientist, 2008).</w:t>
        </w:r>
        <w:r w:rsidR="00D62FA2">
          <w:rPr>
            <w:noProof/>
            <w:webHidden/>
          </w:rPr>
          <w:tab/>
        </w:r>
        <w:r>
          <w:rPr>
            <w:noProof/>
            <w:webHidden/>
          </w:rPr>
          <w:fldChar w:fldCharType="begin"/>
        </w:r>
        <w:r w:rsidR="00D62FA2">
          <w:rPr>
            <w:noProof/>
            <w:webHidden/>
          </w:rPr>
          <w:instrText xml:space="preserve"> PAGEREF _Toc433624061 \h </w:instrText>
        </w:r>
        <w:r>
          <w:rPr>
            <w:noProof/>
            <w:webHidden/>
          </w:rPr>
        </w:r>
        <w:r>
          <w:rPr>
            <w:noProof/>
            <w:webHidden/>
          </w:rPr>
          <w:fldChar w:fldCharType="separate"/>
        </w:r>
        <w:r w:rsidR="00137328">
          <w:rPr>
            <w:noProof/>
            <w:webHidden/>
          </w:rPr>
          <w:t>7</w:t>
        </w:r>
        <w:r>
          <w:rPr>
            <w:noProof/>
            <w:webHidden/>
          </w:rPr>
          <w:fldChar w:fldCharType="end"/>
        </w:r>
      </w:hyperlink>
    </w:p>
    <w:p w:rsidR="00D62FA2" w:rsidRDefault="00464059">
      <w:pPr>
        <w:pStyle w:val="TableofFigures"/>
        <w:tabs>
          <w:tab w:val="right" w:leader="dot" w:pos="8296"/>
        </w:tabs>
        <w:rPr>
          <w:rFonts w:asciiTheme="minorHAnsi" w:eastAsiaTheme="minorEastAsia" w:hAnsiTheme="minorHAnsi" w:cstheme="minorBidi"/>
          <w:noProof/>
          <w:sz w:val="22"/>
          <w:szCs w:val="22"/>
          <w:lang w:eastAsia="en-AU"/>
        </w:rPr>
      </w:pPr>
      <w:hyperlink w:anchor="_Toc433624062" w:history="1">
        <w:r w:rsidR="00D62FA2" w:rsidRPr="0013395B">
          <w:rPr>
            <w:rStyle w:val="Hyperlink"/>
            <w:noProof/>
          </w:rPr>
          <w:t>Figure 2 The uranium-238 (</w:t>
        </w:r>
        <w:r w:rsidR="00D62FA2" w:rsidRPr="0013395B">
          <w:rPr>
            <w:rStyle w:val="Hyperlink"/>
            <w:noProof/>
            <w:snapToGrid w:val="0"/>
            <w:position w:val="6"/>
            <w:u w:color="000000"/>
          </w:rPr>
          <w:t>238</w:t>
        </w:r>
        <w:r w:rsidR="00D62FA2" w:rsidRPr="0013395B">
          <w:rPr>
            <w:rStyle w:val="Hyperlink"/>
            <w:noProof/>
          </w:rPr>
          <w:t>U) decay series (from Martin 2000)</w:t>
        </w:r>
        <w:r w:rsidR="00D62FA2">
          <w:rPr>
            <w:noProof/>
            <w:webHidden/>
          </w:rPr>
          <w:tab/>
        </w:r>
        <w:r>
          <w:rPr>
            <w:noProof/>
            <w:webHidden/>
          </w:rPr>
          <w:fldChar w:fldCharType="begin"/>
        </w:r>
        <w:r w:rsidR="00D62FA2">
          <w:rPr>
            <w:noProof/>
            <w:webHidden/>
          </w:rPr>
          <w:instrText xml:space="preserve"> PAGEREF _Toc433624062 \h </w:instrText>
        </w:r>
        <w:r>
          <w:rPr>
            <w:noProof/>
            <w:webHidden/>
          </w:rPr>
        </w:r>
        <w:r>
          <w:rPr>
            <w:noProof/>
            <w:webHidden/>
          </w:rPr>
          <w:fldChar w:fldCharType="separate"/>
        </w:r>
        <w:r w:rsidR="00137328">
          <w:rPr>
            <w:noProof/>
            <w:webHidden/>
          </w:rPr>
          <w:t>9</w:t>
        </w:r>
        <w:r>
          <w:rPr>
            <w:noProof/>
            <w:webHidden/>
          </w:rPr>
          <w:fldChar w:fldCharType="end"/>
        </w:r>
      </w:hyperlink>
    </w:p>
    <w:p w:rsidR="00D62FA2" w:rsidRDefault="00464059">
      <w:pPr>
        <w:pStyle w:val="TableofFigures"/>
        <w:tabs>
          <w:tab w:val="right" w:leader="dot" w:pos="8296"/>
        </w:tabs>
        <w:rPr>
          <w:rFonts w:asciiTheme="minorHAnsi" w:eastAsiaTheme="minorEastAsia" w:hAnsiTheme="minorHAnsi" w:cstheme="minorBidi"/>
          <w:noProof/>
          <w:sz w:val="22"/>
          <w:szCs w:val="22"/>
          <w:lang w:eastAsia="en-AU"/>
        </w:rPr>
      </w:pPr>
      <w:hyperlink w:anchor="_Toc433624063" w:history="1">
        <w:r w:rsidR="00D62FA2" w:rsidRPr="0013395B">
          <w:rPr>
            <w:rStyle w:val="Hyperlink"/>
            <w:noProof/>
          </w:rPr>
          <w:t>Figure 3  Predicted contributions to the weighted absorbed dose for organisms in Magela creek with an RP2 discharge rate of 2 m</w:t>
        </w:r>
        <w:r w:rsidR="00D62FA2" w:rsidRPr="0013395B">
          <w:rPr>
            <w:rStyle w:val="Hyperlink"/>
            <w:rFonts w:ascii="Times" w:hAnsi="Times"/>
            <w:noProof/>
            <w:vertAlign w:val="superscript"/>
          </w:rPr>
          <w:t>3</w:t>
        </w:r>
        <w:r w:rsidR="00D62FA2" w:rsidRPr="0013395B">
          <w:rPr>
            <w:rStyle w:val="Hyperlink"/>
            <w:rFonts w:cs="Arial"/>
            <w:noProof/>
          </w:rPr>
          <w:t>·</w:t>
        </w:r>
        <w:r w:rsidR="00D62FA2" w:rsidRPr="0013395B">
          <w:rPr>
            <w:rStyle w:val="Hyperlink"/>
            <w:noProof/>
          </w:rPr>
          <w:t>s</w:t>
        </w:r>
        <w:r w:rsidR="00D62FA2" w:rsidRPr="0013395B">
          <w:rPr>
            <w:rStyle w:val="Hyperlink"/>
            <w:rFonts w:ascii="Times" w:hAnsi="Times"/>
            <w:noProof/>
            <w:vertAlign w:val="superscript"/>
          </w:rPr>
          <w:t>-1</w:t>
        </w:r>
        <w:r w:rsidR="00D62FA2" w:rsidRPr="0013395B">
          <w:rPr>
            <w:rStyle w:val="Hyperlink"/>
            <w:noProof/>
          </w:rPr>
          <w:t xml:space="preserve"> (from Johnston et al 2005).</w:t>
        </w:r>
        <w:r w:rsidR="00D62FA2">
          <w:rPr>
            <w:noProof/>
            <w:webHidden/>
          </w:rPr>
          <w:tab/>
        </w:r>
        <w:r>
          <w:rPr>
            <w:noProof/>
            <w:webHidden/>
          </w:rPr>
          <w:fldChar w:fldCharType="begin"/>
        </w:r>
        <w:r w:rsidR="00D62FA2">
          <w:rPr>
            <w:noProof/>
            <w:webHidden/>
          </w:rPr>
          <w:instrText xml:space="preserve"> PAGEREF _Toc433624063 \h </w:instrText>
        </w:r>
        <w:r>
          <w:rPr>
            <w:noProof/>
            <w:webHidden/>
          </w:rPr>
        </w:r>
        <w:r>
          <w:rPr>
            <w:noProof/>
            <w:webHidden/>
          </w:rPr>
          <w:fldChar w:fldCharType="separate"/>
        </w:r>
        <w:r w:rsidR="00137328">
          <w:rPr>
            <w:noProof/>
            <w:webHidden/>
          </w:rPr>
          <w:t>14</w:t>
        </w:r>
        <w:r>
          <w:rPr>
            <w:noProof/>
            <w:webHidden/>
          </w:rPr>
          <w:fldChar w:fldCharType="end"/>
        </w:r>
      </w:hyperlink>
    </w:p>
    <w:p w:rsidR="00D62FA2" w:rsidRDefault="00464059">
      <w:pPr>
        <w:pStyle w:val="TableofFigures"/>
        <w:tabs>
          <w:tab w:val="right" w:leader="dot" w:pos="8296"/>
        </w:tabs>
        <w:rPr>
          <w:rFonts w:asciiTheme="minorHAnsi" w:eastAsiaTheme="minorEastAsia" w:hAnsiTheme="minorHAnsi" w:cstheme="minorBidi"/>
          <w:noProof/>
          <w:sz w:val="22"/>
          <w:szCs w:val="22"/>
          <w:lang w:eastAsia="en-AU"/>
        </w:rPr>
      </w:pPr>
      <w:hyperlink w:anchor="_Toc433624064" w:history="1">
        <w:r w:rsidR="00D62FA2" w:rsidRPr="0013395B">
          <w:rPr>
            <w:rStyle w:val="Hyperlink"/>
            <w:noProof/>
          </w:rPr>
          <w:t xml:space="preserve">Figure 4 (a) Histogram and (b) cumulative probability plot of all </w:t>
        </w:r>
        <w:r w:rsidR="00D62FA2" w:rsidRPr="0013395B">
          <w:rPr>
            <w:rStyle w:val="Hyperlink"/>
            <w:noProof/>
            <w:snapToGrid w:val="0"/>
            <w:position w:val="6"/>
            <w:u w:color="000000"/>
          </w:rPr>
          <w:t>226</w:t>
        </w:r>
        <w:r w:rsidR="00D62FA2" w:rsidRPr="0013395B">
          <w:rPr>
            <w:rStyle w:val="Hyperlink"/>
            <w:noProof/>
          </w:rPr>
          <w:t>Ra activity concentrations (in Bq·kg</w:t>
        </w:r>
        <w:r w:rsidR="00D62FA2" w:rsidRPr="0013395B">
          <w:rPr>
            <w:rStyle w:val="Hyperlink"/>
            <w:noProof/>
            <w:snapToGrid w:val="0"/>
            <w:position w:val="6"/>
            <w:u w:color="000000"/>
          </w:rPr>
          <w:t>-1</w:t>
        </w:r>
        <w:r w:rsidR="00D62FA2" w:rsidRPr="0013395B">
          <w:rPr>
            <w:rStyle w:val="Hyperlink"/>
            <w:noProof/>
          </w:rPr>
          <w:t xml:space="preserve"> dry weight) measured in flesh of age classed freshwater mussels, </w:t>
        </w:r>
        <w:r w:rsidR="00D62FA2" w:rsidRPr="0013395B">
          <w:rPr>
            <w:rStyle w:val="Hyperlink"/>
            <w:i/>
            <w:noProof/>
          </w:rPr>
          <w:t>Velesunio angasi</w:t>
        </w:r>
        <w:r w:rsidR="00D62FA2" w:rsidRPr="0013395B">
          <w:rPr>
            <w:rStyle w:val="Hyperlink"/>
            <w:noProof/>
          </w:rPr>
          <w:t>. The blue lines are lognormal fits to the distribution and associated 95% confidence intervals.</w:t>
        </w:r>
        <w:r w:rsidR="00D62FA2">
          <w:rPr>
            <w:noProof/>
            <w:webHidden/>
          </w:rPr>
          <w:tab/>
        </w:r>
        <w:r>
          <w:rPr>
            <w:noProof/>
            <w:webHidden/>
          </w:rPr>
          <w:fldChar w:fldCharType="begin"/>
        </w:r>
        <w:r w:rsidR="00D62FA2">
          <w:rPr>
            <w:noProof/>
            <w:webHidden/>
          </w:rPr>
          <w:instrText xml:space="preserve"> PAGEREF _Toc433624064 \h </w:instrText>
        </w:r>
        <w:r>
          <w:rPr>
            <w:noProof/>
            <w:webHidden/>
          </w:rPr>
        </w:r>
        <w:r>
          <w:rPr>
            <w:noProof/>
            <w:webHidden/>
          </w:rPr>
          <w:fldChar w:fldCharType="separate"/>
        </w:r>
        <w:r w:rsidR="00137328">
          <w:rPr>
            <w:noProof/>
            <w:webHidden/>
          </w:rPr>
          <w:t>18</w:t>
        </w:r>
        <w:r>
          <w:rPr>
            <w:noProof/>
            <w:webHidden/>
          </w:rPr>
          <w:fldChar w:fldCharType="end"/>
        </w:r>
      </w:hyperlink>
    </w:p>
    <w:p w:rsidR="00D62FA2" w:rsidRDefault="00464059">
      <w:pPr>
        <w:pStyle w:val="TableofFigures"/>
        <w:tabs>
          <w:tab w:val="right" w:leader="dot" w:pos="8296"/>
        </w:tabs>
        <w:rPr>
          <w:rFonts w:asciiTheme="minorHAnsi" w:eastAsiaTheme="minorEastAsia" w:hAnsiTheme="minorHAnsi" w:cstheme="minorBidi"/>
          <w:noProof/>
          <w:sz w:val="22"/>
          <w:szCs w:val="22"/>
          <w:lang w:eastAsia="en-AU"/>
        </w:rPr>
      </w:pPr>
      <w:hyperlink w:anchor="_Toc433624065" w:history="1">
        <w:r w:rsidR="00D62FA2" w:rsidRPr="0013395B">
          <w:rPr>
            <w:rStyle w:val="Hyperlink"/>
            <w:noProof/>
          </w:rPr>
          <w:t xml:space="preserve">Figure 5 Time series of (a) total and (b) filtered </w:t>
        </w:r>
        <w:r w:rsidR="00D62FA2" w:rsidRPr="0013395B">
          <w:rPr>
            <w:rStyle w:val="Hyperlink"/>
            <w:noProof/>
            <w:snapToGrid w:val="0"/>
            <w:position w:val="4"/>
            <w:u w:color="000000"/>
          </w:rPr>
          <w:t>226</w:t>
        </w:r>
        <w:r w:rsidR="00D62FA2" w:rsidRPr="0013395B">
          <w:rPr>
            <w:rStyle w:val="Hyperlink"/>
            <w:noProof/>
          </w:rPr>
          <w:t>Ra activity concentrations in Mudginberri Billabong from the 1980s to 2013.</w:t>
        </w:r>
        <w:r w:rsidR="00D62FA2">
          <w:rPr>
            <w:noProof/>
            <w:webHidden/>
          </w:rPr>
          <w:tab/>
        </w:r>
        <w:r>
          <w:rPr>
            <w:noProof/>
            <w:webHidden/>
          </w:rPr>
          <w:fldChar w:fldCharType="begin"/>
        </w:r>
        <w:r w:rsidR="00D62FA2">
          <w:rPr>
            <w:noProof/>
            <w:webHidden/>
          </w:rPr>
          <w:instrText xml:space="preserve"> PAGEREF _Toc433624065 \h </w:instrText>
        </w:r>
        <w:r>
          <w:rPr>
            <w:noProof/>
            <w:webHidden/>
          </w:rPr>
        </w:r>
        <w:r>
          <w:rPr>
            <w:noProof/>
            <w:webHidden/>
          </w:rPr>
          <w:fldChar w:fldCharType="separate"/>
        </w:r>
        <w:r w:rsidR="00137328">
          <w:rPr>
            <w:noProof/>
            <w:webHidden/>
          </w:rPr>
          <w:t>18</w:t>
        </w:r>
        <w:r>
          <w:rPr>
            <w:noProof/>
            <w:webHidden/>
          </w:rPr>
          <w:fldChar w:fldCharType="end"/>
        </w:r>
      </w:hyperlink>
    </w:p>
    <w:p w:rsidR="00D62FA2" w:rsidRDefault="00464059">
      <w:pPr>
        <w:pStyle w:val="TableofFigures"/>
        <w:tabs>
          <w:tab w:val="right" w:leader="dot" w:pos="8296"/>
        </w:tabs>
        <w:rPr>
          <w:rFonts w:asciiTheme="minorHAnsi" w:eastAsiaTheme="minorEastAsia" w:hAnsiTheme="minorHAnsi" w:cstheme="minorBidi"/>
          <w:noProof/>
          <w:sz w:val="22"/>
          <w:szCs w:val="22"/>
          <w:lang w:eastAsia="en-AU"/>
        </w:rPr>
      </w:pPr>
      <w:hyperlink w:anchor="_Toc433624066" w:history="1">
        <w:r w:rsidR="00D62FA2" w:rsidRPr="0013395B">
          <w:rPr>
            <w:rStyle w:val="Hyperlink"/>
            <w:noProof/>
          </w:rPr>
          <w:t xml:space="preserve">Figure 6 (a, c) Histograms and (b, d) cumulative probability plots of all total and filtered water </w:t>
        </w:r>
        <w:r w:rsidR="00D62FA2" w:rsidRPr="0013395B">
          <w:rPr>
            <w:rStyle w:val="Hyperlink"/>
            <w:noProof/>
            <w:snapToGrid w:val="0"/>
            <w:position w:val="6"/>
            <w:u w:color="000000"/>
          </w:rPr>
          <w:t>226</w:t>
        </w:r>
        <w:r w:rsidR="00D62FA2" w:rsidRPr="0013395B">
          <w:rPr>
            <w:rStyle w:val="Hyperlink"/>
            <w:noProof/>
          </w:rPr>
          <w:t>Ra activity concentrations (in Bq.L</w:t>
        </w:r>
        <w:r w:rsidR="00D62FA2" w:rsidRPr="0013395B">
          <w:rPr>
            <w:rStyle w:val="Hyperlink"/>
            <w:noProof/>
            <w:snapToGrid w:val="0"/>
            <w:position w:val="6"/>
            <w:u w:color="000000"/>
          </w:rPr>
          <w:t>-1</w:t>
        </w:r>
        <w:r w:rsidR="00D62FA2" w:rsidRPr="0013395B">
          <w:rPr>
            <w:rStyle w:val="Hyperlink"/>
            <w:noProof/>
          </w:rPr>
          <w:t>) measured in Mudginberri Billabong. The blue lines are a lognormal fit to the distribution and associated 95% confidence intervals.</w:t>
        </w:r>
        <w:r w:rsidR="00D62FA2">
          <w:rPr>
            <w:noProof/>
            <w:webHidden/>
          </w:rPr>
          <w:tab/>
        </w:r>
        <w:r>
          <w:rPr>
            <w:noProof/>
            <w:webHidden/>
          </w:rPr>
          <w:fldChar w:fldCharType="begin"/>
        </w:r>
        <w:r w:rsidR="00D62FA2">
          <w:rPr>
            <w:noProof/>
            <w:webHidden/>
          </w:rPr>
          <w:instrText xml:space="preserve"> PAGEREF _Toc433624066 \h </w:instrText>
        </w:r>
        <w:r>
          <w:rPr>
            <w:noProof/>
            <w:webHidden/>
          </w:rPr>
        </w:r>
        <w:r>
          <w:rPr>
            <w:noProof/>
            <w:webHidden/>
          </w:rPr>
          <w:fldChar w:fldCharType="separate"/>
        </w:r>
        <w:r w:rsidR="00137328">
          <w:rPr>
            <w:noProof/>
            <w:webHidden/>
          </w:rPr>
          <w:t>19</w:t>
        </w:r>
        <w:r>
          <w:rPr>
            <w:noProof/>
            <w:webHidden/>
          </w:rPr>
          <w:fldChar w:fldCharType="end"/>
        </w:r>
      </w:hyperlink>
    </w:p>
    <w:p w:rsidR="00D62FA2" w:rsidRDefault="00464059">
      <w:pPr>
        <w:pStyle w:val="TableofFigures"/>
        <w:tabs>
          <w:tab w:val="right" w:leader="dot" w:pos="8296"/>
        </w:tabs>
        <w:rPr>
          <w:rFonts w:asciiTheme="minorHAnsi" w:eastAsiaTheme="minorEastAsia" w:hAnsiTheme="minorHAnsi" w:cstheme="minorBidi"/>
          <w:noProof/>
          <w:sz w:val="22"/>
          <w:szCs w:val="22"/>
          <w:lang w:eastAsia="en-AU"/>
        </w:rPr>
      </w:pPr>
      <w:hyperlink w:anchor="_Toc433624067" w:history="1">
        <w:r w:rsidR="00D62FA2" w:rsidRPr="0013395B">
          <w:rPr>
            <w:rStyle w:val="Hyperlink"/>
            <w:noProof/>
          </w:rPr>
          <w:t xml:space="preserve">Figure 7 Time series of (a) total and (b) filtered </w:t>
        </w:r>
        <w:r w:rsidR="00D62FA2" w:rsidRPr="0013395B">
          <w:rPr>
            <w:rStyle w:val="Hyperlink"/>
            <w:noProof/>
            <w:snapToGrid w:val="0"/>
            <w:position w:val="4"/>
            <w:u w:color="000000"/>
          </w:rPr>
          <w:t>226</w:t>
        </w:r>
        <w:r w:rsidR="00D62FA2" w:rsidRPr="0013395B">
          <w:rPr>
            <w:rStyle w:val="Hyperlink"/>
            <w:noProof/>
          </w:rPr>
          <w:t>Ra activity concentrations in Magela Creek, from 2000 to 2013.</w:t>
        </w:r>
        <w:r w:rsidR="00D62FA2">
          <w:rPr>
            <w:noProof/>
            <w:webHidden/>
          </w:rPr>
          <w:tab/>
        </w:r>
        <w:r>
          <w:rPr>
            <w:noProof/>
            <w:webHidden/>
          </w:rPr>
          <w:fldChar w:fldCharType="begin"/>
        </w:r>
        <w:r w:rsidR="00D62FA2">
          <w:rPr>
            <w:noProof/>
            <w:webHidden/>
          </w:rPr>
          <w:instrText xml:space="preserve"> PAGEREF _Toc433624067 \h </w:instrText>
        </w:r>
        <w:r>
          <w:rPr>
            <w:noProof/>
            <w:webHidden/>
          </w:rPr>
        </w:r>
        <w:r>
          <w:rPr>
            <w:noProof/>
            <w:webHidden/>
          </w:rPr>
          <w:fldChar w:fldCharType="separate"/>
        </w:r>
        <w:r w:rsidR="00137328">
          <w:rPr>
            <w:noProof/>
            <w:webHidden/>
          </w:rPr>
          <w:t>19</w:t>
        </w:r>
        <w:r>
          <w:rPr>
            <w:noProof/>
            <w:webHidden/>
          </w:rPr>
          <w:fldChar w:fldCharType="end"/>
        </w:r>
      </w:hyperlink>
    </w:p>
    <w:p w:rsidR="00D62FA2" w:rsidRDefault="00464059">
      <w:pPr>
        <w:pStyle w:val="TableofFigures"/>
        <w:tabs>
          <w:tab w:val="right" w:leader="dot" w:pos="8296"/>
        </w:tabs>
        <w:rPr>
          <w:rFonts w:asciiTheme="minorHAnsi" w:eastAsiaTheme="minorEastAsia" w:hAnsiTheme="minorHAnsi" w:cstheme="minorBidi"/>
          <w:noProof/>
          <w:sz w:val="22"/>
          <w:szCs w:val="22"/>
          <w:lang w:eastAsia="en-AU"/>
        </w:rPr>
      </w:pPr>
      <w:hyperlink w:anchor="_Toc433624068" w:history="1">
        <w:r w:rsidR="00D62FA2" w:rsidRPr="0013395B">
          <w:rPr>
            <w:rStyle w:val="Hyperlink"/>
            <w:noProof/>
          </w:rPr>
          <w:t xml:space="preserve">Figure 8  (a, c) Histograms and (b, d) cumulative probability plots of all total and filtered water </w:t>
        </w:r>
        <w:r w:rsidR="00D62FA2" w:rsidRPr="0013395B">
          <w:rPr>
            <w:rStyle w:val="Hyperlink"/>
            <w:noProof/>
            <w:snapToGrid w:val="0"/>
            <w:position w:val="4"/>
            <w:u w:color="000000"/>
          </w:rPr>
          <w:t>226</w:t>
        </w:r>
        <w:r w:rsidR="00D62FA2" w:rsidRPr="0013395B">
          <w:rPr>
            <w:rStyle w:val="Hyperlink"/>
            <w:noProof/>
          </w:rPr>
          <w:t>Ra activity concentrations (Bq.L</w:t>
        </w:r>
        <w:r w:rsidR="00D62FA2" w:rsidRPr="0013395B">
          <w:rPr>
            <w:rStyle w:val="Hyperlink"/>
            <w:noProof/>
            <w:snapToGrid w:val="0"/>
            <w:position w:val="4"/>
            <w:u w:color="000000"/>
          </w:rPr>
          <w:t>-1</w:t>
        </w:r>
        <w:r w:rsidR="00D62FA2" w:rsidRPr="0013395B">
          <w:rPr>
            <w:rStyle w:val="Hyperlink"/>
            <w:noProof/>
          </w:rPr>
          <w:t>) measured in Magela Creek from 2000 onwards. The blue lines are lognormal fits to the distribution and associated 95% confidence intervals.</w:t>
        </w:r>
        <w:r w:rsidR="00D62FA2">
          <w:rPr>
            <w:noProof/>
            <w:webHidden/>
          </w:rPr>
          <w:tab/>
        </w:r>
        <w:r>
          <w:rPr>
            <w:noProof/>
            <w:webHidden/>
          </w:rPr>
          <w:fldChar w:fldCharType="begin"/>
        </w:r>
        <w:r w:rsidR="00D62FA2">
          <w:rPr>
            <w:noProof/>
            <w:webHidden/>
          </w:rPr>
          <w:instrText xml:space="preserve"> PAGEREF _Toc433624068 \h </w:instrText>
        </w:r>
        <w:r>
          <w:rPr>
            <w:noProof/>
            <w:webHidden/>
          </w:rPr>
        </w:r>
        <w:r>
          <w:rPr>
            <w:noProof/>
            <w:webHidden/>
          </w:rPr>
          <w:fldChar w:fldCharType="separate"/>
        </w:r>
        <w:r w:rsidR="00137328">
          <w:rPr>
            <w:noProof/>
            <w:webHidden/>
          </w:rPr>
          <w:t>20</w:t>
        </w:r>
        <w:r>
          <w:rPr>
            <w:noProof/>
            <w:webHidden/>
          </w:rPr>
          <w:fldChar w:fldCharType="end"/>
        </w:r>
      </w:hyperlink>
    </w:p>
    <w:p w:rsidR="00D62FA2" w:rsidRDefault="00464059">
      <w:pPr>
        <w:pStyle w:val="TableofFigures"/>
        <w:tabs>
          <w:tab w:val="right" w:leader="dot" w:pos="8296"/>
        </w:tabs>
        <w:rPr>
          <w:rFonts w:asciiTheme="minorHAnsi" w:eastAsiaTheme="minorEastAsia" w:hAnsiTheme="minorHAnsi" w:cstheme="minorBidi"/>
          <w:noProof/>
          <w:sz w:val="22"/>
          <w:szCs w:val="22"/>
          <w:lang w:eastAsia="en-AU"/>
        </w:rPr>
      </w:pPr>
      <w:hyperlink w:anchor="_Toc433624069" w:history="1">
        <w:r w:rsidR="00D62FA2" w:rsidRPr="0013395B">
          <w:rPr>
            <w:rStyle w:val="Hyperlink"/>
            <w:noProof/>
          </w:rPr>
          <w:t>Figure 9  (a) Histogram and (b) cumulative probabilities of CRs [L·kg</w:t>
        </w:r>
        <w:r w:rsidR="00D62FA2" w:rsidRPr="0013395B">
          <w:rPr>
            <w:rStyle w:val="Hyperlink"/>
            <w:noProof/>
            <w:snapToGrid w:val="0"/>
            <w:position w:val="4"/>
            <w:u w:color="000000"/>
          </w:rPr>
          <w:t>-1</w:t>
        </w:r>
        <w:r w:rsidR="00D62FA2" w:rsidRPr="0013395B">
          <w:rPr>
            <w:rStyle w:val="Hyperlink"/>
            <w:noProof/>
            <w:snapToGrid w:val="0"/>
            <w:position w:val="-6"/>
            <w:u w:color="000000"/>
          </w:rPr>
          <w:t>wet</w:t>
        </w:r>
        <w:r w:rsidR="00D62FA2" w:rsidRPr="0013395B">
          <w:rPr>
            <w:rStyle w:val="Hyperlink"/>
            <w:noProof/>
          </w:rPr>
          <w:t>] measured in all mussels collected since 2001 in Mudginberri Billabong. The blue line represents a lognormal fit to the data.</w:t>
        </w:r>
        <w:r w:rsidR="00D62FA2">
          <w:rPr>
            <w:noProof/>
            <w:webHidden/>
          </w:rPr>
          <w:tab/>
        </w:r>
        <w:r>
          <w:rPr>
            <w:noProof/>
            <w:webHidden/>
          </w:rPr>
          <w:fldChar w:fldCharType="begin"/>
        </w:r>
        <w:r w:rsidR="00D62FA2">
          <w:rPr>
            <w:noProof/>
            <w:webHidden/>
          </w:rPr>
          <w:instrText xml:space="preserve"> PAGEREF _Toc433624069 \h </w:instrText>
        </w:r>
        <w:r>
          <w:rPr>
            <w:noProof/>
            <w:webHidden/>
          </w:rPr>
        </w:r>
        <w:r>
          <w:rPr>
            <w:noProof/>
            <w:webHidden/>
          </w:rPr>
          <w:fldChar w:fldCharType="separate"/>
        </w:r>
        <w:r w:rsidR="00137328">
          <w:rPr>
            <w:noProof/>
            <w:webHidden/>
          </w:rPr>
          <w:t>21</w:t>
        </w:r>
        <w:r>
          <w:rPr>
            <w:noProof/>
            <w:webHidden/>
          </w:rPr>
          <w:fldChar w:fldCharType="end"/>
        </w:r>
      </w:hyperlink>
    </w:p>
    <w:p w:rsidR="00D62FA2" w:rsidRDefault="00464059">
      <w:pPr>
        <w:pStyle w:val="TableofFigures"/>
        <w:tabs>
          <w:tab w:val="right" w:leader="dot" w:pos="8296"/>
        </w:tabs>
        <w:rPr>
          <w:rFonts w:asciiTheme="minorHAnsi" w:eastAsiaTheme="minorEastAsia" w:hAnsiTheme="minorHAnsi" w:cstheme="minorBidi"/>
          <w:noProof/>
          <w:sz w:val="22"/>
          <w:szCs w:val="22"/>
          <w:lang w:eastAsia="en-AU"/>
        </w:rPr>
      </w:pPr>
      <w:hyperlink w:anchor="_Toc433624070" w:history="1">
        <w:r w:rsidR="00D62FA2" w:rsidRPr="0013395B">
          <w:rPr>
            <w:rStyle w:val="Hyperlink"/>
            <w:noProof/>
          </w:rPr>
          <w:t>Figure 10  Concentration ratios ([L/kg</w:t>
        </w:r>
        <w:r w:rsidR="00D62FA2" w:rsidRPr="0013395B">
          <w:rPr>
            <w:rStyle w:val="Hyperlink"/>
            <w:noProof/>
            <w:snapToGrid w:val="0"/>
            <w:position w:val="-6"/>
            <w:u w:color="000000"/>
          </w:rPr>
          <w:t>wet</w:t>
        </w:r>
        <w:r w:rsidR="00D62FA2" w:rsidRPr="0013395B">
          <w:rPr>
            <w:rStyle w:val="Hyperlink"/>
            <w:noProof/>
          </w:rPr>
          <w:t>] measured in mussels older than 2 years,  collected since 2001 in Mudginberri Billabong. The blue line represents a lognormal fit to the distribution.</w:t>
        </w:r>
        <w:r w:rsidR="00D62FA2">
          <w:rPr>
            <w:noProof/>
            <w:webHidden/>
          </w:rPr>
          <w:tab/>
        </w:r>
        <w:r>
          <w:rPr>
            <w:noProof/>
            <w:webHidden/>
          </w:rPr>
          <w:fldChar w:fldCharType="begin"/>
        </w:r>
        <w:r w:rsidR="00D62FA2">
          <w:rPr>
            <w:noProof/>
            <w:webHidden/>
          </w:rPr>
          <w:instrText xml:space="preserve"> PAGEREF _Toc433624070 \h </w:instrText>
        </w:r>
        <w:r>
          <w:rPr>
            <w:noProof/>
            <w:webHidden/>
          </w:rPr>
        </w:r>
        <w:r>
          <w:rPr>
            <w:noProof/>
            <w:webHidden/>
          </w:rPr>
          <w:fldChar w:fldCharType="separate"/>
        </w:r>
        <w:r w:rsidR="00137328">
          <w:rPr>
            <w:noProof/>
            <w:webHidden/>
          </w:rPr>
          <w:t>21</w:t>
        </w:r>
        <w:r>
          <w:rPr>
            <w:noProof/>
            <w:webHidden/>
          </w:rPr>
          <w:fldChar w:fldCharType="end"/>
        </w:r>
      </w:hyperlink>
    </w:p>
    <w:p w:rsidR="00D62FA2" w:rsidRDefault="00464059">
      <w:pPr>
        <w:pStyle w:val="TableofFigures"/>
        <w:tabs>
          <w:tab w:val="right" w:leader="dot" w:pos="8296"/>
        </w:tabs>
        <w:rPr>
          <w:rFonts w:asciiTheme="minorHAnsi" w:eastAsiaTheme="minorEastAsia" w:hAnsiTheme="minorHAnsi" w:cstheme="minorBidi"/>
          <w:noProof/>
          <w:sz w:val="22"/>
          <w:szCs w:val="22"/>
          <w:lang w:eastAsia="en-AU"/>
        </w:rPr>
      </w:pPr>
      <w:hyperlink w:anchor="_Toc433624071" w:history="1">
        <w:r w:rsidR="00D62FA2" w:rsidRPr="0013395B">
          <w:rPr>
            <w:rStyle w:val="Hyperlink"/>
            <w:noProof/>
          </w:rPr>
          <w:t xml:space="preserve">Figure 11 Distributions of internal and external an/d dose rates modelled for freshwater mussels, </w:t>
        </w:r>
        <w:r w:rsidR="00D62FA2" w:rsidRPr="0013395B">
          <w:rPr>
            <w:rStyle w:val="Hyperlink"/>
            <w:i/>
            <w:noProof/>
          </w:rPr>
          <w:t>Velesunio angasi</w:t>
        </w:r>
        <w:r w:rsidR="00D62FA2" w:rsidRPr="0013395B">
          <w:rPr>
            <w:rStyle w:val="Hyperlink"/>
            <w:noProof/>
          </w:rPr>
          <w:t xml:space="preserve">, from an assumed water </w:t>
        </w:r>
        <w:r w:rsidR="00D62FA2" w:rsidRPr="0013395B">
          <w:rPr>
            <w:rStyle w:val="Hyperlink"/>
            <w:noProof/>
            <w:snapToGrid w:val="0"/>
            <w:position w:val="4"/>
            <w:u w:color="000000"/>
          </w:rPr>
          <w:t>226</w:t>
        </w:r>
        <w:r w:rsidR="00D62FA2" w:rsidRPr="0013395B">
          <w:rPr>
            <w:rStyle w:val="Hyperlink"/>
            <w:noProof/>
          </w:rPr>
          <w:t>Ra activity concentration of 1 Bq.L</w:t>
        </w:r>
        <w:r w:rsidR="00D62FA2" w:rsidRPr="0013395B">
          <w:rPr>
            <w:rStyle w:val="Hyperlink"/>
            <w:noProof/>
            <w:snapToGrid w:val="0"/>
            <w:position w:val="4"/>
            <w:u w:color="000000"/>
          </w:rPr>
          <w:t>-1</w:t>
        </w:r>
        <w:r w:rsidR="00D62FA2">
          <w:rPr>
            <w:noProof/>
            <w:webHidden/>
          </w:rPr>
          <w:tab/>
        </w:r>
        <w:r>
          <w:rPr>
            <w:noProof/>
            <w:webHidden/>
          </w:rPr>
          <w:fldChar w:fldCharType="begin"/>
        </w:r>
        <w:r w:rsidR="00D62FA2">
          <w:rPr>
            <w:noProof/>
            <w:webHidden/>
          </w:rPr>
          <w:instrText xml:space="preserve"> PAGEREF _Toc433624071 \h </w:instrText>
        </w:r>
        <w:r>
          <w:rPr>
            <w:noProof/>
            <w:webHidden/>
          </w:rPr>
        </w:r>
        <w:r>
          <w:rPr>
            <w:noProof/>
            <w:webHidden/>
          </w:rPr>
          <w:fldChar w:fldCharType="separate"/>
        </w:r>
        <w:r w:rsidR="00137328">
          <w:rPr>
            <w:noProof/>
            <w:webHidden/>
          </w:rPr>
          <w:t>23</w:t>
        </w:r>
        <w:r>
          <w:rPr>
            <w:noProof/>
            <w:webHidden/>
          </w:rPr>
          <w:fldChar w:fldCharType="end"/>
        </w:r>
      </w:hyperlink>
    </w:p>
    <w:p w:rsidR="00856EAE" w:rsidRDefault="00464059" w:rsidP="00856EAE">
      <w:pPr>
        <w:pStyle w:val="TOC1"/>
      </w:pPr>
      <w:r>
        <w:fldChar w:fldCharType="end"/>
      </w:r>
    </w:p>
    <w:p w:rsidR="00984DC7" w:rsidRDefault="00984DC7">
      <w:pPr>
        <w:spacing w:after="0" w:line="240" w:lineRule="auto"/>
        <w:jc w:val="left"/>
        <w:rPr>
          <w:rFonts w:ascii="Arial" w:hAnsi="Arial"/>
          <w:b/>
        </w:rPr>
      </w:pPr>
      <w:r>
        <w:br w:type="page"/>
      </w:r>
    </w:p>
    <w:p w:rsidR="00856EAE" w:rsidRDefault="00856EAE" w:rsidP="00856EAE">
      <w:pPr>
        <w:pStyle w:val="TOC1"/>
      </w:pPr>
      <w:r w:rsidRPr="00B72E87">
        <w:t>List of Tables</w:t>
      </w:r>
    </w:p>
    <w:p w:rsidR="00D62FA2" w:rsidRDefault="00464059">
      <w:pPr>
        <w:pStyle w:val="TableofFigures"/>
        <w:tabs>
          <w:tab w:val="right" w:leader="dot" w:pos="8296"/>
        </w:tabs>
        <w:rPr>
          <w:rFonts w:asciiTheme="minorHAnsi" w:eastAsiaTheme="minorEastAsia" w:hAnsiTheme="minorHAnsi" w:cstheme="minorBidi"/>
          <w:noProof/>
          <w:sz w:val="22"/>
          <w:szCs w:val="22"/>
          <w:lang w:eastAsia="en-AU"/>
        </w:rPr>
      </w:pPr>
      <w:r>
        <w:fldChar w:fldCharType="begin"/>
      </w:r>
      <w:r w:rsidR="00856EAE">
        <w:instrText xml:space="preserve"> TOC \h \z \t "table caption" \c </w:instrText>
      </w:r>
      <w:r>
        <w:fldChar w:fldCharType="separate"/>
      </w:r>
      <w:hyperlink w:anchor="_Toc433624055" w:history="1">
        <w:r w:rsidR="00D62FA2" w:rsidRPr="005E7822">
          <w:rPr>
            <w:rStyle w:val="Hyperlink"/>
            <w:noProof/>
          </w:rPr>
          <w:t>Table 1 Concentration ratios in L·kg</w:t>
        </w:r>
        <w:r w:rsidR="00D62FA2" w:rsidRPr="005E7822">
          <w:rPr>
            <w:rStyle w:val="Hyperlink"/>
            <w:noProof/>
            <w:snapToGrid w:val="0"/>
            <w:position w:val="6"/>
            <w:u w:color="000000"/>
          </w:rPr>
          <w:t>-1</w:t>
        </w:r>
        <w:r w:rsidR="00D62FA2" w:rsidRPr="005E7822">
          <w:rPr>
            <w:rStyle w:val="Hyperlink"/>
            <w:noProof/>
          </w:rPr>
          <w:t xml:space="preserve">  (relative to total water </w:t>
        </w:r>
        <w:r w:rsidR="00D62FA2" w:rsidRPr="005E7822">
          <w:rPr>
            <w:rStyle w:val="Hyperlink"/>
            <w:noProof/>
            <w:snapToGrid w:val="0"/>
            <w:position w:val="4"/>
            <w:u w:color="000000"/>
          </w:rPr>
          <w:t>226</w:t>
        </w:r>
        <w:r w:rsidR="00D62FA2" w:rsidRPr="005E7822">
          <w:rPr>
            <w:rStyle w:val="Hyperlink"/>
            <w:noProof/>
          </w:rPr>
          <w:t>Ra activity concentrations) for freshwater mussel flesh (from Johnston et al 1984)</w:t>
        </w:r>
        <w:r w:rsidR="00D62FA2">
          <w:rPr>
            <w:noProof/>
            <w:webHidden/>
          </w:rPr>
          <w:tab/>
        </w:r>
        <w:r>
          <w:rPr>
            <w:noProof/>
            <w:webHidden/>
          </w:rPr>
          <w:fldChar w:fldCharType="begin"/>
        </w:r>
        <w:r w:rsidR="00D62FA2">
          <w:rPr>
            <w:noProof/>
            <w:webHidden/>
          </w:rPr>
          <w:instrText xml:space="preserve"> PAGEREF _Toc433624055 \h </w:instrText>
        </w:r>
        <w:r>
          <w:rPr>
            <w:noProof/>
            <w:webHidden/>
          </w:rPr>
        </w:r>
        <w:r>
          <w:rPr>
            <w:noProof/>
            <w:webHidden/>
          </w:rPr>
          <w:fldChar w:fldCharType="separate"/>
        </w:r>
        <w:r w:rsidR="00137328">
          <w:rPr>
            <w:noProof/>
            <w:webHidden/>
          </w:rPr>
          <w:t>12</w:t>
        </w:r>
        <w:r>
          <w:rPr>
            <w:noProof/>
            <w:webHidden/>
          </w:rPr>
          <w:fldChar w:fldCharType="end"/>
        </w:r>
      </w:hyperlink>
    </w:p>
    <w:p w:rsidR="00D62FA2" w:rsidRDefault="00464059">
      <w:pPr>
        <w:pStyle w:val="TableofFigures"/>
        <w:tabs>
          <w:tab w:val="right" w:leader="dot" w:pos="8296"/>
        </w:tabs>
        <w:rPr>
          <w:rFonts w:asciiTheme="minorHAnsi" w:eastAsiaTheme="minorEastAsia" w:hAnsiTheme="minorHAnsi" w:cstheme="minorBidi"/>
          <w:noProof/>
          <w:sz w:val="22"/>
          <w:szCs w:val="22"/>
          <w:lang w:eastAsia="en-AU"/>
        </w:rPr>
      </w:pPr>
      <w:hyperlink w:anchor="_Toc433624056" w:history="1">
        <w:r w:rsidR="00D62FA2" w:rsidRPr="005E7822">
          <w:rPr>
            <w:rStyle w:val="Hyperlink"/>
            <w:noProof/>
          </w:rPr>
          <w:t xml:space="preserve">Table 2 Summary of total and filtered water </w:t>
        </w:r>
        <w:r w:rsidR="00D62FA2" w:rsidRPr="005E7822">
          <w:rPr>
            <w:rStyle w:val="Hyperlink"/>
            <w:noProof/>
            <w:snapToGrid w:val="0"/>
            <w:position w:val="4"/>
            <w:u w:color="000000"/>
          </w:rPr>
          <w:t>226</w:t>
        </w:r>
        <w:r w:rsidR="00D62FA2" w:rsidRPr="005E7822">
          <w:rPr>
            <w:rStyle w:val="Hyperlink"/>
            <w:noProof/>
          </w:rPr>
          <w:t>Ra activity concentrations (Bq</w:t>
        </w:r>
        <w:r w:rsidR="00137328">
          <w:rPr>
            <w:rStyle w:val="Hyperlink"/>
            <w:noProof/>
          </w:rPr>
          <w:t>·</w:t>
        </w:r>
        <w:r w:rsidR="00D62FA2" w:rsidRPr="005E7822">
          <w:rPr>
            <w:rStyle w:val="Hyperlink"/>
            <w:noProof/>
          </w:rPr>
          <w:t>L</w:t>
        </w:r>
        <w:r w:rsidR="00D62FA2" w:rsidRPr="005E7822">
          <w:rPr>
            <w:rStyle w:val="Hyperlink"/>
            <w:noProof/>
            <w:snapToGrid w:val="0"/>
            <w:position w:val="4"/>
            <w:u w:color="000000"/>
          </w:rPr>
          <w:t>-1</w:t>
        </w:r>
        <w:r w:rsidR="00D62FA2" w:rsidRPr="005E7822">
          <w:rPr>
            <w:rStyle w:val="Hyperlink"/>
            <w:noProof/>
          </w:rPr>
          <w:t>). Arithmetic means and standard deviations are shown. Geometric means are in brackets.</w:t>
        </w:r>
        <w:r w:rsidR="00D62FA2">
          <w:rPr>
            <w:noProof/>
            <w:webHidden/>
          </w:rPr>
          <w:tab/>
        </w:r>
        <w:r>
          <w:rPr>
            <w:noProof/>
            <w:webHidden/>
          </w:rPr>
          <w:fldChar w:fldCharType="begin"/>
        </w:r>
        <w:r w:rsidR="00D62FA2">
          <w:rPr>
            <w:noProof/>
            <w:webHidden/>
          </w:rPr>
          <w:instrText xml:space="preserve"> PAGEREF _Toc433624056 \h </w:instrText>
        </w:r>
        <w:r>
          <w:rPr>
            <w:noProof/>
            <w:webHidden/>
          </w:rPr>
        </w:r>
        <w:r>
          <w:rPr>
            <w:noProof/>
            <w:webHidden/>
          </w:rPr>
          <w:fldChar w:fldCharType="separate"/>
        </w:r>
        <w:r w:rsidR="00137328">
          <w:rPr>
            <w:noProof/>
            <w:webHidden/>
          </w:rPr>
          <w:t>20</w:t>
        </w:r>
        <w:r>
          <w:rPr>
            <w:noProof/>
            <w:webHidden/>
          </w:rPr>
          <w:fldChar w:fldCharType="end"/>
        </w:r>
      </w:hyperlink>
    </w:p>
    <w:p w:rsidR="00D62FA2" w:rsidRDefault="00464059">
      <w:pPr>
        <w:pStyle w:val="TableofFigures"/>
        <w:tabs>
          <w:tab w:val="right" w:leader="dot" w:pos="8296"/>
        </w:tabs>
        <w:rPr>
          <w:rFonts w:asciiTheme="minorHAnsi" w:eastAsiaTheme="minorEastAsia" w:hAnsiTheme="minorHAnsi" w:cstheme="minorBidi"/>
          <w:noProof/>
          <w:sz w:val="22"/>
          <w:szCs w:val="22"/>
          <w:lang w:eastAsia="en-AU"/>
        </w:rPr>
      </w:pPr>
      <w:hyperlink w:anchor="_Toc433624057" w:history="1">
        <w:r w:rsidR="00D62FA2" w:rsidRPr="005E7822">
          <w:rPr>
            <w:rStyle w:val="Hyperlink"/>
            <w:noProof/>
          </w:rPr>
          <w:t>Table 3 Statistical summary for the whole CR data-set.</w:t>
        </w:r>
        <w:r w:rsidR="00D62FA2">
          <w:rPr>
            <w:noProof/>
            <w:webHidden/>
          </w:rPr>
          <w:tab/>
        </w:r>
        <w:r>
          <w:rPr>
            <w:noProof/>
            <w:webHidden/>
          </w:rPr>
          <w:fldChar w:fldCharType="begin"/>
        </w:r>
        <w:r w:rsidR="00D62FA2">
          <w:rPr>
            <w:noProof/>
            <w:webHidden/>
          </w:rPr>
          <w:instrText xml:space="preserve"> PAGEREF _Toc433624057 \h </w:instrText>
        </w:r>
        <w:r>
          <w:rPr>
            <w:noProof/>
            <w:webHidden/>
          </w:rPr>
        </w:r>
        <w:r>
          <w:rPr>
            <w:noProof/>
            <w:webHidden/>
          </w:rPr>
          <w:fldChar w:fldCharType="separate"/>
        </w:r>
        <w:r w:rsidR="00137328">
          <w:rPr>
            <w:noProof/>
            <w:webHidden/>
          </w:rPr>
          <w:t>21</w:t>
        </w:r>
        <w:r>
          <w:rPr>
            <w:noProof/>
            <w:webHidden/>
          </w:rPr>
          <w:fldChar w:fldCharType="end"/>
        </w:r>
      </w:hyperlink>
    </w:p>
    <w:p w:rsidR="00D62FA2" w:rsidRDefault="00464059">
      <w:pPr>
        <w:pStyle w:val="TableofFigures"/>
        <w:tabs>
          <w:tab w:val="right" w:leader="dot" w:pos="8296"/>
        </w:tabs>
        <w:rPr>
          <w:rFonts w:asciiTheme="minorHAnsi" w:eastAsiaTheme="minorEastAsia" w:hAnsiTheme="minorHAnsi" w:cstheme="minorBidi"/>
          <w:noProof/>
          <w:sz w:val="22"/>
          <w:szCs w:val="22"/>
          <w:lang w:eastAsia="en-AU"/>
        </w:rPr>
      </w:pPr>
      <w:hyperlink w:anchor="_Toc433624058" w:history="1">
        <w:r w:rsidR="00D62FA2" w:rsidRPr="005E7822">
          <w:rPr>
            <w:rStyle w:val="Hyperlink"/>
            <w:noProof/>
          </w:rPr>
          <w:t>Table 4 Statistical summary of the CR data-set excluding 0, 1 and 2 year old mussels.</w:t>
        </w:r>
        <w:r w:rsidR="00D62FA2">
          <w:rPr>
            <w:noProof/>
            <w:webHidden/>
          </w:rPr>
          <w:tab/>
        </w:r>
        <w:r>
          <w:rPr>
            <w:noProof/>
            <w:webHidden/>
          </w:rPr>
          <w:fldChar w:fldCharType="begin"/>
        </w:r>
        <w:r w:rsidR="00D62FA2">
          <w:rPr>
            <w:noProof/>
            <w:webHidden/>
          </w:rPr>
          <w:instrText xml:space="preserve"> PAGEREF _Toc433624058 \h </w:instrText>
        </w:r>
        <w:r>
          <w:rPr>
            <w:noProof/>
            <w:webHidden/>
          </w:rPr>
        </w:r>
        <w:r>
          <w:rPr>
            <w:noProof/>
            <w:webHidden/>
          </w:rPr>
          <w:fldChar w:fldCharType="separate"/>
        </w:r>
        <w:r w:rsidR="00137328">
          <w:rPr>
            <w:noProof/>
            <w:webHidden/>
          </w:rPr>
          <w:t>22</w:t>
        </w:r>
        <w:r>
          <w:rPr>
            <w:noProof/>
            <w:webHidden/>
          </w:rPr>
          <w:fldChar w:fldCharType="end"/>
        </w:r>
      </w:hyperlink>
    </w:p>
    <w:p w:rsidR="00D62FA2" w:rsidRDefault="00464059">
      <w:pPr>
        <w:pStyle w:val="TableofFigures"/>
        <w:tabs>
          <w:tab w:val="right" w:leader="dot" w:pos="8296"/>
        </w:tabs>
        <w:rPr>
          <w:rFonts w:asciiTheme="minorHAnsi" w:eastAsiaTheme="minorEastAsia" w:hAnsiTheme="minorHAnsi" w:cstheme="minorBidi"/>
          <w:noProof/>
          <w:sz w:val="22"/>
          <w:szCs w:val="22"/>
          <w:lang w:eastAsia="en-AU"/>
        </w:rPr>
      </w:pPr>
      <w:hyperlink w:anchor="_Toc433624059" w:history="1">
        <w:r w:rsidR="00D62FA2" w:rsidRPr="005E7822">
          <w:rPr>
            <w:rStyle w:val="Hyperlink"/>
            <w:noProof/>
          </w:rPr>
          <w:t xml:space="preserve">Table 5  Input parameter values used in the tier 3 assessment module of the ERICA Tool 1.2 to calculate the absorbed dose rate to mussels per unit activity concentration of </w:t>
        </w:r>
        <w:r w:rsidR="00D62FA2" w:rsidRPr="005E7822">
          <w:rPr>
            <w:rStyle w:val="Hyperlink"/>
            <w:noProof/>
            <w:u w:color="000000"/>
          </w:rPr>
          <w:t>226</w:t>
        </w:r>
        <w:r w:rsidR="00D62FA2" w:rsidRPr="005E7822">
          <w:rPr>
            <w:rStyle w:val="Hyperlink"/>
            <w:noProof/>
          </w:rPr>
          <w:t>Ra in water.</w:t>
        </w:r>
        <w:r w:rsidR="00D62FA2">
          <w:rPr>
            <w:noProof/>
            <w:webHidden/>
          </w:rPr>
          <w:tab/>
        </w:r>
        <w:r>
          <w:rPr>
            <w:noProof/>
            <w:webHidden/>
          </w:rPr>
          <w:fldChar w:fldCharType="begin"/>
        </w:r>
        <w:r w:rsidR="00D62FA2">
          <w:rPr>
            <w:noProof/>
            <w:webHidden/>
          </w:rPr>
          <w:instrText xml:space="preserve"> PAGEREF _Toc433624059 \h </w:instrText>
        </w:r>
        <w:r>
          <w:rPr>
            <w:noProof/>
            <w:webHidden/>
          </w:rPr>
        </w:r>
        <w:r>
          <w:rPr>
            <w:noProof/>
            <w:webHidden/>
          </w:rPr>
          <w:fldChar w:fldCharType="separate"/>
        </w:r>
        <w:r w:rsidR="00137328">
          <w:rPr>
            <w:noProof/>
            <w:webHidden/>
          </w:rPr>
          <w:t>23</w:t>
        </w:r>
        <w:r>
          <w:rPr>
            <w:noProof/>
            <w:webHidden/>
          </w:rPr>
          <w:fldChar w:fldCharType="end"/>
        </w:r>
      </w:hyperlink>
    </w:p>
    <w:p w:rsidR="00856EAE" w:rsidRDefault="00464059" w:rsidP="00856EAE">
      <w:pPr>
        <w:spacing w:after="0" w:line="240" w:lineRule="auto"/>
        <w:jc w:val="left"/>
        <w:rPr>
          <w:rFonts w:ascii="Arial" w:hAnsi="Arial"/>
          <w:b/>
        </w:rPr>
      </w:pPr>
      <w:r>
        <w:fldChar w:fldCharType="end"/>
      </w:r>
      <w:r w:rsidR="00856EAE">
        <w:br w:type="page"/>
      </w:r>
    </w:p>
    <w:p w:rsidR="00856EAE" w:rsidRDefault="00856EAE" w:rsidP="00984DC7">
      <w:pPr>
        <w:pStyle w:val="Heading1"/>
      </w:pPr>
      <w:bookmarkStart w:id="25" w:name="_Toc443054569"/>
      <w:r>
        <w:t>Executive summary</w:t>
      </w:r>
      <w:bookmarkEnd w:id="25"/>
    </w:p>
    <w:p w:rsidR="00856EAE" w:rsidRDefault="00856EAE" w:rsidP="00856EAE">
      <w:r>
        <w:t>The current trigger value for the above background water radium-226 (</w:t>
      </w:r>
      <w:r w:rsidRPr="00700DE8">
        <w:rPr>
          <w:snapToGrid w:val="0"/>
          <w:color w:val="000000"/>
          <w:position w:val="6"/>
          <w:sz w:val="16"/>
          <w:szCs w:val="0"/>
          <w:u w:color="000000"/>
        </w:rPr>
        <w:t>226</w:t>
      </w:r>
      <w:r>
        <w:t xml:space="preserve">Ra) activity concentration </w:t>
      </w:r>
      <w:r w:rsidR="00F139A6">
        <w:t xml:space="preserve">at the Magela Creek compliance site </w:t>
      </w:r>
      <w:r>
        <w:t>is 10 mBq·L</w:t>
      </w:r>
      <w:r w:rsidRPr="008275BE">
        <w:rPr>
          <w:snapToGrid w:val="0"/>
          <w:color w:val="000000"/>
          <w:position w:val="6"/>
          <w:sz w:val="16"/>
          <w:szCs w:val="0"/>
          <w:u w:color="000000"/>
        </w:rPr>
        <w:t>-1</w:t>
      </w:r>
      <w:r>
        <w:t xml:space="preserve"> (in the </w:t>
      </w:r>
      <w:r w:rsidR="005619DC">
        <w:t>total</w:t>
      </w:r>
      <w:r>
        <w:t xml:space="preserve"> fraction). This has been derived from human radiation protection considerations, based on the potential for bioaccumulation </w:t>
      </w:r>
      <w:proofErr w:type="gramStart"/>
      <w:r>
        <w:t xml:space="preserve">of  </w:t>
      </w:r>
      <w:r w:rsidRPr="00700DE8">
        <w:rPr>
          <w:snapToGrid w:val="0"/>
          <w:color w:val="000000"/>
          <w:position w:val="6"/>
          <w:sz w:val="16"/>
          <w:szCs w:val="0"/>
          <w:u w:color="000000"/>
        </w:rPr>
        <w:t>226</w:t>
      </w:r>
      <w:r>
        <w:t>Ra</w:t>
      </w:r>
      <w:proofErr w:type="gramEnd"/>
      <w:r>
        <w:t xml:space="preserve"> in mussels downstream of the </w:t>
      </w:r>
      <w:r>
        <w:rPr>
          <w:lang w:val="en-US"/>
        </w:rPr>
        <w:t>Ranger mine</w:t>
      </w:r>
      <w:r>
        <w:t xml:space="preserve"> and subsequent ingestion by humans. The potential for radiological impact on the environment has not been considered in previous derivations of trigger values for </w:t>
      </w:r>
      <w:r w:rsidRPr="00700DE8">
        <w:rPr>
          <w:snapToGrid w:val="0"/>
          <w:color w:val="000000"/>
          <w:position w:val="6"/>
          <w:sz w:val="16"/>
          <w:szCs w:val="0"/>
          <w:u w:color="000000"/>
        </w:rPr>
        <w:t>226</w:t>
      </w:r>
      <w:r>
        <w:t xml:space="preserve">Ra. The aim of this report is to provide a review of the trigger value for </w:t>
      </w:r>
      <w:r w:rsidRPr="00700DE8">
        <w:rPr>
          <w:snapToGrid w:val="0"/>
          <w:color w:val="000000"/>
          <w:position w:val="6"/>
          <w:sz w:val="16"/>
          <w:szCs w:val="0"/>
          <w:u w:color="000000"/>
        </w:rPr>
        <w:t>226</w:t>
      </w:r>
      <w:r>
        <w:t>Ra, including assessment of the potential impacts on human health and also taking into consideration the potential radiological impacts on the environment.</w:t>
      </w:r>
    </w:p>
    <w:p w:rsidR="00856EAE" w:rsidRDefault="00856EAE" w:rsidP="00856EAE">
      <w:r>
        <w:t xml:space="preserve">The </w:t>
      </w:r>
      <w:r>
        <w:rPr>
          <w:lang w:val="en-US"/>
        </w:rPr>
        <w:t xml:space="preserve">current </w:t>
      </w:r>
      <w:r w:rsidRPr="00E733AA">
        <w:rPr>
          <w:snapToGrid w:val="0"/>
          <w:color w:val="000000"/>
          <w:position w:val="6"/>
          <w:sz w:val="16"/>
          <w:szCs w:val="0"/>
          <w:u w:color="000000"/>
        </w:rPr>
        <w:t>226</w:t>
      </w:r>
      <w:r>
        <w:t xml:space="preserve">Ra trigger value for Magela Creek is based on data collected and assessed in the 1980s and, as the major source of mine related </w:t>
      </w:r>
      <w:r>
        <w:rPr>
          <w:lang w:val="en-US"/>
        </w:rPr>
        <w:t xml:space="preserve">doses to people from the ingestion of traditional food items, with new data available it was considered timely to conduct this review into the appropriateness of the current value. Data from more than ten years (2001-2013) of bioaccumulation monitoring in Mudginberri Billabong mussels are statistically evaluated and concentration ratios for </w:t>
      </w:r>
      <w:proofErr w:type="spellStart"/>
      <w:r>
        <w:rPr>
          <w:lang w:val="en-US"/>
        </w:rPr>
        <w:t>Mudginberri</w:t>
      </w:r>
      <w:proofErr w:type="spellEnd"/>
      <w:r>
        <w:rPr>
          <w:lang w:val="en-US"/>
        </w:rPr>
        <w:t xml:space="preserve"> Billabong mussels are calculated and used in subsequent assessments of radiation doses to human and the environment.</w:t>
      </w:r>
    </w:p>
    <w:p w:rsidR="00856EAE" w:rsidRDefault="00856EAE" w:rsidP="00856EAE">
      <w:r>
        <w:t>Our assessment is based on the above background</w:t>
      </w:r>
      <w:r w:rsidRPr="009B77C6">
        <w:t xml:space="preserve"> </w:t>
      </w:r>
      <w:r>
        <w:t xml:space="preserve">total water </w:t>
      </w:r>
      <w:r w:rsidRPr="009B77C6">
        <w:rPr>
          <w:snapToGrid w:val="0"/>
          <w:color w:val="000000"/>
          <w:position w:val="6"/>
          <w:sz w:val="16"/>
          <w:szCs w:val="0"/>
          <w:u w:color="000000"/>
        </w:rPr>
        <w:t>226</w:t>
      </w:r>
      <w:r>
        <w:t xml:space="preserve">Ra activity concentration in Magela Creek. It assumes that a 10 year old child consumes 2 kg (wet weight) of large mussels per year. The resulting ingestion dose to humans, as well as internal and external doses to mussels from </w:t>
      </w:r>
      <w:r w:rsidRPr="007167C0">
        <w:rPr>
          <w:snapToGrid w:val="0"/>
          <w:color w:val="000000"/>
          <w:position w:val="6"/>
          <w:sz w:val="16"/>
          <w:szCs w:val="0"/>
          <w:u w:color="000000"/>
        </w:rPr>
        <w:t>226</w:t>
      </w:r>
      <w:r>
        <w:t xml:space="preserve">Ra are assessed. It is shown that human radiological protection is more limiting on total water </w:t>
      </w:r>
      <w:r w:rsidRPr="009B77C6">
        <w:rPr>
          <w:snapToGrid w:val="0"/>
          <w:color w:val="000000"/>
          <w:position w:val="6"/>
          <w:sz w:val="16"/>
          <w:szCs w:val="0"/>
          <w:u w:color="000000"/>
        </w:rPr>
        <w:t>226</w:t>
      </w:r>
      <w:r>
        <w:t>Ra activity concentration in Magela Creek than environmental</w:t>
      </w:r>
      <w:r w:rsidRPr="00B1519D">
        <w:t xml:space="preserve"> </w:t>
      </w:r>
      <w:r>
        <w:t xml:space="preserve">radiation protection considerations. </w:t>
      </w:r>
    </w:p>
    <w:p w:rsidR="00856EAE" w:rsidRDefault="00856EAE" w:rsidP="00856EAE">
      <w:r>
        <w:t xml:space="preserve">A mine origin increase in total water </w:t>
      </w:r>
      <w:r w:rsidRPr="007167C0">
        <w:rPr>
          <w:snapToGrid w:val="0"/>
          <w:color w:val="000000"/>
          <w:position w:val="6"/>
          <w:sz w:val="16"/>
          <w:szCs w:val="0"/>
          <w:u w:color="000000"/>
        </w:rPr>
        <w:t>226</w:t>
      </w:r>
      <w:r>
        <w:t>Ra activity concentration of less than 3</w:t>
      </w:r>
      <w:r w:rsidRPr="009B77C6">
        <w:t xml:space="preserve"> </w:t>
      </w:r>
      <w:r>
        <w:t>mBq·L</w:t>
      </w:r>
      <w:r w:rsidRPr="008275BE">
        <w:rPr>
          <w:snapToGrid w:val="0"/>
          <w:color w:val="000000"/>
          <w:position w:val="6"/>
          <w:sz w:val="16"/>
          <w:szCs w:val="0"/>
          <w:u w:color="000000"/>
        </w:rPr>
        <w:t>-1</w:t>
      </w:r>
      <w:r>
        <w:t xml:space="preserve"> will lead to a mine origin ingestion dose to humans of less than 0.2 </w:t>
      </w:r>
      <w:proofErr w:type="spellStart"/>
      <w:r>
        <w:t>mSv</w:t>
      </w:r>
      <w:proofErr w:type="spellEnd"/>
      <w:r>
        <w:t xml:space="preserve"> per year. The same increase in total water </w:t>
      </w:r>
      <w:r w:rsidRPr="007167C0">
        <w:rPr>
          <w:snapToGrid w:val="0"/>
          <w:color w:val="000000"/>
          <w:position w:val="6"/>
          <w:sz w:val="16"/>
          <w:szCs w:val="0"/>
          <w:u w:color="000000"/>
        </w:rPr>
        <w:t>226</w:t>
      </w:r>
      <w:r>
        <w:t>Ra activity concentration of 3</w:t>
      </w:r>
      <w:r w:rsidRPr="009B77C6">
        <w:t xml:space="preserve"> </w:t>
      </w:r>
      <w:r>
        <w:t>mBq·L</w:t>
      </w:r>
      <w:r w:rsidRPr="008275BE">
        <w:rPr>
          <w:snapToGrid w:val="0"/>
          <w:color w:val="000000"/>
          <w:position w:val="6"/>
          <w:sz w:val="16"/>
          <w:szCs w:val="0"/>
          <w:u w:color="000000"/>
        </w:rPr>
        <w:t>-1</w:t>
      </w:r>
      <w:r>
        <w:t xml:space="preserve">, will lead to a maximum additional dose rate to a small number of mussels (1%) of 50 </w:t>
      </w:r>
      <w:r w:rsidRPr="002C2263">
        <w:t>µGy</w:t>
      </w:r>
      <w:r>
        <w:t>·</w:t>
      </w:r>
      <w:r w:rsidRPr="002C2263">
        <w:t>h</w:t>
      </w:r>
      <w:r w:rsidRPr="00B44179">
        <w:rPr>
          <w:snapToGrid w:val="0"/>
          <w:color w:val="000000"/>
          <w:position w:val="6"/>
          <w:sz w:val="16"/>
          <w:szCs w:val="0"/>
          <w:u w:color="000000"/>
        </w:rPr>
        <w:t>-1</w:t>
      </w:r>
      <w:r>
        <w:t xml:space="preserve">. This is much lower than the 400 </w:t>
      </w:r>
      <w:r w:rsidRPr="002C2263">
        <w:t>µGy</w:t>
      </w:r>
      <w:r>
        <w:t>·</w:t>
      </w:r>
      <w:r w:rsidRPr="002C2263">
        <w:t>h</w:t>
      </w:r>
      <w:r w:rsidRPr="00B44179">
        <w:rPr>
          <w:snapToGrid w:val="0"/>
          <w:color w:val="000000"/>
          <w:position w:val="6"/>
          <w:sz w:val="16"/>
          <w:szCs w:val="0"/>
          <w:u w:color="000000"/>
        </w:rPr>
        <w:t>-1</w:t>
      </w:r>
      <w:r>
        <w:t xml:space="preserve"> benchmark dose rate, which, according to </w:t>
      </w:r>
      <w:r w:rsidR="00EB29CA">
        <w:t xml:space="preserve">the </w:t>
      </w:r>
      <w:r w:rsidR="00EB29CA" w:rsidRPr="002F4FB3">
        <w:t xml:space="preserve">United Nations Scientific Committee on the Effects of Atomic Radiation </w:t>
      </w:r>
      <w:r w:rsidR="00EB29CA">
        <w:t>(</w:t>
      </w:r>
      <w:r>
        <w:t>UNSCEAR</w:t>
      </w:r>
      <w:r w:rsidR="00EB29CA">
        <w:t>)</w:t>
      </w:r>
      <w:r>
        <w:t xml:space="preserve">, </w:t>
      </w:r>
      <w:r w:rsidRPr="00852807">
        <w:t>would not have any detrimental effect at the population level</w:t>
      </w:r>
      <w:r>
        <w:t xml:space="preserve"> in an aquatic environment.</w:t>
      </w:r>
    </w:p>
    <w:p w:rsidR="00856EAE" w:rsidRDefault="00856EAE" w:rsidP="00856EAE">
      <w:r>
        <w:t xml:space="preserve">Thus, the </w:t>
      </w:r>
      <w:r w:rsidRPr="00B1519D">
        <w:t>operational limit for the</w:t>
      </w:r>
      <w:r>
        <w:t xml:space="preserve"> above background</w:t>
      </w:r>
      <w:r w:rsidRPr="00B1519D">
        <w:t xml:space="preserve"> water</w:t>
      </w:r>
      <w:r>
        <w:t xml:space="preserve"> total</w:t>
      </w:r>
      <w:r w:rsidRPr="00B1519D">
        <w:t xml:space="preserve"> </w:t>
      </w:r>
      <w:r w:rsidRPr="00B1519D">
        <w:rPr>
          <w:snapToGrid w:val="0"/>
          <w:color w:val="000000"/>
          <w:position w:val="6"/>
          <w:sz w:val="16"/>
          <w:szCs w:val="0"/>
          <w:u w:color="000000"/>
        </w:rPr>
        <w:t>226</w:t>
      </w:r>
      <w:r w:rsidRPr="00B1519D">
        <w:t>Ra activity concentration downstream of Ranger mine</w:t>
      </w:r>
      <w:r>
        <w:t xml:space="preserve"> should be revised and set at 3</w:t>
      </w:r>
      <w:r w:rsidRPr="009B77C6">
        <w:t xml:space="preserve"> </w:t>
      </w:r>
      <w:r>
        <w:t>mBq·L</w:t>
      </w:r>
      <w:r w:rsidRPr="008275BE">
        <w:rPr>
          <w:snapToGrid w:val="0"/>
          <w:color w:val="000000"/>
          <w:position w:val="6"/>
          <w:sz w:val="16"/>
          <w:szCs w:val="0"/>
          <w:u w:color="000000"/>
        </w:rPr>
        <w:t>-1</w:t>
      </w:r>
      <w:r>
        <w:t>.</w:t>
      </w:r>
    </w:p>
    <w:p w:rsidR="00856EAE" w:rsidRDefault="00856EAE" w:rsidP="00856EAE"/>
    <w:p w:rsidR="00856EAE" w:rsidRDefault="00856EAE" w:rsidP="00856EAE"/>
    <w:p w:rsidR="00856EAE" w:rsidRDefault="00856EAE" w:rsidP="00856EAE">
      <w:pPr>
        <w:pStyle w:val="Heading1"/>
        <w:sectPr w:rsidR="00856EAE">
          <w:footerReference w:type="default" r:id="rId17"/>
          <w:pgSz w:w="11906" w:h="16838" w:code="9"/>
          <w:pgMar w:top="1440" w:right="1800" w:bottom="1440" w:left="1800" w:header="1080" w:footer="835" w:gutter="0"/>
          <w:pgNumType w:fmt="lowerRoman"/>
          <w:cols w:space="360"/>
          <w:noEndnote/>
        </w:sectPr>
      </w:pPr>
    </w:p>
    <w:p w:rsidR="00856EAE" w:rsidRDefault="00856EAE" w:rsidP="00856EAE">
      <w:pPr>
        <w:pStyle w:val="Heading1"/>
      </w:pPr>
      <w:bookmarkStart w:id="26" w:name="_Toc443054570"/>
      <w:bookmarkEnd w:id="21"/>
      <w:bookmarkEnd w:id="22"/>
      <w:bookmarkEnd w:id="23"/>
      <w:bookmarkEnd w:id="24"/>
      <w:r>
        <w:t>1  Introduction</w:t>
      </w:r>
      <w:bookmarkEnd w:id="26"/>
    </w:p>
    <w:p w:rsidR="00856EAE" w:rsidRDefault="00856EAE" w:rsidP="00856EAE">
      <w:r>
        <w:t xml:space="preserve">The Ranger uranium mine (RUM) is located in the Alligator Rivers Region (ARR) in the wet-dry tropics of Australia’s Northern Territory (Figure 1). It is surrounded by, though </w:t>
      </w:r>
      <w:r w:rsidRPr="008C7E6C">
        <w:t>technically</w:t>
      </w:r>
      <w:r>
        <w:t xml:space="preserve"> separate from, the World Heritage listed Kakadu National Park (KNP). </w:t>
      </w:r>
    </w:p>
    <w:p w:rsidR="00856EAE" w:rsidRDefault="00856EAE" w:rsidP="00856EAE">
      <w:r>
        <w:rPr>
          <w:lang w:val="en-US"/>
        </w:rPr>
        <w:t xml:space="preserve">The mine </w:t>
      </w:r>
      <w:r>
        <w:t xml:space="preserve">is located </w:t>
      </w:r>
      <w:r w:rsidRPr="008C7E6C">
        <w:t>along</w:t>
      </w:r>
      <w:r>
        <w:t xml:space="preserve"> Magela Creek, which is part of the </w:t>
      </w:r>
      <w:smartTag w:uri="urn:schemas-microsoft-com:office:smarttags" w:element="place">
        <w:smartTag w:uri="urn:schemas-microsoft-com:office:smarttags" w:element="PlaceName">
          <w:r>
            <w:t>East</w:t>
          </w:r>
        </w:smartTag>
        <w:r>
          <w:t xml:space="preserve"> </w:t>
        </w:r>
        <w:smartTag w:uri="urn:schemas-microsoft-com:office:smarttags" w:element="PlaceName">
          <w:r>
            <w:t>Alligator</w:t>
          </w:r>
        </w:smartTag>
        <w:r>
          <w:t xml:space="preserve"> </w:t>
        </w:r>
        <w:smartTag w:uri="urn:schemas-microsoft-com:office:smarttags" w:element="PlaceType">
          <w:r>
            <w:t>River</w:t>
          </w:r>
        </w:smartTag>
      </w:smartTag>
      <w:r>
        <w:t xml:space="preserve"> </w:t>
      </w:r>
      <w:r w:rsidRPr="008C7E6C">
        <w:t>system</w:t>
      </w:r>
      <w:r>
        <w:t>. The headwaters of Magela Creek are located on the Arnhem Land Plateau. It flows through Bowerbird Billabong, a channel rock pool billabong near the headwaters of Magela Creek (Walker and Tyler, 1982) upstream of the mine. The creek continues its path through the lowlands within the Ranger mineral lease and then on to Mudginberri Billabong, a permanent channel billabong 12 km downstream from RUM and within KNP (Bollhöfer 2012) (Figure 1). Finally, the creek flows through the Magela Corridor and drains into the South Alligator floodplain which flows into Van Diemen Gulf.</w:t>
      </w:r>
    </w:p>
    <w:p w:rsidR="00856EAE" w:rsidRDefault="00856EAE" w:rsidP="00856EAE"/>
    <w:p w:rsidR="00856EAE" w:rsidRPr="00A005A0" w:rsidRDefault="00856EAE" w:rsidP="00856EAE">
      <w:pPr>
        <w:jc w:val="center"/>
      </w:pPr>
      <w:r>
        <w:rPr>
          <w:noProof/>
          <w:lang w:eastAsia="en-AU"/>
        </w:rPr>
        <w:drawing>
          <wp:inline distT="0" distB="0" distL="0" distR="0">
            <wp:extent cx="5271770" cy="4309745"/>
            <wp:effectExtent l="19050" t="0" r="508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271770" cy="4309745"/>
                    </a:xfrm>
                    <a:prstGeom prst="rect">
                      <a:avLst/>
                    </a:prstGeom>
                    <a:noFill/>
                    <a:ln w="9525">
                      <a:noFill/>
                      <a:miter lim="800000"/>
                      <a:headEnd/>
                      <a:tailEnd/>
                    </a:ln>
                  </pic:spPr>
                </pic:pic>
              </a:graphicData>
            </a:graphic>
          </wp:inline>
        </w:drawing>
      </w:r>
    </w:p>
    <w:p w:rsidR="00856EAE" w:rsidRDefault="00856EAE" w:rsidP="00856EAE">
      <w:pPr>
        <w:pStyle w:val="figurecaption"/>
      </w:pPr>
      <w:bookmarkStart w:id="27" w:name="_Toc433624061"/>
      <w:r w:rsidRPr="000E55B0">
        <w:rPr>
          <w:b/>
        </w:rPr>
        <w:t>Figure 1</w:t>
      </w:r>
      <w:r>
        <w:t xml:space="preserve"> Location of Ranger mine and </w:t>
      </w:r>
      <w:r w:rsidR="00F139A6">
        <w:t xml:space="preserve">Supervising Scientist Branch </w:t>
      </w:r>
      <w:r>
        <w:t xml:space="preserve">sampling sites along the Magela Creek channel. </w:t>
      </w:r>
      <w:r w:rsidRPr="00A005A0">
        <w:t xml:space="preserve">BBB, Bowerbird Billabong; MCUS, Magela Creek upstream; GTC, Georgetown </w:t>
      </w:r>
      <w:r>
        <w:t>Creek</w:t>
      </w:r>
      <w:r w:rsidRPr="00A005A0">
        <w:t xml:space="preserve">; </w:t>
      </w:r>
      <w:r>
        <w:t>MCDS</w:t>
      </w:r>
      <w:r w:rsidRPr="00A005A0">
        <w:t xml:space="preserve">, Magela Creek downstream; MBB, </w:t>
      </w:r>
      <w:proofErr w:type="spellStart"/>
      <w:r w:rsidRPr="00A005A0">
        <w:t>Mudginberri</w:t>
      </w:r>
      <w:proofErr w:type="spellEnd"/>
      <w:r w:rsidRPr="00A005A0">
        <w:t xml:space="preserve"> Billabong. </w:t>
      </w:r>
      <w:r>
        <w:t>GTB and CJB are Georgetown and Coonjimba Billabongs (from Supervising Scientist, 2008).</w:t>
      </w:r>
      <w:bookmarkEnd w:id="27"/>
      <w:r>
        <w:t xml:space="preserve"> </w:t>
      </w:r>
    </w:p>
    <w:p w:rsidR="00856EAE" w:rsidRDefault="00856EAE" w:rsidP="00856EAE">
      <w:r>
        <w:t xml:space="preserve">The climate of the ARR is characterised by distinct wet (November to April) and dry (May to October) seasons. The average annual rainfall over the past 100 years has been 1422 mm at Jabiru East (BoM 2015). More than 95% of rainfall occurs in the wet season and approximately two thirds occurs between January and March with individual rainfall events as high as 784 mm over 72 hours (Suradi et al 2014).  It is these distinct seasons and high rainfall intensities during the first three months of the year that lead to the requirement of intense water quality monitoring downstream of RUM. </w:t>
      </w:r>
    </w:p>
    <w:p w:rsidR="00856EAE" w:rsidRDefault="00856EAE" w:rsidP="00E82924">
      <w:r>
        <w:t xml:space="preserve">Monitoring is focussed on Magela and </w:t>
      </w:r>
      <w:proofErr w:type="spellStart"/>
      <w:r>
        <w:t>Gulungul</w:t>
      </w:r>
      <w:proofErr w:type="spellEnd"/>
      <w:r>
        <w:t xml:space="preserve"> Creeks as both creeks receive inputs from areas within the RUM mineral lease, including:</w:t>
      </w:r>
    </w:p>
    <w:p w:rsidR="00856EAE" w:rsidRDefault="00856EAE" w:rsidP="00856EAE">
      <w:pPr>
        <w:pStyle w:val="bulletlist1"/>
      </w:pPr>
      <w:r>
        <w:t>Runoff from the walls of the tailings storage facility (TSF)</w:t>
      </w:r>
    </w:p>
    <w:p w:rsidR="00856EAE" w:rsidRDefault="00856EAE" w:rsidP="00856EAE">
      <w:pPr>
        <w:pStyle w:val="bulletlist1"/>
      </w:pPr>
      <w:r>
        <w:t>Runoff from land application areas (LAAs)</w:t>
      </w:r>
    </w:p>
    <w:p w:rsidR="00856EAE" w:rsidRDefault="00856EAE" w:rsidP="00856EAE">
      <w:pPr>
        <w:pStyle w:val="bulletlist1"/>
      </w:pPr>
      <w:r>
        <w:t xml:space="preserve">Waste waters from retention ponds (in particular </w:t>
      </w:r>
      <w:r w:rsidR="00E82924">
        <w:t xml:space="preserve">Retention Pond </w:t>
      </w:r>
      <w:r>
        <w:t>1)</w:t>
      </w:r>
    </w:p>
    <w:p w:rsidR="00856EAE" w:rsidRDefault="00856EAE" w:rsidP="00856EAE">
      <w:pPr>
        <w:pStyle w:val="bulletlist1"/>
      </w:pPr>
      <w:r>
        <w:t>Through the groundwater pathway (in particular Mn, see Iles 2004).</w:t>
      </w:r>
    </w:p>
    <w:p w:rsidR="00E143F6" w:rsidRDefault="00E143F6" w:rsidP="00856EAE">
      <w:r w:rsidRPr="00E143F6">
        <w:t>Water quality objectives have been set for key variables (</w:t>
      </w:r>
      <w:proofErr w:type="spellStart"/>
      <w:r w:rsidRPr="00E143F6">
        <w:t>Klessa</w:t>
      </w:r>
      <w:proofErr w:type="spellEnd"/>
      <w:r w:rsidRPr="00E143F6">
        <w:t xml:space="preserve"> 2001a &amp; b) and were reviewed by Iles (2004). Whereas the water quality objectives for pH and turbidity have been derived from the reference site distribution of these parameters upstream of the mine site, for uranium, magnesium and manganese the recommended trigger values are based on </w:t>
      </w:r>
      <w:proofErr w:type="spellStart"/>
      <w:r w:rsidRPr="00E143F6">
        <w:t>ecotoxicity</w:t>
      </w:r>
      <w:proofErr w:type="spellEnd"/>
      <w:r w:rsidRPr="00E143F6">
        <w:t xml:space="preserve"> testing (Iles 2004; Hogan et al 2003; Sinclair </w:t>
      </w:r>
      <w:r>
        <w:t>&amp;</w:t>
      </w:r>
      <w:r w:rsidRPr="00E143F6">
        <w:t xml:space="preserve"> Tayler 2012, Harford et al 2014). </w:t>
      </w:r>
    </w:p>
    <w:p w:rsidR="00856EAE" w:rsidRDefault="00856EAE" w:rsidP="00856EAE">
      <w:r>
        <w:t>For radium-226 (</w:t>
      </w:r>
      <w:r w:rsidRPr="00700DE8">
        <w:rPr>
          <w:snapToGrid w:val="0"/>
          <w:color w:val="000000"/>
          <w:position w:val="6"/>
          <w:sz w:val="16"/>
          <w:szCs w:val="0"/>
          <w:u w:color="000000"/>
        </w:rPr>
        <w:t>226</w:t>
      </w:r>
      <w:r>
        <w:t xml:space="preserve">Ra), the trigger value is based on human radiation protection considerations (Klessa 2001b), based on the potential for bioaccumulation </w:t>
      </w:r>
      <w:proofErr w:type="gramStart"/>
      <w:r>
        <w:t xml:space="preserve">of  </w:t>
      </w:r>
      <w:r w:rsidRPr="00700DE8">
        <w:rPr>
          <w:snapToGrid w:val="0"/>
          <w:color w:val="000000"/>
          <w:position w:val="6"/>
          <w:sz w:val="16"/>
          <w:szCs w:val="0"/>
          <w:u w:color="000000"/>
        </w:rPr>
        <w:t>226</w:t>
      </w:r>
      <w:r>
        <w:t>Ra</w:t>
      </w:r>
      <w:proofErr w:type="gramEnd"/>
      <w:r>
        <w:t xml:space="preserve"> in mussels of Mudginberri Billabong downstream of RUM and subsequent ingestion by humans. The potential for radiological impact on the environment has not been considered in previous derivations of trigger values for </w:t>
      </w:r>
      <w:r w:rsidRPr="00700DE8">
        <w:rPr>
          <w:snapToGrid w:val="0"/>
          <w:color w:val="000000"/>
          <w:position w:val="6"/>
          <w:sz w:val="16"/>
          <w:szCs w:val="0"/>
          <w:u w:color="000000"/>
        </w:rPr>
        <w:t>226</w:t>
      </w:r>
      <w:r>
        <w:t xml:space="preserve">Ra in Magela creek waters. The aim of this report is to provide a review of the trigger value for </w:t>
      </w:r>
      <w:r w:rsidRPr="00700DE8">
        <w:rPr>
          <w:snapToGrid w:val="0"/>
          <w:color w:val="000000"/>
          <w:position w:val="6"/>
          <w:sz w:val="16"/>
          <w:szCs w:val="0"/>
          <w:u w:color="000000"/>
        </w:rPr>
        <w:t>226</w:t>
      </w:r>
      <w:r>
        <w:t>Ra, including assessment of the potential impacts on human health and also taking into consideration the potential radiological impacts on the environment.</w:t>
      </w:r>
    </w:p>
    <w:p w:rsidR="00856EAE" w:rsidRDefault="000E55B0" w:rsidP="000E55B0">
      <w:pPr>
        <w:pStyle w:val="Heading2"/>
      </w:pPr>
      <w:bookmarkStart w:id="28" w:name="_Toc443054571"/>
      <w:proofErr w:type="gramStart"/>
      <w:r>
        <w:t xml:space="preserve">1.1  </w:t>
      </w:r>
      <w:r w:rsidR="00856EAE">
        <w:t>Radium</w:t>
      </w:r>
      <w:bookmarkEnd w:id="28"/>
      <w:proofErr w:type="gramEnd"/>
    </w:p>
    <w:p w:rsidR="00856EAE" w:rsidRDefault="00856EAE" w:rsidP="00856EAE">
      <w:r>
        <w:t>Radium belongs to the alkaline earth metals (Group IIA) in the Periodic Table. The four radium isotopes occurring naturally in the environment are radium-226 (</w:t>
      </w:r>
      <w:r w:rsidRPr="00BB7A7A">
        <w:rPr>
          <w:vertAlign w:val="superscript"/>
        </w:rPr>
        <w:t>226</w:t>
      </w:r>
      <w:r>
        <w:t>Ra; t</w:t>
      </w:r>
      <w:r w:rsidRPr="00DC78CD">
        <w:rPr>
          <w:snapToGrid w:val="0"/>
          <w:color w:val="000000"/>
          <w:position w:val="-6"/>
          <w:sz w:val="16"/>
          <w:szCs w:val="0"/>
          <w:u w:color="000000"/>
        </w:rPr>
        <w:t>1/2</w:t>
      </w:r>
      <w:r>
        <w:t>=1600 yr) of the uranium (</w:t>
      </w:r>
      <w:r w:rsidRPr="00C66EC0">
        <w:rPr>
          <w:snapToGrid w:val="0"/>
          <w:color w:val="000000"/>
          <w:position w:val="6"/>
          <w:sz w:val="16"/>
          <w:szCs w:val="0"/>
          <w:u w:color="000000"/>
        </w:rPr>
        <w:t>238</w:t>
      </w:r>
      <w:r>
        <w:t>U) series (Figure 2), radium-228 (</w:t>
      </w:r>
      <w:r w:rsidRPr="00BB7A7A">
        <w:rPr>
          <w:vertAlign w:val="superscript"/>
        </w:rPr>
        <w:t>228</w:t>
      </w:r>
      <w:r>
        <w:t>Ra; t</w:t>
      </w:r>
      <w:r w:rsidRPr="00DC78CD">
        <w:rPr>
          <w:snapToGrid w:val="0"/>
          <w:color w:val="000000"/>
          <w:position w:val="-6"/>
          <w:sz w:val="16"/>
          <w:szCs w:val="0"/>
          <w:u w:color="000000"/>
        </w:rPr>
        <w:t>1/2</w:t>
      </w:r>
      <w:r>
        <w:t>=5.75 yr) and radium 224 (</w:t>
      </w:r>
      <w:r w:rsidRPr="00BB7A7A">
        <w:rPr>
          <w:vertAlign w:val="superscript"/>
        </w:rPr>
        <w:t>224</w:t>
      </w:r>
      <w:r>
        <w:t>Ra; t</w:t>
      </w:r>
      <w:r w:rsidRPr="00DC78CD">
        <w:rPr>
          <w:snapToGrid w:val="0"/>
          <w:color w:val="000000"/>
          <w:position w:val="-6"/>
          <w:sz w:val="16"/>
          <w:szCs w:val="0"/>
          <w:u w:color="000000"/>
        </w:rPr>
        <w:t>1/2</w:t>
      </w:r>
      <w:r>
        <w:t>=3.66 d) of the thorium (</w:t>
      </w:r>
      <w:r w:rsidRPr="00C66EC0">
        <w:rPr>
          <w:snapToGrid w:val="0"/>
          <w:color w:val="000000"/>
          <w:position w:val="6"/>
          <w:sz w:val="16"/>
          <w:szCs w:val="0"/>
          <w:u w:color="000000"/>
        </w:rPr>
        <w:t>232</w:t>
      </w:r>
      <w:r>
        <w:t>Th) series and radium-223 (</w:t>
      </w:r>
      <w:r w:rsidRPr="002A1DD7">
        <w:rPr>
          <w:vertAlign w:val="superscript"/>
        </w:rPr>
        <w:t>223</w:t>
      </w:r>
      <w:r>
        <w:t>Ra; t</w:t>
      </w:r>
      <w:r w:rsidRPr="00DC78CD">
        <w:rPr>
          <w:snapToGrid w:val="0"/>
          <w:color w:val="000000"/>
          <w:position w:val="-6"/>
          <w:sz w:val="16"/>
          <w:szCs w:val="0"/>
          <w:u w:color="000000"/>
        </w:rPr>
        <w:t>1/2</w:t>
      </w:r>
      <w:r>
        <w:t>=11.8 d) of the actinium (</w:t>
      </w:r>
      <w:r w:rsidRPr="00C66EC0">
        <w:rPr>
          <w:snapToGrid w:val="0"/>
          <w:color w:val="000000"/>
          <w:position w:val="6"/>
          <w:sz w:val="16"/>
          <w:szCs w:val="0"/>
          <w:u w:color="000000"/>
        </w:rPr>
        <w:t>23</w:t>
      </w:r>
      <w:r>
        <w:rPr>
          <w:snapToGrid w:val="0"/>
          <w:color w:val="000000"/>
          <w:position w:val="6"/>
          <w:sz w:val="16"/>
          <w:szCs w:val="0"/>
          <w:u w:color="000000"/>
        </w:rPr>
        <w:t>5</w:t>
      </w:r>
      <w:r>
        <w:t xml:space="preserve">U) series. Radium and its radioactive properties were discovered in 1898 by Pierre and Marie Curie together with the discovery of another radioactive element, polonium (Curie et al 1898). Radium was hailed as the wonder drug for ‘medical conditions with no known cure’, and it took more than a decade to realise its potentially harmful properties (IAEA 1990). In the 1950s, it was Tsivoglou (1958) who first identified radium as a significant pollutant from uranium mining and milling activities because the longest lived natural radium isotope, </w:t>
      </w:r>
      <w:r w:rsidRPr="00BB7A7A">
        <w:rPr>
          <w:vertAlign w:val="superscript"/>
        </w:rPr>
        <w:t>226</w:t>
      </w:r>
      <w:r>
        <w:t xml:space="preserve">Ra, is a member of the uranium decay series (Figure 2) and uranium mining residues generally still contain considerable activities of </w:t>
      </w:r>
      <w:r w:rsidRPr="0091560A">
        <w:rPr>
          <w:snapToGrid w:val="0"/>
          <w:color w:val="000000"/>
          <w:position w:val="6"/>
          <w:sz w:val="16"/>
          <w:szCs w:val="0"/>
          <w:u w:color="000000"/>
        </w:rPr>
        <w:t>230</w:t>
      </w:r>
      <w:r>
        <w:t xml:space="preserve">Th and its radioactive decay products, including </w:t>
      </w:r>
      <w:r w:rsidRPr="00BB7A7A">
        <w:rPr>
          <w:vertAlign w:val="superscript"/>
        </w:rPr>
        <w:t>226</w:t>
      </w:r>
      <w:r>
        <w:t xml:space="preserve">Ra. A significant proportion of the radiation dose derived from </w:t>
      </w:r>
      <w:r w:rsidRPr="00BB7A7A">
        <w:rPr>
          <w:vertAlign w:val="superscript"/>
        </w:rPr>
        <w:t>226</w:t>
      </w:r>
      <w:r>
        <w:t>Ra is also related to its short-lived decay products.</w:t>
      </w:r>
    </w:p>
    <w:p w:rsidR="00856EAE" w:rsidRDefault="00856EAE" w:rsidP="00856EAE">
      <w:r>
        <w:t xml:space="preserve">Radium-226 and these shorter-lived decay products contribute to radiation dose to humans and the environment via three principal pathways. Firstly, the short lived </w:t>
      </w:r>
      <w:r w:rsidRPr="00BB7A7A">
        <w:rPr>
          <w:vertAlign w:val="superscript"/>
        </w:rPr>
        <w:t>226</w:t>
      </w:r>
      <w:r>
        <w:t>Ra decay products bismuth-214 (</w:t>
      </w:r>
      <w:r w:rsidRPr="0070624C">
        <w:rPr>
          <w:snapToGrid w:val="0"/>
          <w:color w:val="000000"/>
          <w:position w:val="6"/>
          <w:sz w:val="16"/>
          <w:szCs w:val="0"/>
          <w:u w:color="000000"/>
        </w:rPr>
        <w:t>214</w:t>
      </w:r>
      <w:r>
        <w:t>Bi) and lead-214 (</w:t>
      </w:r>
      <w:r w:rsidRPr="0070624C">
        <w:rPr>
          <w:snapToGrid w:val="0"/>
          <w:color w:val="000000"/>
          <w:position w:val="6"/>
          <w:sz w:val="16"/>
          <w:szCs w:val="0"/>
          <w:u w:color="000000"/>
        </w:rPr>
        <w:t>214</w:t>
      </w:r>
      <w:r>
        <w:t xml:space="preserve">Pb) emit γ-radiation, which can lead to external radiation exposure. Although </w:t>
      </w:r>
      <w:r w:rsidRPr="0070624C">
        <w:rPr>
          <w:snapToGrid w:val="0"/>
          <w:color w:val="000000"/>
          <w:position w:val="6"/>
          <w:sz w:val="16"/>
          <w:szCs w:val="0"/>
          <w:u w:color="000000"/>
        </w:rPr>
        <w:t>238</w:t>
      </w:r>
      <w:r>
        <w:t xml:space="preserve">U, </w:t>
      </w:r>
      <w:r w:rsidRPr="003805A9">
        <w:rPr>
          <w:snapToGrid w:val="0"/>
          <w:color w:val="000000"/>
          <w:position w:val="6"/>
          <w:sz w:val="16"/>
          <w:szCs w:val="0"/>
          <w:u w:color="000000"/>
        </w:rPr>
        <w:t>226</w:t>
      </w:r>
      <w:r>
        <w:t xml:space="preserve">Ra and their decay products emit characteristic gamma radiation, Monte Carlo modelling by Saito and Jacobs (1995) identified that more than 98% of the gamma dose field over an area containing </w:t>
      </w:r>
      <w:r w:rsidRPr="0070624C">
        <w:rPr>
          <w:snapToGrid w:val="0"/>
          <w:color w:val="000000"/>
          <w:position w:val="6"/>
          <w:sz w:val="16"/>
          <w:szCs w:val="0"/>
          <w:u w:color="000000"/>
        </w:rPr>
        <w:t>238</w:t>
      </w:r>
      <w:r>
        <w:t xml:space="preserve">U in equilibrium with its progeny is due to the γ-emissions from short-lived </w:t>
      </w:r>
      <w:r w:rsidRPr="0070624C">
        <w:rPr>
          <w:snapToGrid w:val="0"/>
          <w:color w:val="000000"/>
          <w:position w:val="6"/>
          <w:sz w:val="16"/>
          <w:szCs w:val="0"/>
          <w:u w:color="000000"/>
        </w:rPr>
        <w:t>214</w:t>
      </w:r>
      <w:r>
        <w:t xml:space="preserve">Bi and </w:t>
      </w:r>
      <w:r w:rsidRPr="007D3C24">
        <w:rPr>
          <w:snapToGrid w:val="0"/>
          <w:color w:val="000000"/>
          <w:position w:val="6"/>
          <w:sz w:val="16"/>
          <w:szCs w:val="0"/>
          <w:u w:color="000000"/>
        </w:rPr>
        <w:t>214</w:t>
      </w:r>
      <w:r>
        <w:t xml:space="preserve">Pb, whereas the contribution of </w:t>
      </w:r>
      <w:r w:rsidRPr="0070624C">
        <w:rPr>
          <w:snapToGrid w:val="0"/>
          <w:color w:val="000000"/>
          <w:position w:val="6"/>
          <w:sz w:val="16"/>
          <w:szCs w:val="0"/>
          <w:u w:color="000000"/>
        </w:rPr>
        <w:t>238</w:t>
      </w:r>
      <w:r>
        <w:t xml:space="preserve">U and </w:t>
      </w:r>
      <w:r w:rsidRPr="003805A9">
        <w:rPr>
          <w:snapToGrid w:val="0"/>
          <w:color w:val="000000"/>
          <w:position w:val="6"/>
          <w:sz w:val="16"/>
          <w:szCs w:val="0"/>
          <w:u w:color="000000"/>
        </w:rPr>
        <w:t>226</w:t>
      </w:r>
      <w:r>
        <w:t xml:space="preserve">Ra to the external γ-exposure is negligible. </w:t>
      </w:r>
    </w:p>
    <w:p w:rsidR="00856EAE" w:rsidRDefault="00856EAE" w:rsidP="00856EAE">
      <w:r>
        <w:t>Radium-226 is also the radioactive predecessor of the radioactive noble gas radon-222 (</w:t>
      </w:r>
      <w:r w:rsidRPr="00E00536">
        <w:rPr>
          <w:snapToGrid w:val="0"/>
          <w:color w:val="000000"/>
          <w:position w:val="6"/>
          <w:sz w:val="16"/>
          <w:szCs w:val="0"/>
          <w:u w:color="000000"/>
        </w:rPr>
        <w:t>222</w:t>
      </w:r>
      <w:r>
        <w:t>Rn; t</w:t>
      </w:r>
      <w:r w:rsidRPr="00E00536">
        <w:rPr>
          <w:snapToGrid w:val="0"/>
          <w:color w:val="000000"/>
          <w:position w:val="-6"/>
          <w:sz w:val="16"/>
          <w:szCs w:val="0"/>
          <w:u w:color="000000"/>
        </w:rPr>
        <w:t>1/2</w:t>
      </w:r>
      <w:r>
        <w:t xml:space="preserve">=3.8 days; Figure 2), which can emanate from soil grains upon disintegration of </w:t>
      </w:r>
      <w:r w:rsidRPr="00BB7A7A">
        <w:rPr>
          <w:vertAlign w:val="superscript"/>
        </w:rPr>
        <w:t>226</w:t>
      </w:r>
      <w:r>
        <w:t>Ra, diffuse through the soil profile, exhale at the soil-atmosphere interface and mix in the atmosphere. Radon-222 then further decays to polonium-218 (</w:t>
      </w:r>
      <w:r w:rsidRPr="00F23762">
        <w:rPr>
          <w:snapToGrid w:val="0"/>
          <w:color w:val="000000"/>
          <w:position w:val="6"/>
          <w:sz w:val="16"/>
          <w:szCs w:val="0"/>
          <w:u w:color="000000"/>
        </w:rPr>
        <w:t>218</w:t>
      </w:r>
      <w:r>
        <w:t xml:space="preserve">Po), </w:t>
      </w:r>
      <w:r w:rsidRPr="0070624C">
        <w:rPr>
          <w:snapToGrid w:val="0"/>
          <w:color w:val="000000"/>
          <w:position w:val="6"/>
          <w:sz w:val="16"/>
          <w:szCs w:val="0"/>
          <w:u w:color="000000"/>
        </w:rPr>
        <w:t>214</w:t>
      </w:r>
      <w:r>
        <w:t>Bi, polonium-214 (</w:t>
      </w:r>
      <w:r w:rsidRPr="0070624C">
        <w:rPr>
          <w:snapToGrid w:val="0"/>
          <w:color w:val="000000"/>
          <w:position w:val="6"/>
          <w:sz w:val="16"/>
          <w:szCs w:val="0"/>
          <w:u w:color="000000"/>
        </w:rPr>
        <w:t>214</w:t>
      </w:r>
      <w:r>
        <w:t xml:space="preserve">Po) and </w:t>
      </w:r>
      <w:r w:rsidRPr="0070624C">
        <w:rPr>
          <w:snapToGrid w:val="0"/>
          <w:color w:val="000000"/>
          <w:position w:val="6"/>
          <w:sz w:val="16"/>
          <w:szCs w:val="0"/>
          <w:u w:color="000000"/>
        </w:rPr>
        <w:t>214</w:t>
      </w:r>
      <w:r>
        <w:t>Pb. The inhalation of these radon decay products can deliver a significant dose to the soft tissue of the lungs (Kendall-Smith 200</w:t>
      </w:r>
      <w:r w:rsidR="00732264">
        <w:t>2</w:t>
      </w:r>
      <w:r>
        <w:t>).</w:t>
      </w:r>
    </w:p>
    <w:p w:rsidR="00856EAE" w:rsidRDefault="00856EAE" w:rsidP="00856EAE"/>
    <w:p w:rsidR="00856EAE" w:rsidRDefault="00856EAE" w:rsidP="00856EAE">
      <w:r w:rsidRPr="00CA3D9E">
        <w:rPr>
          <w:noProof/>
          <w:lang w:eastAsia="en-AU"/>
        </w:rPr>
        <w:drawing>
          <wp:inline distT="0" distB="0" distL="0" distR="0">
            <wp:extent cx="5474399" cy="2805113"/>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474399" cy="2805113"/>
                    </a:xfrm>
                    <a:prstGeom prst="rect">
                      <a:avLst/>
                    </a:prstGeom>
                    <a:noFill/>
                    <a:ln w="9525">
                      <a:noFill/>
                      <a:miter lim="800000"/>
                      <a:headEnd/>
                      <a:tailEnd/>
                    </a:ln>
                  </pic:spPr>
                </pic:pic>
              </a:graphicData>
            </a:graphic>
          </wp:inline>
        </w:drawing>
      </w:r>
    </w:p>
    <w:p w:rsidR="00856EAE" w:rsidRDefault="00856EAE" w:rsidP="00856EAE">
      <w:pPr>
        <w:pStyle w:val="figurecaption"/>
      </w:pPr>
      <w:bookmarkStart w:id="29" w:name="_Toc433624062"/>
      <w:r>
        <w:t xml:space="preserve">Figure 2 </w:t>
      </w:r>
      <w:proofErr w:type="gramStart"/>
      <w:r>
        <w:t>The</w:t>
      </w:r>
      <w:proofErr w:type="gramEnd"/>
      <w:r>
        <w:t xml:space="preserve"> uranium-238 (</w:t>
      </w:r>
      <w:r w:rsidRPr="00C66EC0">
        <w:rPr>
          <w:snapToGrid w:val="0"/>
          <w:color w:val="000000"/>
          <w:position w:val="6"/>
          <w:sz w:val="16"/>
          <w:szCs w:val="0"/>
          <w:u w:color="000000"/>
        </w:rPr>
        <w:t>238</w:t>
      </w:r>
      <w:r>
        <w:t>U) decay series (from Martin 2000)</w:t>
      </w:r>
      <w:bookmarkEnd w:id="29"/>
    </w:p>
    <w:p w:rsidR="00856EAE" w:rsidRDefault="00856EAE" w:rsidP="00856EAE">
      <w:r>
        <w:t xml:space="preserve">Finally, </w:t>
      </w:r>
      <w:r w:rsidRPr="00BB7A7A">
        <w:rPr>
          <w:vertAlign w:val="superscript"/>
        </w:rPr>
        <w:t>226</w:t>
      </w:r>
      <w:r>
        <w:t xml:space="preserve">Ra and the other natural radium isotopes can be ingested by humans and wildlife with food and water. Radium is chemically similar to Ca, Mg, Ba and Sr </w:t>
      </w:r>
      <w:r>
        <w:rPr>
          <w:lang w:eastAsia="en-AU"/>
        </w:rPr>
        <w:t xml:space="preserve">and it is </w:t>
      </w:r>
      <w:r w:rsidRPr="008D5A37">
        <w:rPr>
          <w:lang w:eastAsia="en-AU"/>
        </w:rPr>
        <w:t>taken up as an analogue element</w:t>
      </w:r>
      <w:r>
        <w:rPr>
          <w:lang w:eastAsia="en-AU"/>
        </w:rPr>
        <w:t xml:space="preserve"> </w:t>
      </w:r>
      <w:r>
        <w:t>to the essential elements Ca and Mg</w:t>
      </w:r>
      <w:r>
        <w:rPr>
          <w:lang w:eastAsia="en-AU"/>
        </w:rPr>
        <w:t xml:space="preserve"> in plants (Medley et al 2013; </w:t>
      </w:r>
      <w:r w:rsidR="0081644C">
        <w:rPr>
          <w:lang w:eastAsia="en-AU"/>
        </w:rPr>
        <w:t xml:space="preserve">Medley &amp; </w:t>
      </w:r>
      <w:proofErr w:type="spellStart"/>
      <w:r w:rsidR="0081644C">
        <w:rPr>
          <w:lang w:eastAsia="en-AU"/>
        </w:rPr>
        <w:t>Bollhöfer</w:t>
      </w:r>
      <w:proofErr w:type="spellEnd"/>
      <w:r w:rsidR="0081644C">
        <w:rPr>
          <w:lang w:eastAsia="en-AU"/>
        </w:rPr>
        <w:t xml:space="preserve"> 2015</w:t>
      </w:r>
      <w:r>
        <w:t xml:space="preserve">) and animals, such as </w:t>
      </w:r>
      <w:proofErr w:type="gramStart"/>
      <w:r>
        <w:t>freshwater  mussels</w:t>
      </w:r>
      <w:proofErr w:type="gramEnd"/>
      <w:r>
        <w:t xml:space="preserve"> (Johnston et al 1987; Bollhöfer et al, 2011). Plants and animals (including humans) transport the alkaline earth metals through similar</w:t>
      </w:r>
      <w:r w:rsidR="00E82924">
        <w:t xml:space="preserve"> biochemical</w:t>
      </w:r>
      <w:r>
        <w:t xml:space="preserve"> channels and physiologically, they do not discriminate between them (</w:t>
      </w:r>
      <w:proofErr w:type="spellStart"/>
      <w:r>
        <w:t>Ivanovich</w:t>
      </w:r>
      <w:proofErr w:type="spellEnd"/>
      <w:r>
        <w:t xml:space="preserve"> and Harmon, 1982). The concentration of Ca and Mg in </w:t>
      </w:r>
      <w:r w:rsidR="003E02D2">
        <w:t>soil, sediment</w:t>
      </w:r>
      <w:r>
        <w:t xml:space="preserve"> </w:t>
      </w:r>
      <w:r w:rsidR="003E02D2">
        <w:t xml:space="preserve">or water </w:t>
      </w:r>
      <w:r>
        <w:t xml:space="preserve">however can </w:t>
      </w:r>
      <w:r w:rsidRPr="008D5A37">
        <w:rPr>
          <w:lang w:eastAsia="en-AU"/>
        </w:rPr>
        <w:t>influence</w:t>
      </w:r>
      <w:r>
        <w:rPr>
          <w:lang w:eastAsia="en-AU"/>
        </w:rPr>
        <w:t xml:space="preserve"> the magnitude of</w:t>
      </w:r>
      <w:r w:rsidRPr="008D5A37">
        <w:rPr>
          <w:lang w:eastAsia="en-AU"/>
        </w:rPr>
        <w:t xml:space="preserve"> </w:t>
      </w:r>
      <w:r>
        <w:rPr>
          <w:lang w:eastAsia="en-AU"/>
        </w:rPr>
        <w:t>Ra</w:t>
      </w:r>
      <w:r w:rsidRPr="008D5A37">
        <w:rPr>
          <w:lang w:eastAsia="en-AU"/>
        </w:rPr>
        <w:t xml:space="preserve"> uptake</w:t>
      </w:r>
      <w:r w:rsidR="003E02D2">
        <w:rPr>
          <w:lang w:eastAsia="en-AU"/>
        </w:rPr>
        <w:t xml:space="preserve"> in plants</w:t>
      </w:r>
      <w:r>
        <w:rPr>
          <w:lang w:eastAsia="en-AU"/>
        </w:rPr>
        <w:t xml:space="preserve"> (Medley </w:t>
      </w:r>
      <w:r w:rsidR="0081644C">
        <w:rPr>
          <w:lang w:eastAsia="en-AU"/>
        </w:rPr>
        <w:t xml:space="preserve">&amp; </w:t>
      </w:r>
      <w:proofErr w:type="spellStart"/>
      <w:r w:rsidR="0081644C">
        <w:rPr>
          <w:lang w:eastAsia="en-AU"/>
        </w:rPr>
        <w:t>Bollhöfer</w:t>
      </w:r>
      <w:proofErr w:type="spellEnd"/>
      <w:r w:rsidR="0081644C">
        <w:rPr>
          <w:lang w:eastAsia="en-AU"/>
        </w:rPr>
        <w:t xml:space="preserve"> </w:t>
      </w:r>
      <w:r>
        <w:rPr>
          <w:lang w:eastAsia="en-AU"/>
        </w:rPr>
        <w:t xml:space="preserve">2015; Medley et al 2013; </w:t>
      </w:r>
      <w:proofErr w:type="spellStart"/>
      <w:r>
        <w:rPr>
          <w:lang w:eastAsia="en-AU"/>
        </w:rPr>
        <w:t>Bollhöfer</w:t>
      </w:r>
      <w:proofErr w:type="spellEnd"/>
      <w:r>
        <w:rPr>
          <w:lang w:eastAsia="en-AU"/>
        </w:rPr>
        <w:t xml:space="preserve"> et al 2011). </w:t>
      </w:r>
      <w:r>
        <w:t>In</w:t>
      </w:r>
      <w:r w:rsidRPr="00C67BAF">
        <w:t xml:space="preserve"> vascular plants</w:t>
      </w:r>
      <w:r>
        <w:t xml:space="preserve"> for example, uptake of group II metals</w:t>
      </w:r>
      <w:r w:rsidRPr="00C67BAF">
        <w:t xml:space="preserve"> is exclusively via the roots (Strebl et al., 2007</w:t>
      </w:r>
      <w:r>
        <w:t>)</w:t>
      </w:r>
      <w:r w:rsidR="003E02D2">
        <w:t xml:space="preserve"> and a</w:t>
      </w:r>
      <w:r>
        <w:t>lthough the group II metals follow the same uptake pathway, Ca (and Mg) are preferentially taken up</w:t>
      </w:r>
      <w:r w:rsidR="003E02D2">
        <w:t>. Up</w:t>
      </w:r>
      <w:r>
        <w:t xml:space="preserve">take </w:t>
      </w:r>
      <w:r w:rsidR="003E02D2">
        <w:t xml:space="preserve">in plants </w:t>
      </w:r>
      <w:r>
        <w:t xml:space="preserve">is discriminated against group II metals relative to their ionic radius with uptake of </w:t>
      </w:r>
      <w:proofErr w:type="gramStart"/>
      <w:r>
        <w:t>Ca(</w:t>
      </w:r>
      <w:proofErr w:type="gramEnd"/>
      <w:r>
        <w:t>Mg)&gt;Sr&gt;Ba&gt;&gt;</w:t>
      </w:r>
      <w:r w:rsidRPr="00BB7A7A">
        <w:rPr>
          <w:vertAlign w:val="superscript"/>
        </w:rPr>
        <w:t>226</w:t>
      </w:r>
      <w:r>
        <w:t xml:space="preserve">Ra (Tagami et al., 2012; </w:t>
      </w:r>
      <w:r w:rsidR="00756A05">
        <w:rPr>
          <w:lang w:eastAsia="en-AU"/>
        </w:rPr>
        <w:t xml:space="preserve">Medley &amp; </w:t>
      </w:r>
      <w:proofErr w:type="spellStart"/>
      <w:r w:rsidR="00756A05">
        <w:rPr>
          <w:lang w:eastAsia="en-AU"/>
        </w:rPr>
        <w:t>Bollhöfer</w:t>
      </w:r>
      <w:proofErr w:type="spellEnd"/>
      <w:r w:rsidR="00756A05">
        <w:rPr>
          <w:lang w:eastAsia="en-AU"/>
        </w:rPr>
        <w:t xml:space="preserve"> 2015</w:t>
      </w:r>
      <w:r>
        <w:t xml:space="preserve">). </w:t>
      </w:r>
    </w:p>
    <w:p w:rsidR="00856EAE" w:rsidRDefault="00856EAE" w:rsidP="00856EAE">
      <w:r>
        <w:t xml:space="preserve">Uptake of </w:t>
      </w:r>
      <w:r w:rsidRPr="00BB7A7A">
        <w:rPr>
          <w:vertAlign w:val="superscript"/>
        </w:rPr>
        <w:t>226</w:t>
      </w:r>
      <w:r>
        <w:t>Ra in animals also follows the transport path</w:t>
      </w:r>
      <w:r w:rsidR="00E82924">
        <w:t>ways</w:t>
      </w:r>
      <w:r>
        <w:t xml:space="preserve"> of Ca and Mg. In aquatic organisms, the lower trophic organisms (e.g. phytoplankton) display stronger accumulation trends than the higher trophic organisms (Vandenhove et al 2010). Certain hard tissues such as bones and shells accumulate relatively more </w:t>
      </w:r>
      <w:r w:rsidRPr="00BB7A7A">
        <w:rPr>
          <w:vertAlign w:val="superscript"/>
        </w:rPr>
        <w:t>226</w:t>
      </w:r>
      <w:r>
        <w:t>Ra due to their higher Ca concentration compared to other tissues. This preferential uptake can create strong</w:t>
      </w:r>
      <w:r w:rsidRPr="00E7382B">
        <w:t xml:space="preserve"> </w:t>
      </w:r>
      <w:r>
        <w:t xml:space="preserve">bioaccumulation of </w:t>
      </w:r>
      <w:r w:rsidRPr="00BB7A7A">
        <w:rPr>
          <w:vertAlign w:val="superscript"/>
        </w:rPr>
        <w:t>226</w:t>
      </w:r>
      <w:r>
        <w:t xml:space="preserve">Ra in specific tissues and can lead to large differences in </w:t>
      </w:r>
      <w:r w:rsidRPr="00BB7A7A">
        <w:rPr>
          <w:vertAlign w:val="superscript"/>
        </w:rPr>
        <w:t>226</w:t>
      </w:r>
      <w:r>
        <w:t>Ra activity concentrations in different parts of an organism (Ellis &amp; Jeffree 19</w:t>
      </w:r>
      <w:r w:rsidR="004E7A5E">
        <w:t>82</w:t>
      </w:r>
      <w:r>
        <w:t xml:space="preserve">). Mussels for example bioaccumulate </w:t>
      </w:r>
      <w:r w:rsidRPr="00BB7A7A">
        <w:rPr>
          <w:vertAlign w:val="superscript"/>
        </w:rPr>
        <w:t>226</w:t>
      </w:r>
      <w:r>
        <w:t xml:space="preserve">Ra in calcium phosphate granules in their soft tissue and </w:t>
      </w:r>
      <w:r w:rsidRPr="00BB7A7A">
        <w:rPr>
          <w:vertAlign w:val="superscript"/>
        </w:rPr>
        <w:t>226</w:t>
      </w:r>
      <w:r>
        <w:t xml:space="preserve">Ra activity concentrations in these calcium phosphate granules is extremely high (Ellis &amp; Jeffree </w:t>
      </w:r>
      <w:r w:rsidR="00196FEF">
        <w:t>1982</w:t>
      </w:r>
      <w:r>
        <w:t xml:space="preserve">). The influence of group II metals on </w:t>
      </w:r>
      <w:r w:rsidRPr="00BB7A7A">
        <w:rPr>
          <w:vertAlign w:val="superscript"/>
        </w:rPr>
        <w:t>226</w:t>
      </w:r>
      <w:r>
        <w:t xml:space="preserve">Ra uptake in mussels is such that if Ca and Mg concentrations in the (aquatic) environment are low, </w:t>
      </w:r>
      <w:r w:rsidRPr="00BB7A7A">
        <w:rPr>
          <w:vertAlign w:val="superscript"/>
        </w:rPr>
        <w:t>226</w:t>
      </w:r>
      <w:r>
        <w:t xml:space="preserve">Ra uptake generally increases. For example, Brenner et al (2007) have reported much lower uptake of </w:t>
      </w:r>
      <w:r w:rsidRPr="00BB7A7A">
        <w:rPr>
          <w:vertAlign w:val="superscript"/>
        </w:rPr>
        <w:t>226</w:t>
      </w:r>
      <w:r>
        <w:t xml:space="preserve">Ra for freshwater mussels in a groundwater augmented lake with high Ca concentrations, in contrast, uptake is particularly high from the low EC waters of Magela Creek (Bollhöfer et al 2011).  </w:t>
      </w:r>
    </w:p>
    <w:p w:rsidR="00856EAE" w:rsidRDefault="00856EAE" w:rsidP="00856EAE">
      <w:r>
        <w:t xml:space="preserve">In mammals (and humans), most ingested </w:t>
      </w:r>
      <w:r w:rsidRPr="00BB7A7A">
        <w:rPr>
          <w:vertAlign w:val="superscript"/>
        </w:rPr>
        <w:t>226</w:t>
      </w:r>
      <w:r>
        <w:t xml:space="preserve">Ra is promptly excreted again, however, some enters the bloodstream and is incorporated into bones. Radium-226 follows biochemical pathways as an analogue to Ca and Mg and can isomorphously substitute for Ca in the apatite mineral structure of bone tissue (Vandenhove </w:t>
      </w:r>
      <w:r w:rsidR="00683AC0">
        <w:t>et al</w:t>
      </w:r>
      <w:r>
        <w:t xml:space="preserve"> 2010). </w:t>
      </w:r>
      <w:r w:rsidRPr="0077660D">
        <w:t xml:space="preserve">Because of its preference for bone, </w:t>
      </w:r>
      <w:r>
        <w:t>Ra</w:t>
      </w:r>
      <w:r w:rsidRPr="0077660D">
        <w:t xml:space="preserve"> is commonly referred to as a bone seeker</w:t>
      </w:r>
      <w:r>
        <w:t xml:space="preserve"> (National Research Council 1988)</w:t>
      </w:r>
      <w:r w:rsidRPr="0077660D">
        <w:t>.</w:t>
      </w:r>
      <w:r>
        <w:t xml:space="preserve"> Once deposited in bones, </w:t>
      </w:r>
      <w:r w:rsidRPr="00BB7A7A">
        <w:rPr>
          <w:vertAlign w:val="superscript"/>
        </w:rPr>
        <w:t>226</w:t>
      </w:r>
      <w:r>
        <w:t xml:space="preserve">Ra decays and delivers, either directly or via the short-lived daughter isotopes, a radiation dose to bone tissue. The ingestion of mussels with high concentrations of </w:t>
      </w:r>
      <w:r w:rsidRPr="00BB7A7A">
        <w:rPr>
          <w:vertAlign w:val="superscript"/>
        </w:rPr>
        <w:t>226</w:t>
      </w:r>
      <w:r>
        <w:t xml:space="preserve">Ra can thus lead to significant radiation doses to humans from </w:t>
      </w:r>
      <w:r w:rsidRPr="00BB7A7A">
        <w:rPr>
          <w:vertAlign w:val="superscript"/>
        </w:rPr>
        <w:t>226</w:t>
      </w:r>
      <w:r>
        <w:t>Ra.</w:t>
      </w:r>
    </w:p>
    <w:p w:rsidR="00856EAE" w:rsidRDefault="00856EAE" w:rsidP="00856EAE">
      <w:r>
        <w:t xml:space="preserve">The high radiotoxicity of radium to humans upon ingestion is evidenced by the high dose conversion coefficient (DCC) for </w:t>
      </w:r>
      <w:r w:rsidRPr="00C41325">
        <w:rPr>
          <w:vertAlign w:val="superscript"/>
        </w:rPr>
        <w:t>226</w:t>
      </w:r>
      <w:r>
        <w:t>Ra of 0.28 µSv·Bq</w:t>
      </w:r>
      <w:r w:rsidRPr="00332343">
        <w:rPr>
          <w:snapToGrid w:val="0"/>
          <w:color w:val="000000"/>
          <w:position w:val="6"/>
          <w:sz w:val="16"/>
          <w:szCs w:val="0"/>
          <w:u w:color="000000"/>
        </w:rPr>
        <w:t>-1</w:t>
      </w:r>
      <w:r>
        <w:t xml:space="preserve"> for adults and 0.8 µSv·Bq</w:t>
      </w:r>
      <w:r w:rsidRPr="00332343">
        <w:rPr>
          <w:snapToGrid w:val="0"/>
          <w:color w:val="000000"/>
          <w:position w:val="6"/>
          <w:sz w:val="16"/>
          <w:szCs w:val="0"/>
          <w:u w:color="000000"/>
        </w:rPr>
        <w:t>-1</w:t>
      </w:r>
      <w:r>
        <w:t xml:space="preserve"> for a 10 year old child. Only </w:t>
      </w:r>
      <w:r w:rsidRPr="00C41325">
        <w:rPr>
          <w:vertAlign w:val="superscript"/>
        </w:rPr>
        <w:t>210</w:t>
      </w:r>
      <w:r>
        <w:t xml:space="preserve">Po and </w:t>
      </w:r>
      <w:r w:rsidRPr="00C41325">
        <w:rPr>
          <w:vertAlign w:val="superscript"/>
        </w:rPr>
        <w:t>210</w:t>
      </w:r>
      <w:r>
        <w:t xml:space="preserve">Pb have higher DCCs than </w:t>
      </w:r>
      <w:r w:rsidRPr="00C41325">
        <w:rPr>
          <w:vertAlign w:val="superscript"/>
        </w:rPr>
        <w:t>226</w:t>
      </w:r>
      <w:r>
        <w:t>Ra within the elements of the uranium series decay chain (1.2 µSv·Bq</w:t>
      </w:r>
      <w:r w:rsidRPr="00332343">
        <w:rPr>
          <w:snapToGrid w:val="0"/>
          <w:color w:val="000000"/>
          <w:position w:val="6"/>
          <w:sz w:val="16"/>
          <w:szCs w:val="0"/>
          <w:u w:color="000000"/>
        </w:rPr>
        <w:t>-1</w:t>
      </w:r>
      <w:r>
        <w:t xml:space="preserve"> for an adult and 2.6 µSv·Bq</w:t>
      </w:r>
      <w:r w:rsidRPr="00332343">
        <w:rPr>
          <w:snapToGrid w:val="0"/>
          <w:color w:val="000000"/>
          <w:position w:val="6"/>
          <w:sz w:val="16"/>
          <w:szCs w:val="0"/>
          <w:u w:color="000000"/>
        </w:rPr>
        <w:t>-1</w:t>
      </w:r>
      <w:r>
        <w:t xml:space="preserve"> for a child for </w:t>
      </w:r>
      <w:r w:rsidRPr="008E7B3E">
        <w:rPr>
          <w:snapToGrid w:val="0"/>
          <w:color w:val="000000"/>
          <w:position w:val="6"/>
          <w:sz w:val="16"/>
          <w:szCs w:val="0"/>
          <w:u w:color="000000"/>
        </w:rPr>
        <w:t>210</w:t>
      </w:r>
      <w:r>
        <w:t>Po</w:t>
      </w:r>
      <w:r w:rsidR="003E02D2">
        <w:t>;</w:t>
      </w:r>
      <w:r>
        <w:t xml:space="preserve"> 0.69 µSv·Bq</w:t>
      </w:r>
      <w:r w:rsidRPr="00332343">
        <w:rPr>
          <w:snapToGrid w:val="0"/>
          <w:color w:val="000000"/>
          <w:position w:val="6"/>
          <w:sz w:val="16"/>
          <w:szCs w:val="0"/>
          <w:u w:color="000000"/>
        </w:rPr>
        <w:t>-1</w:t>
      </w:r>
      <w:r>
        <w:t xml:space="preserve"> for an adult and 1.9 µSv·Bq</w:t>
      </w:r>
      <w:r w:rsidRPr="00332343">
        <w:rPr>
          <w:snapToGrid w:val="0"/>
          <w:color w:val="000000"/>
          <w:position w:val="6"/>
          <w:sz w:val="16"/>
          <w:szCs w:val="0"/>
          <w:u w:color="000000"/>
        </w:rPr>
        <w:t>-1</w:t>
      </w:r>
      <w:r>
        <w:t xml:space="preserve"> for a child for </w:t>
      </w:r>
      <w:r w:rsidRPr="008E7B3E">
        <w:rPr>
          <w:snapToGrid w:val="0"/>
          <w:color w:val="000000"/>
          <w:position w:val="6"/>
          <w:sz w:val="16"/>
          <w:szCs w:val="0"/>
          <w:u w:color="000000"/>
        </w:rPr>
        <w:t>210</w:t>
      </w:r>
      <w:r>
        <w:t xml:space="preserve">Pb). </w:t>
      </w:r>
    </w:p>
    <w:p w:rsidR="00856EAE" w:rsidRDefault="00856EAE" w:rsidP="00856EAE">
      <w:r>
        <w:t xml:space="preserve">Both </w:t>
      </w:r>
      <w:r w:rsidRPr="00C41325">
        <w:rPr>
          <w:vertAlign w:val="superscript"/>
        </w:rPr>
        <w:t>210</w:t>
      </w:r>
      <w:r>
        <w:t xml:space="preserve">Po and </w:t>
      </w:r>
      <w:r w:rsidRPr="00C41325">
        <w:rPr>
          <w:vertAlign w:val="superscript"/>
        </w:rPr>
        <w:t>210</w:t>
      </w:r>
      <w:r>
        <w:t xml:space="preserve">Pb also have the potential to bioaccumulate in animal tissues, however, in the freshwater environment they are less mobile than </w:t>
      </w:r>
      <w:r w:rsidRPr="00C41325">
        <w:rPr>
          <w:vertAlign w:val="superscript"/>
        </w:rPr>
        <w:t>226</w:t>
      </w:r>
      <w:r>
        <w:t xml:space="preserve">Ra and have a stronger affinity for suspended particles (Alam &amp; Mohamed 2010); both isotopes are quickly adsorbed on suspended sediment and removed from the water column into bottom sediments. Martin et al (1998) for example report </w:t>
      </w:r>
      <w:r w:rsidRPr="00B93F9B">
        <w:rPr>
          <w:snapToGrid w:val="0"/>
          <w:color w:val="000000"/>
          <w:position w:val="6"/>
          <w:sz w:val="16"/>
          <w:szCs w:val="0"/>
          <w:u w:color="000000"/>
        </w:rPr>
        <w:t>210</w:t>
      </w:r>
      <w:r>
        <w:t xml:space="preserve">Po and </w:t>
      </w:r>
      <w:r w:rsidRPr="00C41325">
        <w:rPr>
          <w:vertAlign w:val="superscript"/>
        </w:rPr>
        <w:t>210</w:t>
      </w:r>
      <w:r>
        <w:t xml:space="preserve">Pb  activity concentrations in Retention Pond 2 (RP2) water more than 100 times lower than the activity concentration of </w:t>
      </w:r>
      <w:r w:rsidRPr="00B93F9B">
        <w:rPr>
          <w:snapToGrid w:val="0"/>
          <w:color w:val="000000"/>
          <w:position w:val="6"/>
          <w:sz w:val="16"/>
          <w:szCs w:val="0"/>
          <w:u w:color="000000"/>
        </w:rPr>
        <w:t>226</w:t>
      </w:r>
      <w:r>
        <w:t xml:space="preserve">Ra. This is similar to the ratios reported in Johnston et al (2005) where </w:t>
      </w:r>
      <w:r w:rsidRPr="00B93F9B">
        <w:rPr>
          <w:snapToGrid w:val="0"/>
          <w:color w:val="000000"/>
          <w:position w:val="6"/>
          <w:sz w:val="16"/>
          <w:szCs w:val="0"/>
          <w:u w:color="000000"/>
        </w:rPr>
        <w:t>210</w:t>
      </w:r>
      <w:r>
        <w:t xml:space="preserve">Po and </w:t>
      </w:r>
      <w:r w:rsidRPr="00C41325">
        <w:rPr>
          <w:vertAlign w:val="superscript"/>
        </w:rPr>
        <w:t>210</w:t>
      </w:r>
      <w:r>
        <w:t xml:space="preserve">Pb  activity concentrations in RP2 water are assumed to be approximately 70 times lower than </w:t>
      </w:r>
      <w:r w:rsidRPr="00B93F9B">
        <w:rPr>
          <w:snapToGrid w:val="0"/>
          <w:color w:val="000000"/>
          <w:position w:val="6"/>
          <w:sz w:val="16"/>
          <w:szCs w:val="0"/>
          <w:u w:color="000000"/>
        </w:rPr>
        <w:t>226</w:t>
      </w:r>
      <w:r>
        <w:t xml:space="preserve">Ra. The </w:t>
      </w:r>
      <w:r w:rsidRPr="00B93F9B">
        <w:rPr>
          <w:snapToGrid w:val="0"/>
          <w:color w:val="000000"/>
          <w:position w:val="6"/>
          <w:sz w:val="16"/>
          <w:szCs w:val="0"/>
          <w:u w:color="000000"/>
        </w:rPr>
        <w:t>210</w:t>
      </w:r>
      <w:r>
        <w:t xml:space="preserve">Po and </w:t>
      </w:r>
      <w:r w:rsidRPr="00C41325">
        <w:rPr>
          <w:vertAlign w:val="superscript"/>
        </w:rPr>
        <w:t>210</w:t>
      </w:r>
      <w:r>
        <w:t>Pb activity concentrations in Retention Pond 1 (RP1) water in 1994/95 were low (5</w:t>
      </w:r>
      <w:r w:rsidRPr="006516DE">
        <w:t xml:space="preserve"> </w:t>
      </w:r>
      <w:r>
        <w:t>mBq·L</w:t>
      </w:r>
      <w:r w:rsidRPr="001074B1">
        <w:rPr>
          <w:snapToGrid w:val="0"/>
          <w:color w:val="000000"/>
          <w:position w:val="6"/>
          <w:sz w:val="16"/>
          <w:szCs w:val="0"/>
          <w:u w:color="000000"/>
        </w:rPr>
        <w:t>-1</w:t>
      </w:r>
      <w:r>
        <w:t>) (Martin 2000) and similar to the activity concentration in Mudginberri Billabong measured during that time period (Martin et al 1998) confirming fast removal of these two radioisotopes from the water column into the sediment of RP1. Total (</w:t>
      </w:r>
      <w:r w:rsidRPr="005619DC">
        <w:rPr>
          <w:i/>
        </w:rPr>
        <w:t>filtered</w:t>
      </w:r>
      <w:r>
        <w:t xml:space="preserve">) activity concentrations for </w:t>
      </w:r>
      <w:r w:rsidRPr="00C41325">
        <w:rPr>
          <w:vertAlign w:val="superscript"/>
        </w:rPr>
        <w:t>226</w:t>
      </w:r>
      <w:r>
        <w:t xml:space="preserve">Ra, </w:t>
      </w:r>
      <w:r w:rsidRPr="00B93F9B">
        <w:rPr>
          <w:snapToGrid w:val="0"/>
          <w:color w:val="000000"/>
          <w:position w:val="6"/>
          <w:sz w:val="16"/>
          <w:szCs w:val="0"/>
          <w:u w:color="000000"/>
        </w:rPr>
        <w:t>210</w:t>
      </w:r>
      <w:r>
        <w:t xml:space="preserve">Po and </w:t>
      </w:r>
      <w:r w:rsidRPr="00C41325">
        <w:rPr>
          <w:vertAlign w:val="superscript"/>
        </w:rPr>
        <w:t>210</w:t>
      </w:r>
      <w:r>
        <w:t>Pb in Mudginberri Billabong in the 1980s have been reported by Martin et al (1998) as 3.4 (</w:t>
      </w:r>
      <w:r w:rsidRPr="005619DC">
        <w:rPr>
          <w:i/>
        </w:rPr>
        <w:t>0.7</w:t>
      </w:r>
      <w:r>
        <w:t>) mBq·L</w:t>
      </w:r>
      <w:r w:rsidRPr="001074B1">
        <w:rPr>
          <w:snapToGrid w:val="0"/>
          <w:color w:val="000000"/>
          <w:position w:val="6"/>
          <w:sz w:val="16"/>
          <w:szCs w:val="0"/>
          <w:u w:color="000000"/>
        </w:rPr>
        <w:t>-1</w:t>
      </w:r>
      <w:r>
        <w:t>, 4.5 (</w:t>
      </w:r>
      <w:r w:rsidRPr="005619DC">
        <w:rPr>
          <w:i/>
        </w:rPr>
        <w:t>1.6</w:t>
      </w:r>
      <w:r>
        <w:t>)</w:t>
      </w:r>
      <w:r w:rsidRPr="006516DE">
        <w:t xml:space="preserve"> </w:t>
      </w:r>
      <w:r>
        <w:t>mBq·L</w:t>
      </w:r>
      <w:r w:rsidRPr="001074B1">
        <w:rPr>
          <w:snapToGrid w:val="0"/>
          <w:color w:val="000000"/>
          <w:position w:val="6"/>
          <w:sz w:val="16"/>
          <w:szCs w:val="0"/>
          <w:u w:color="000000"/>
        </w:rPr>
        <w:t>-1</w:t>
      </w:r>
      <w:r>
        <w:t xml:space="preserve"> and 6.3 (</w:t>
      </w:r>
      <w:r w:rsidRPr="005619DC">
        <w:rPr>
          <w:i/>
        </w:rPr>
        <w:t>1.3</w:t>
      </w:r>
      <w:r>
        <w:t xml:space="preserve">) </w:t>
      </w:r>
      <w:proofErr w:type="spellStart"/>
      <w:r>
        <w:t>mBq·L</w:t>
      </w:r>
      <w:proofErr w:type="spellEnd"/>
      <w:r w:rsidRPr="001074B1">
        <w:rPr>
          <w:snapToGrid w:val="0"/>
          <w:color w:val="000000"/>
          <w:position w:val="6"/>
          <w:sz w:val="16"/>
          <w:szCs w:val="0"/>
          <w:u w:color="000000"/>
        </w:rPr>
        <w:t>-1</w:t>
      </w:r>
      <w:r>
        <w:t xml:space="preserve"> respectively. </w:t>
      </w:r>
    </w:p>
    <w:p w:rsidR="00856EAE" w:rsidRDefault="001B1894" w:rsidP="00856EAE">
      <w:r>
        <w:t>T</w:t>
      </w:r>
      <w:r w:rsidR="00856EAE">
        <w:t xml:space="preserve">he activity concentrations of </w:t>
      </w:r>
      <w:r w:rsidR="00856EAE" w:rsidRPr="00E733AA">
        <w:rPr>
          <w:snapToGrid w:val="0"/>
          <w:color w:val="000000"/>
          <w:position w:val="6"/>
          <w:sz w:val="16"/>
          <w:szCs w:val="0"/>
          <w:u w:color="000000"/>
        </w:rPr>
        <w:t>210</w:t>
      </w:r>
      <w:r w:rsidR="00856EAE">
        <w:t>Po</w:t>
      </w:r>
      <w:r w:rsidR="00856EAE" w:rsidRPr="00D37E4E">
        <w:t xml:space="preserve"> </w:t>
      </w:r>
      <w:r w:rsidR="00856EAE">
        <w:t xml:space="preserve">and </w:t>
      </w:r>
      <w:r w:rsidR="00856EAE" w:rsidRPr="00C41325">
        <w:rPr>
          <w:vertAlign w:val="superscript"/>
        </w:rPr>
        <w:t>210</w:t>
      </w:r>
      <w:r w:rsidR="00856EAE">
        <w:t xml:space="preserve">Pb in mine waters is much lower than that of </w:t>
      </w:r>
      <w:r w:rsidR="00856EAE" w:rsidRPr="00B93F9B">
        <w:rPr>
          <w:snapToGrid w:val="0"/>
          <w:color w:val="000000"/>
          <w:position w:val="6"/>
          <w:sz w:val="16"/>
          <w:szCs w:val="0"/>
          <w:u w:color="000000"/>
        </w:rPr>
        <w:t>226</w:t>
      </w:r>
      <w:r w:rsidR="00856EAE">
        <w:t xml:space="preserve">Ra and the contribution (if any) of </w:t>
      </w:r>
      <w:r w:rsidR="00856EAE" w:rsidRPr="00E733AA">
        <w:rPr>
          <w:snapToGrid w:val="0"/>
          <w:color w:val="000000"/>
          <w:position w:val="6"/>
          <w:sz w:val="16"/>
          <w:szCs w:val="0"/>
          <w:u w:color="000000"/>
        </w:rPr>
        <w:t>226</w:t>
      </w:r>
      <w:r w:rsidR="00856EAE">
        <w:t xml:space="preserve">Ra to the downstream environment from </w:t>
      </w:r>
      <w:r w:rsidR="00856EAE">
        <w:rPr>
          <w:lang w:val="en-US"/>
        </w:rPr>
        <w:t>RUM is very low (</w:t>
      </w:r>
      <w:r w:rsidR="00856EAE" w:rsidRPr="00D37E4E">
        <w:rPr>
          <w:lang w:val="en-US"/>
        </w:rPr>
        <w:t xml:space="preserve">Supervising Scientist </w:t>
      </w:r>
      <w:r w:rsidR="00856EAE">
        <w:rPr>
          <w:lang w:val="en-US"/>
        </w:rPr>
        <w:t>2015). Thus, although not directly measured, it can be assumed that</w:t>
      </w:r>
      <w:r w:rsidR="00856EAE">
        <w:t xml:space="preserve"> mine origin </w:t>
      </w:r>
      <w:r w:rsidR="00856EAE" w:rsidRPr="00E733AA">
        <w:rPr>
          <w:snapToGrid w:val="0"/>
          <w:color w:val="000000"/>
          <w:position w:val="6"/>
          <w:sz w:val="16"/>
          <w:szCs w:val="0"/>
          <w:u w:color="000000"/>
        </w:rPr>
        <w:t>210</w:t>
      </w:r>
      <w:r w:rsidR="00856EAE">
        <w:t xml:space="preserve">Po and </w:t>
      </w:r>
      <w:r w:rsidR="00856EAE" w:rsidRPr="00C41325">
        <w:rPr>
          <w:vertAlign w:val="superscript"/>
        </w:rPr>
        <w:t>210</w:t>
      </w:r>
      <w:r w:rsidR="00856EAE">
        <w:t>Pb do not contribute to the presence of these isotopes in water downstream of RUM</w:t>
      </w:r>
      <w:r w:rsidR="00856EAE">
        <w:rPr>
          <w:lang w:val="en-US"/>
        </w:rPr>
        <w:t xml:space="preserve"> and consequently do </w:t>
      </w:r>
      <w:r w:rsidR="00856EAE">
        <w:t>not contribute to the activity concentrations of these two radionuclides in mussels. This assumption is confirmed by the results of measurements of stable lead (</w:t>
      </w:r>
      <w:r w:rsidR="00856EAE" w:rsidRPr="00074A02">
        <w:rPr>
          <w:vertAlign w:val="superscript"/>
        </w:rPr>
        <w:t>206</w:t>
      </w:r>
      <w:r w:rsidR="00856EAE">
        <w:t xml:space="preserve">Pb, </w:t>
      </w:r>
      <w:r w:rsidR="00856EAE" w:rsidRPr="00074A02">
        <w:rPr>
          <w:vertAlign w:val="superscript"/>
        </w:rPr>
        <w:t>207</w:t>
      </w:r>
      <w:r w:rsidR="00856EAE">
        <w:t xml:space="preserve">Pb, </w:t>
      </w:r>
      <w:r w:rsidR="00856EAE" w:rsidRPr="00074A02">
        <w:rPr>
          <w:vertAlign w:val="superscript"/>
        </w:rPr>
        <w:t>208</w:t>
      </w:r>
      <w:r w:rsidR="00856EAE">
        <w:t>Pb) isotope ratios in mussel flesh, which confirm that the contribution of mine origin stable Pb to Pb in mussel flesh is consistently low at approximately 2 per cent (Bollhöfer 2012).</w:t>
      </w:r>
    </w:p>
    <w:p w:rsidR="00856EAE" w:rsidRDefault="00856EAE" w:rsidP="00856EAE">
      <w:r w:rsidRPr="00B8284A">
        <w:rPr>
          <w:lang w:val="en-US"/>
        </w:rPr>
        <w:t xml:space="preserve">In </w:t>
      </w:r>
      <w:r>
        <w:rPr>
          <w:lang w:val="en-US"/>
        </w:rPr>
        <w:t>a</w:t>
      </w:r>
      <w:r w:rsidRPr="00B8284A">
        <w:rPr>
          <w:lang w:val="en-US"/>
        </w:rPr>
        <w:t xml:space="preserve"> model</w:t>
      </w:r>
      <w:r>
        <w:rPr>
          <w:lang w:val="en-US"/>
        </w:rPr>
        <w:t xml:space="preserve"> to estimate mine related doses to people from the ingestion of traditional food items</w:t>
      </w:r>
      <w:r w:rsidRPr="00B8284A">
        <w:rPr>
          <w:lang w:val="en-US"/>
        </w:rPr>
        <w:t xml:space="preserve"> Martin (2000) used a concentration ratio for mussels </w:t>
      </w:r>
      <w:r w:rsidRPr="00930B6F">
        <w:t xml:space="preserve">for </w:t>
      </w:r>
      <w:r w:rsidRPr="00B8284A">
        <w:rPr>
          <w:snapToGrid w:val="0"/>
          <w:color w:val="000000"/>
          <w:position w:val="6"/>
          <w:sz w:val="16"/>
          <w:szCs w:val="0"/>
          <w:u w:color="000000"/>
        </w:rPr>
        <w:t>226</w:t>
      </w:r>
      <w:r>
        <w:t>Ra</w:t>
      </w:r>
      <w:r w:rsidRPr="00930B6F">
        <w:t xml:space="preserve"> from the water column</w:t>
      </w:r>
      <w:r>
        <w:t xml:space="preserve"> </w:t>
      </w:r>
      <w:r w:rsidRPr="00B8284A">
        <w:rPr>
          <w:lang w:val="en-US"/>
        </w:rPr>
        <w:t>(C</w:t>
      </w:r>
      <w:r>
        <w:rPr>
          <w:lang w:val="en-US"/>
        </w:rPr>
        <w:t>R</w:t>
      </w:r>
      <w:r>
        <w:rPr>
          <w:snapToGrid w:val="0"/>
          <w:color w:val="000000"/>
          <w:position w:val="-6"/>
          <w:sz w:val="16"/>
          <w:szCs w:val="0"/>
          <w:u w:color="000000"/>
          <w:lang w:val="en-US"/>
        </w:rPr>
        <w:t>Ra-226</w:t>
      </w:r>
      <w:r w:rsidRPr="00963E5F">
        <w:rPr>
          <w:snapToGrid w:val="0"/>
          <w:color w:val="000000"/>
          <w:position w:val="-6"/>
          <w:sz w:val="16"/>
          <w:szCs w:val="0"/>
          <w:u w:color="000000"/>
          <w:lang w:val="en-US"/>
        </w:rPr>
        <w:t>,</w:t>
      </w:r>
      <w:r>
        <w:rPr>
          <w:snapToGrid w:val="0"/>
          <w:color w:val="000000"/>
          <w:position w:val="-6"/>
          <w:sz w:val="16"/>
          <w:szCs w:val="0"/>
          <w:u w:color="000000"/>
          <w:lang w:val="en-US"/>
        </w:rPr>
        <w:t>mussel</w:t>
      </w:r>
      <w:r>
        <w:rPr>
          <w:lang w:val="en-US"/>
        </w:rPr>
        <w:t>)</w:t>
      </w:r>
      <w:r w:rsidRPr="00B8284A">
        <w:rPr>
          <w:lang w:val="en-US"/>
        </w:rPr>
        <w:t xml:space="preserve"> </w:t>
      </w:r>
      <w:r w:rsidRPr="00930B6F">
        <w:t>of 19</w:t>
      </w:r>
      <w:r>
        <w:t>,000</w:t>
      </w:r>
      <w:r w:rsidRPr="00930B6F">
        <w:t xml:space="preserve"> </w:t>
      </w:r>
      <w:r>
        <w:t>L·</w:t>
      </w:r>
      <w:r w:rsidRPr="00930B6F">
        <w:t>kg</w:t>
      </w:r>
      <w:r w:rsidRPr="00B8284A">
        <w:rPr>
          <w:snapToGrid w:val="0"/>
          <w:color w:val="000000"/>
          <w:position w:val="6"/>
          <w:sz w:val="16"/>
          <w:szCs w:val="0"/>
          <w:u w:color="000000"/>
        </w:rPr>
        <w:t>-1</w:t>
      </w:r>
      <w:r>
        <w:t xml:space="preserve">, </w:t>
      </w:r>
      <w:r w:rsidR="0056177A">
        <w:t xml:space="preserve">which was </w:t>
      </w:r>
      <w:r>
        <w:t>determined by Johnston et al (1984, 1987). For the other radionuclide-tissue combinations in the model, CRs are published in Martin et al (1998)</w:t>
      </w:r>
      <w:r w:rsidRPr="00930B6F">
        <w:t>.</w:t>
      </w:r>
      <w:r>
        <w:t xml:space="preserve"> For a hypothetical release of RP2 water from RUM Martin (2000) has shown that </w:t>
      </w:r>
      <w:r w:rsidRPr="00B8284A">
        <w:rPr>
          <w:snapToGrid w:val="0"/>
          <w:color w:val="000000"/>
          <w:position w:val="6"/>
          <w:sz w:val="16"/>
          <w:szCs w:val="0"/>
          <w:u w:color="000000"/>
        </w:rPr>
        <w:t>226</w:t>
      </w:r>
      <w:r>
        <w:t>Ra is the main contributor to a mine related ingestion dose (&gt;92.2%) downstream of RUM</w:t>
      </w:r>
      <w:r>
        <w:rPr>
          <w:lang w:val="en-US"/>
        </w:rPr>
        <w:t xml:space="preserve"> and t</w:t>
      </w:r>
      <w:r w:rsidRPr="00B8284A">
        <w:rPr>
          <w:lang w:val="en-US"/>
        </w:rPr>
        <w:t xml:space="preserve">he main food item responsible for this dose </w:t>
      </w:r>
      <w:r>
        <w:rPr>
          <w:lang w:val="en-US"/>
        </w:rPr>
        <w:t>is</w:t>
      </w:r>
      <w:r w:rsidRPr="00B8284A">
        <w:rPr>
          <w:lang w:val="en-US"/>
        </w:rPr>
        <w:t xml:space="preserve"> the consumption of freshwater mussel</w:t>
      </w:r>
      <w:r>
        <w:rPr>
          <w:lang w:val="en-US"/>
        </w:rPr>
        <w:t>s</w:t>
      </w:r>
      <w:r>
        <w:rPr>
          <w:rStyle w:val="FootnoteReference"/>
          <w:lang w:val="en-US"/>
        </w:rPr>
        <w:footnoteReference w:id="1"/>
      </w:r>
      <w:r w:rsidR="0056177A">
        <w:rPr>
          <w:lang w:val="en-US"/>
        </w:rPr>
        <w:t>,</w:t>
      </w:r>
      <w:r w:rsidRPr="00B8284A">
        <w:rPr>
          <w:lang w:val="en-US"/>
        </w:rPr>
        <w:t xml:space="preserve"> </w:t>
      </w:r>
      <w:r w:rsidR="0056177A" w:rsidRPr="00B8284A">
        <w:rPr>
          <w:i/>
          <w:lang w:val="en-US"/>
        </w:rPr>
        <w:t xml:space="preserve">Velesunio </w:t>
      </w:r>
      <w:r w:rsidR="0056177A">
        <w:rPr>
          <w:i/>
          <w:lang w:val="en-US"/>
        </w:rPr>
        <w:t>a</w:t>
      </w:r>
      <w:r w:rsidR="0056177A" w:rsidRPr="00B8284A">
        <w:rPr>
          <w:i/>
          <w:lang w:val="en-US"/>
        </w:rPr>
        <w:t>ngasi</w:t>
      </w:r>
      <w:r w:rsidR="0056177A">
        <w:rPr>
          <w:i/>
          <w:lang w:val="en-US"/>
        </w:rPr>
        <w:t>,</w:t>
      </w:r>
      <w:r w:rsidR="0056177A" w:rsidRPr="00B8284A">
        <w:rPr>
          <w:lang w:val="en-US"/>
        </w:rPr>
        <w:t xml:space="preserve"> </w:t>
      </w:r>
      <w:r w:rsidRPr="00B8284A">
        <w:rPr>
          <w:lang w:val="en-US"/>
        </w:rPr>
        <w:t>(8</w:t>
      </w:r>
      <w:r>
        <w:rPr>
          <w:lang w:val="en-US"/>
        </w:rPr>
        <w:t>5.1</w:t>
      </w:r>
      <w:r w:rsidRPr="00B8284A">
        <w:rPr>
          <w:lang w:val="en-US"/>
        </w:rPr>
        <w:t>%)</w:t>
      </w:r>
      <w:r>
        <w:rPr>
          <w:lang w:val="en-US"/>
        </w:rPr>
        <w:t>.</w:t>
      </w:r>
    </w:p>
    <w:p w:rsidR="00856EAE" w:rsidRDefault="00856EAE" w:rsidP="00856EAE">
      <w:r>
        <w:t xml:space="preserve">The </w:t>
      </w:r>
      <w:r w:rsidRPr="00E733AA">
        <w:rPr>
          <w:snapToGrid w:val="0"/>
          <w:color w:val="000000"/>
          <w:position w:val="6"/>
          <w:sz w:val="16"/>
          <w:szCs w:val="0"/>
          <w:u w:color="000000"/>
        </w:rPr>
        <w:t>226</w:t>
      </w:r>
      <w:r>
        <w:t xml:space="preserve">Ra trigger value for Magela creek is based on data collected and assessed in the 1980s and, as the major source of mine related </w:t>
      </w:r>
      <w:r>
        <w:rPr>
          <w:lang w:val="en-US"/>
        </w:rPr>
        <w:t>doses to people from the ingestion of traditional food items, with new data available it is timely to conduct this review into the appropriateness of the current value used.</w:t>
      </w:r>
    </w:p>
    <w:p w:rsidR="00856EAE" w:rsidRDefault="000E55B0" w:rsidP="000E55B0">
      <w:pPr>
        <w:pStyle w:val="Heading2"/>
      </w:pPr>
      <w:bookmarkStart w:id="30" w:name="_Toc443054572"/>
      <w:proofErr w:type="gramStart"/>
      <w:r>
        <w:t xml:space="preserve">1.2  </w:t>
      </w:r>
      <w:r w:rsidR="00856EAE">
        <w:t>Radionuclide</w:t>
      </w:r>
      <w:proofErr w:type="gramEnd"/>
      <w:r w:rsidR="00856EAE">
        <w:t xml:space="preserve"> concentration ratios</w:t>
      </w:r>
      <w:bookmarkEnd w:id="30"/>
    </w:p>
    <w:p w:rsidR="00856EAE" w:rsidRDefault="00856EAE" w:rsidP="00856EAE">
      <w:r>
        <w:t>Concentration ratios (CRs) are commonly used to quantify radionuclide transfer to biota from the surrounding environmental media that generally function as the reservoirs for nutrients and contaminants (Doering 2013). The CR method is a simplistic approach and does not take into account the chemical form of the radionuclide, competing ions, pH, and other chemical parameters that can affect the transfer of radionuclides. Nevertheless, it is consistent with the approach used in many human and environmental assessment models for quantifying radionuclide transfer (Brown et al 2008; USDOE 2004; Yu et al 2002). CRs for biota in aquatic systems are typically expressed as:</w:t>
      </w:r>
    </w:p>
    <w:p w:rsidR="00196FEF" w:rsidRDefault="00196FEF" w:rsidP="00856EAE"/>
    <w:p w:rsidR="00856EAE" w:rsidRPr="00DA31CB" w:rsidRDefault="002860DE" w:rsidP="00856EAE">
      <w:pPr>
        <w:rPr>
          <w:sz w:val="20"/>
          <w:szCs w:val="18"/>
        </w:rPr>
      </w:pPr>
      <m:oMath>
        <m:r>
          <w:rPr>
            <w:rFonts w:ascii="Cambria Math" w:hAnsi="Cambria Math"/>
            <w:sz w:val="20"/>
            <w:szCs w:val="18"/>
          </w:rPr>
          <m:t>CR=</m:t>
        </m:r>
        <m:f>
          <m:fPr>
            <m:ctrlPr>
              <w:rPr>
                <w:rFonts w:ascii="Cambria Math" w:hAnsi="Cambria Math"/>
                <w:i/>
                <w:sz w:val="20"/>
                <w:szCs w:val="18"/>
              </w:rPr>
            </m:ctrlPr>
          </m:fPr>
          <m:num>
            <m:r>
              <w:rPr>
                <w:rFonts w:ascii="Cambria Math" w:hAnsi="Cambria Math"/>
                <w:sz w:val="20"/>
                <w:szCs w:val="18"/>
              </w:rPr>
              <m:t xml:space="preserve">Activity concentration in biota tissue </m:t>
            </m:r>
            <m:d>
              <m:dPr>
                <m:ctrlPr>
                  <w:rPr>
                    <w:rFonts w:ascii="Cambria Math" w:hAnsi="Cambria Math"/>
                    <w:i/>
                    <w:sz w:val="20"/>
                    <w:szCs w:val="18"/>
                  </w:rPr>
                </m:ctrlPr>
              </m:dPr>
              <m:e>
                <m:r>
                  <w:rPr>
                    <w:rFonts w:ascii="Cambria Math" w:hAnsi="Cambria Math"/>
                    <w:sz w:val="20"/>
                    <w:szCs w:val="18"/>
                  </w:rPr>
                  <m:t xml:space="preserve">Bq </m:t>
                </m:r>
                <m:sSup>
                  <m:sSupPr>
                    <m:ctrlPr>
                      <w:rPr>
                        <w:rFonts w:ascii="Cambria Math" w:hAnsi="Cambria Math"/>
                        <w:i/>
                        <w:sz w:val="20"/>
                        <w:szCs w:val="18"/>
                      </w:rPr>
                    </m:ctrlPr>
                  </m:sSupPr>
                  <m:e>
                    <m:r>
                      <w:rPr>
                        <w:rFonts w:ascii="Cambria Math" w:hAnsi="Cambria Math"/>
                        <w:sz w:val="20"/>
                        <w:szCs w:val="18"/>
                      </w:rPr>
                      <m:t>kg</m:t>
                    </m:r>
                  </m:e>
                  <m:sup>
                    <m:r>
                      <w:rPr>
                        <w:rFonts w:ascii="Cambria Math" w:hAnsi="Cambria Math"/>
                        <w:sz w:val="20"/>
                        <w:szCs w:val="18"/>
                      </w:rPr>
                      <m:t>-1</m:t>
                    </m:r>
                  </m:sup>
                </m:sSup>
                <m:r>
                  <w:rPr>
                    <w:rFonts w:ascii="Cambria Math" w:hAnsi="Cambria Math"/>
                    <w:sz w:val="20"/>
                    <w:szCs w:val="18"/>
                  </w:rPr>
                  <m:t xml:space="preserve"> fresh weight</m:t>
                </m:r>
              </m:e>
            </m:d>
          </m:num>
          <m:den>
            <m:r>
              <w:rPr>
                <w:rFonts w:ascii="Cambria Math" w:hAnsi="Cambria Math"/>
                <w:sz w:val="20"/>
                <w:szCs w:val="18"/>
              </w:rPr>
              <m:t xml:space="preserve">Activity concentration in water </m:t>
            </m:r>
            <m:d>
              <m:dPr>
                <m:ctrlPr>
                  <w:rPr>
                    <w:rFonts w:ascii="Cambria Math" w:hAnsi="Cambria Math"/>
                    <w:i/>
                    <w:sz w:val="20"/>
                    <w:szCs w:val="18"/>
                  </w:rPr>
                </m:ctrlPr>
              </m:dPr>
              <m:e>
                <m:r>
                  <w:rPr>
                    <w:rFonts w:ascii="Cambria Math" w:hAnsi="Cambria Math"/>
                    <w:sz w:val="20"/>
                    <w:szCs w:val="18"/>
                  </w:rPr>
                  <m:t xml:space="preserve">Bq </m:t>
                </m:r>
                <m:sSup>
                  <m:sSupPr>
                    <m:ctrlPr>
                      <w:rPr>
                        <w:rFonts w:ascii="Cambria Math" w:hAnsi="Cambria Math"/>
                        <w:i/>
                        <w:sz w:val="20"/>
                        <w:szCs w:val="18"/>
                      </w:rPr>
                    </m:ctrlPr>
                  </m:sSupPr>
                  <m:e>
                    <m:r>
                      <w:rPr>
                        <w:rFonts w:ascii="Cambria Math" w:hAnsi="Cambria Math"/>
                        <w:sz w:val="20"/>
                        <w:szCs w:val="18"/>
                      </w:rPr>
                      <m:t>l</m:t>
                    </m:r>
                  </m:e>
                  <m:sup>
                    <m:r>
                      <w:rPr>
                        <w:rFonts w:ascii="Cambria Math" w:hAnsi="Cambria Math"/>
                        <w:sz w:val="20"/>
                        <w:szCs w:val="18"/>
                      </w:rPr>
                      <m:t>-1</m:t>
                    </m:r>
                  </m:sup>
                </m:sSup>
              </m:e>
            </m:d>
          </m:den>
        </m:f>
        <m:r>
          <w:rPr>
            <w:rFonts w:ascii="Cambria Math" w:hAnsi="Cambria Math"/>
            <w:sz w:val="20"/>
            <w:szCs w:val="18"/>
          </w:rPr>
          <m:t xml:space="preserve">           </m:t>
        </m:r>
      </m:oMath>
      <w:r w:rsidR="00196FEF" w:rsidRPr="00DA31CB">
        <w:rPr>
          <w:sz w:val="20"/>
          <w:szCs w:val="18"/>
        </w:rPr>
        <w:t xml:space="preserve">                                                       </w:t>
      </w:r>
      <w:r w:rsidR="00DA31CB" w:rsidRPr="00DA31CB">
        <w:rPr>
          <w:szCs w:val="24"/>
        </w:rPr>
        <w:t>(1)</w:t>
      </w:r>
    </w:p>
    <w:p w:rsidR="00196FEF" w:rsidRDefault="00196FEF" w:rsidP="00856EAE"/>
    <w:p w:rsidR="00856EAE" w:rsidRDefault="00856EAE" w:rsidP="00856EAE">
      <w:r>
        <w:t>The CR method assumes equilibrium conditions between the receptor and donor compartments. Equilibrium conditions can reasonably be expected to exist in natural and undisturbed environments or where the environment is receiving continuous (steady) inputs of radionuclides from a site. In the uranium mining context, the CR method is likely to be valid for conditions of normal operation and also in the post-rehabilitation phase (Doering 2013).</w:t>
      </w:r>
    </w:p>
    <w:p w:rsidR="00856EAE" w:rsidRDefault="00856EAE" w:rsidP="00856EAE">
      <w:r>
        <w:t xml:space="preserve">The mussel CR for </w:t>
      </w:r>
      <w:r w:rsidRPr="0090559B">
        <w:rPr>
          <w:snapToGrid w:val="0"/>
          <w:color w:val="000000"/>
          <w:position w:val="6"/>
          <w:sz w:val="16"/>
          <w:szCs w:val="0"/>
          <w:u w:color="000000"/>
        </w:rPr>
        <w:t>226</w:t>
      </w:r>
      <w:r>
        <w:t xml:space="preserve">Ra has previously been determined as the average CR of four billabongs in the Alligator Rivers Region (Johnston et al 1984). These billabongs were Georgetown, Mudginberri, Leichhardt and Corndorl billabongs. Table 1 reproduces the CR values for </w:t>
      </w:r>
      <w:r w:rsidRPr="00EA26A5">
        <w:rPr>
          <w:snapToGrid w:val="0"/>
          <w:color w:val="000000"/>
          <w:position w:val="6"/>
          <w:sz w:val="16"/>
          <w:szCs w:val="0"/>
          <w:u w:color="000000"/>
        </w:rPr>
        <w:t>226</w:t>
      </w:r>
      <w:r>
        <w:t xml:space="preserve">Ra in freshwater mussel tissue from Johnston et al (1984). More recently, Bollhöfer et al (2011) have reported CRs for </w:t>
      </w:r>
      <w:r w:rsidRPr="0090559B">
        <w:rPr>
          <w:snapToGrid w:val="0"/>
          <w:color w:val="000000"/>
          <w:position w:val="6"/>
          <w:sz w:val="16"/>
          <w:szCs w:val="0"/>
          <w:u w:color="000000"/>
        </w:rPr>
        <w:t>226</w:t>
      </w:r>
      <w:r>
        <w:t>Ra that range from 28</w:t>
      </w:r>
      <w:r w:rsidR="00984DC7">
        <w:t> </w:t>
      </w:r>
      <w:r>
        <w:t>000 to 33</w:t>
      </w:r>
      <w:r w:rsidR="00984DC7">
        <w:t> </w:t>
      </w:r>
      <w:r>
        <w:t>000 with an average of 30</w:t>
      </w:r>
      <w:r w:rsidR="00984DC7">
        <w:t> </w:t>
      </w:r>
      <w:r>
        <w:t>500 for sites in Magela Creek, downstream of Bowerbird Billabong.</w:t>
      </w:r>
    </w:p>
    <w:p w:rsidR="00DA31CB" w:rsidRDefault="00DA31CB" w:rsidP="00DA31CB">
      <w:r>
        <w:t xml:space="preserve">Concentration ratios for </w:t>
      </w:r>
      <w:r w:rsidRPr="00A61AEE">
        <w:rPr>
          <w:snapToGrid w:val="0"/>
          <w:color w:val="000000"/>
          <w:position w:val="6"/>
          <w:sz w:val="16"/>
          <w:szCs w:val="0"/>
          <w:u w:color="000000"/>
        </w:rPr>
        <w:t>226</w:t>
      </w:r>
      <w:r>
        <w:t xml:space="preserve">Ra uptake in freshwater mussels are calculated relative to total water </w:t>
      </w:r>
      <w:r w:rsidRPr="00820DF9">
        <w:rPr>
          <w:snapToGrid w:val="0"/>
          <w:color w:val="000000"/>
          <w:position w:val="6"/>
          <w:sz w:val="16"/>
          <w:szCs w:val="0"/>
          <w:u w:color="000000"/>
        </w:rPr>
        <w:t>226</w:t>
      </w:r>
      <w:r>
        <w:t xml:space="preserve">Ra activity concentrations. This is because mussels are filter feeders, meaning they take up food (plankton, algae and other nutrients and particles) suspended in the water column through trapping in the mucus of their gills (Humphrey &amp; Simpson, 1985; </w:t>
      </w:r>
      <w:proofErr w:type="spellStart"/>
      <w:r>
        <w:t>Riisgård</w:t>
      </w:r>
      <w:proofErr w:type="spellEnd"/>
      <w:r>
        <w:t xml:space="preserve"> et al 2011). Plankton and algae are known to accumulate natural </w:t>
      </w:r>
      <w:proofErr w:type="spellStart"/>
      <w:r>
        <w:t>radionuclides</w:t>
      </w:r>
      <w:proofErr w:type="spellEnd"/>
      <w:r>
        <w:t xml:space="preserve"> to high concentrations (Fisher et al 1987; </w:t>
      </w:r>
      <w:proofErr w:type="spellStart"/>
      <w:r>
        <w:t>Vandenhove</w:t>
      </w:r>
      <w:proofErr w:type="spellEnd"/>
      <w:r>
        <w:t xml:space="preserve"> et al 2010) and it is thus important to include the activity concentration associated with suspended particles in the calculation of CRs. </w:t>
      </w:r>
    </w:p>
    <w:p w:rsidR="00856EAE" w:rsidRDefault="00856EAE" w:rsidP="00856EAE">
      <w:pPr>
        <w:pStyle w:val="tablecaption"/>
      </w:pPr>
      <w:bookmarkStart w:id="31" w:name="_Toc433624055"/>
      <w:r w:rsidRPr="000E55B0">
        <w:rPr>
          <w:b/>
        </w:rPr>
        <w:t>Table 1</w:t>
      </w:r>
      <w:r>
        <w:t xml:space="preserve"> Concentration ratios in L·</w:t>
      </w:r>
      <w:r w:rsidRPr="00930B6F">
        <w:t>kg</w:t>
      </w:r>
      <w:r w:rsidRPr="00B8284A">
        <w:rPr>
          <w:snapToGrid w:val="0"/>
          <w:color w:val="000000"/>
          <w:position w:val="6"/>
          <w:sz w:val="16"/>
          <w:szCs w:val="0"/>
          <w:u w:color="000000"/>
        </w:rPr>
        <w:t>-</w:t>
      </w:r>
      <w:proofErr w:type="gramStart"/>
      <w:r w:rsidRPr="00B8284A">
        <w:rPr>
          <w:snapToGrid w:val="0"/>
          <w:color w:val="000000"/>
          <w:position w:val="6"/>
          <w:sz w:val="16"/>
          <w:szCs w:val="0"/>
          <w:u w:color="000000"/>
        </w:rPr>
        <w:t>1</w:t>
      </w:r>
      <w:r>
        <w:t xml:space="preserve">  (</w:t>
      </w:r>
      <w:proofErr w:type="gramEnd"/>
      <w:r>
        <w:t xml:space="preserve">relative to total water </w:t>
      </w:r>
      <w:r w:rsidRPr="00A520DB">
        <w:rPr>
          <w:snapToGrid w:val="0"/>
          <w:color w:val="000000"/>
          <w:position w:val="4"/>
          <w:sz w:val="12"/>
          <w:szCs w:val="0"/>
          <w:u w:color="000000"/>
        </w:rPr>
        <w:t>226</w:t>
      </w:r>
      <w:r>
        <w:t>Ra activity concentrations) for freshwater mussel flesh (from Johnston et al 1984)</w:t>
      </w:r>
      <w:bookmarkEnd w:id="31"/>
    </w:p>
    <w:tbl>
      <w:tblPr>
        <w:tblStyle w:val="TableGrid"/>
        <w:tblW w:w="8364" w:type="dxa"/>
        <w:tblInd w:w="108" w:type="dxa"/>
        <w:tblLayout w:type="fixed"/>
        <w:tblLook w:val="04A0"/>
      </w:tblPr>
      <w:tblGrid>
        <w:gridCol w:w="959"/>
        <w:gridCol w:w="1593"/>
        <w:gridCol w:w="1701"/>
        <w:gridCol w:w="1559"/>
        <w:gridCol w:w="1418"/>
        <w:gridCol w:w="1134"/>
      </w:tblGrid>
      <w:tr w:rsidR="00856EAE" w:rsidRPr="003E036C" w:rsidTr="00DA31CB">
        <w:tc>
          <w:tcPr>
            <w:tcW w:w="959" w:type="dxa"/>
          </w:tcPr>
          <w:p w:rsidR="00856EAE" w:rsidRPr="003E036C" w:rsidRDefault="00856EAE" w:rsidP="003714D8">
            <w:pPr>
              <w:pStyle w:val="table1"/>
              <w:rPr>
                <w:b/>
                <w:sz w:val="18"/>
                <w:szCs w:val="18"/>
              </w:rPr>
            </w:pPr>
            <w:r>
              <w:rPr>
                <w:b/>
                <w:sz w:val="18"/>
                <w:szCs w:val="18"/>
              </w:rPr>
              <w:t>Isotope</w:t>
            </w:r>
          </w:p>
        </w:tc>
        <w:tc>
          <w:tcPr>
            <w:tcW w:w="1593" w:type="dxa"/>
          </w:tcPr>
          <w:p w:rsidR="00856EAE" w:rsidRPr="003E036C" w:rsidRDefault="00856EAE" w:rsidP="003714D8">
            <w:pPr>
              <w:pStyle w:val="table1"/>
              <w:rPr>
                <w:b/>
                <w:sz w:val="18"/>
                <w:szCs w:val="18"/>
              </w:rPr>
            </w:pPr>
            <w:r w:rsidRPr="003E036C">
              <w:rPr>
                <w:b/>
                <w:sz w:val="18"/>
                <w:szCs w:val="18"/>
              </w:rPr>
              <w:t>Georgetown BB</w:t>
            </w:r>
          </w:p>
        </w:tc>
        <w:tc>
          <w:tcPr>
            <w:tcW w:w="1701" w:type="dxa"/>
          </w:tcPr>
          <w:p w:rsidR="00856EAE" w:rsidRPr="003E036C" w:rsidRDefault="00856EAE" w:rsidP="003714D8">
            <w:pPr>
              <w:pStyle w:val="table1"/>
              <w:rPr>
                <w:b/>
                <w:sz w:val="18"/>
                <w:szCs w:val="18"/>
              </w:rPr>
            </w:pPr>
            <w:r w:rsidRPr="003E036C">
              <w:rPr>
                <w:b/>
                <w:sz w:val="18"/>
                <w:szCs w:val="18"/>
              </w:rPr>
              <w:t>Mudginberri BB</w:t>
            </w:r>
          </w:p>
        </w:tc>
        <w:tc>
          <w:tcPr>
            <w:tcW w:w="1559" w:type="dxa"/>
          </w:tcPr>
          <w:p w:rsidR="00856EAE" w:rsidRPr="003E036C" w:rsidRDefault="00856EAE" w:rsidP="003714D8">
            <w:pPr>
              <w:pStyle w:val="table1"/>
              <w:rPr>
                <w:b/>
                <w:sz w:val="18"/>
                <w:szCs w:val="18"/>
              </w:rPr>
            </w:pPr>
            <w:r w:rsidRPr="003E036C">
              <w:rPr>
                <w:b/>
                <w:sz w:val="18"/>
                <w:szCs w:val="18"/>
              </w:rPr>
              <w:t>Leichhardt</w:t>
            </w:r>
            <w:r>
              <w:rPr>
                <w:b/>
                <w:sz w:val="18"/>
                <w:szCs w:val="18"/>
              </w:rPr>
              <w:t xml:space="preserve"> BB</w:t>
            </w:r>
          </w:p>
        </w:tc>
        <w:tc>
          <w:tcPr>
            <w:tcW w:w="1418" w:type="dxa"/>
          </w:tcPr>
          <w:p w:rsidR="00856EAE" w:rsidRPr="003E036C" w:rsidRDefault="00856EAE" w:rsidP="003714D8">
            <w:pPr>
              <w:pStyle w:val="table1"/>
              <w:rPr>
                <w:b/>
                <w:sz w:val="18"/>
                <w:szCs w:val="18"/>
              </w:rPr>
            </w:pPr>
            <w:r w:rsidRPr="003E036C">
              <w:rPr>
                <w:b/>
                <w:sz w:val="18"/>
                <w:szCs w:val="18"/>
              </w:rPr>
              <w:t>Corndorl</w:t>
            </w:r>
            <w:r>
              <w:rPr>
                <w:b/>
                <w:sz w:val="18"/>
                <w:szCs w:val="18"/>
              </w:rPr>
              <w:t xml:space="preserve"> BB</w:t>
            </w:r>
          </w:p>
        </w:tc>
        <w:tc>
          <w:tcPr>
            <w:tcW w:w="1134" w:type="dxa"/>
          </w:tcPr>
          <w:p w:rsidR="00856EAE" w:rsidRPr="003E036C" w:rsidRDefault="00856EAE" w:rsidP="003714D8">
            <w:pPr>
              <w:pStyle w:val="table1"/>
              <w:rPr>
                <w:b/>
                <w:sz w:val="18"/>
                <w:szCs w:val="18"/>
              </w:rPr>
            </w:pPr>
            <w:r>
              <w:rPr>
                <w:b/>
                <w:sz w:val="18"/>
                <w:szCs w:val="18"/>
              </w:rPr>
              <w:t>Average</w:t>
            </w:r>
          </w:p>
        </w:tc>
      </w:tr>
      <w:tr w:rsidR="00856EAE" w:rsidRPr="003E036C" w:rsidTr="00DA31CB">
        <w:tc>
          <w:tcPr>
            <w:tcW w:w="959" w:type="dxa"/>
          </w:tcPr>
          <w:p w:rsidR="00856EAE" w:rsidRPr="003E036C" w:rsidRDefault="00856EAE" w:rsidP="003714D8">
            <w:pPr>
              <w:pStyle w:val="table1"/>
              <w:ind w:left="-142" w:firstLine="142"/>
              <w:jc w:val="center"/>
              <w:rPr>
                <w:sz w:val="18"/>
                <w:szCs w:val="18"/>
              </w:rPr>
            </w:pPr>
            <w:r w:rsidRPr="003E036C">
              <w:rPr>
                <w:snapToGrid w:val="0"/>
                <w:color w:val="000000"/>
                <w:position w:val="4"/>
                <w:sz w:val="12"/>
                <w:szCs w:val="0"/>
                <w:u w:color="000000"/>
              </w:rPr>
              <w:t>238</w:t>
            </w:r>
            <w:r>
              <w:rPr>
                <w:sz w:val="18"/>
                <w:szCs w:val="18"/>
              </w:rPr>
              <w:t>U</w:t>
            </w:r>
          </w:p>
        </w:tc>
        <w:tc>
          <w:tcPr>
            <w:tcW w:w="1593" w:type="dxa"/>
          </w:tcPr>
          <w:p w:rsidR="00856EAE" w:rsidRPr="003E036C" w:rsidRDefault="00856EAE" w:rsidP="003714D8">
            <w:pPr>
              <w:pStyle w:val="table1"/>
              <w:jc w:val="center"/>
              <w:rPr>
                <w:sz w:val="18"/>
                <w:szCs w:val="18"/>
              </w:rPr>
            </w:pPr>
            <w:r w:rsidRPr="003E036C">
              <w:rPr>
                <w:sz w:val="18"/>
                <w:szCs w:val="18"/>
              </w:rPr>
              <w:t>50</w:t>
            </w:r>
          </w:p>
        </w:tc>
        <w:tc>
          <w:tcPr>
            <w:tcW w:w="1701" w:type="dxa"/>
          </w:tcPr>
          <w:p w:rsidR="00856EAE" w:rsidRPr="003E036C" w:rsidRDefault="00856EAE" w:rsidP="003714D8">
            <w:pPr>
              <w:pStyle w:val="table1"/>
              <w:jc w:val="center"/>
              <w:rPr>
                <w:sz w:val="18"/>
                <w:szCs w:val="18"/>
              </w:rPr>
            </w:pPr>
            <w:r w:rsidRPr="003E036C">
              <w:rPr>
                <w:sz w:val="18"/>
                <w:szCs w:val="18"/>
              </w:rPr>
              <w:t>&gt;225</w:t>
            </w:r>
          </w:p>
        </w:tc>
        <w:tc>
          <w:tcPr>
            <w:tcW w:w="1559" w:type="dxa"/>
          </w:tcPr>
          <w:p w:rsidR="00856EAE" w:rsidRPr="003E036C" w:rsidRDefault="00856EAE" w:rsidP="003714D8">
            <w:pPr>
              <w:pStyle w:val="table1"/>
              <w:jc w:val="center"/>
              <w:rPr>
                <w:sz w:val="18"/>
                <w:szCs w:val="18"/>
              </w:rPr>
            </w:pPr>
            <w:r w:rsidRPr="003E036C">
              <w:rPr>
                <w:sz w:val="18"/>
                <w:szCs w:val="18"/>
              </w:rPr>
              <w:t>&gt;615</w:t>
            </w:r>
          </w:p>
        </w:tc>
        <w:tc>
          <w:tcPr>
            <w:tcW w:w="1418" w:type="dxa"/>
          </w:tcPr>
          <w:p w:rsidR="00856EAE" w:rsidRPr="003E036C" w:rsidRDefault="00856EAE" w:rsidP="003714D8">
            <w:pPr>
              <w:pStyle w:val="table1"/>
              <w:jc w:val="center"/>
              <w:rPr>
                <w:sz w:val="18"/>
                <w:szCs w:val="18"/>
              </w:rPr>
            </w:pPr>
            <w:r w:rsidRPr="003E036C">
              <w:rPr>
                <w:sz w:val="18"/>
                <w:szCs w:val="18"/>
              </w:rPr>
              <w:t>&gt;490</w:t>
            </w:r>
          </w:p>
        </w:tc>
        <w:tc>
          <w:tcPr>
            <w:tcW w:w="1134" w:type="dxa"/>
          </w:tcPr>
          <w:p w:rsidR="00856EAE" w:rsidRPr="003E036C" w:rsidRDefault="00856EAE" w:rsidP="003714D8">
            <w:pPr>
              <w:pStyle w:val="table1"/>
              <w:jc w:val="center"/>
              <w:rPr>
                <w:sz w:val="18"/>
                <w:szCs w:val="18"/>
              </w:rPr>
            </w:pPr>
          </w:p>
        </w:tc>
      </w:tr>
      <w:tr w:rsidR="00856EAE" w:rsidRPr="003E036C" w:rsidTr="00DA31CB">
        <w:tc>
          <w:tcPr>
            <w:tcW w:w="959" w:type="dxa"/>
          </w:tcPr>
          <w:p w:rsidR="00856EAE" w:rsidRPr="003E036C" w:rsidRDefault="00856EAE" w:rsidP="003714D8">
            <w:pPr>
              <w:pStyle w:val="table1"/>
              <w:jc w:val="center"/>
              <w:rPr>
                <w:sz w:val="18"/>
                <w:szCs w:val="18"/>
              </w:rPr>
            </w:pPr>
            <w:r w:rsidRPr="003E036C">
              <w:rPr>
                <w:snapToGrid w:val="0"/>
                <w:color w:val="000000"/>
                <w:position w:val="4"/>
                <w:sz w:val="12"/>
                <w:szCs w:val="0"/>
                <w:u w:color="000000"/>
              </w:rPr>
              <w:t>226</w:t>
            </w:r>
            <w:r>
              <w:rPr>
                <w:sz w:val="18"/>
                <w:szCs w:val="18"/>
              </w:rPr>
              <w:t>Ra</w:t>
            </w:r>
          </w:p>
        </w:tc>
        <w:tc>
          <w:tcPr>
            <w:tcW w:w="1593" w:type="dxa"/>
          </w:tcPr>
          <w:p w:rsidR="00856EAE" w:rsidRPr="003E036C" w:rsidRDefault="00856EAE" w:rsidP="003714D8">
            <w:pPr>
              <w:pStyle w:val="table1"/>
              <w:jc w:val="center"/>
              <w:rPr>
                <w:sz w:val="18"/>
                <w:szCs w:val="18"/>
              </w:rPr>
            </w:pPr>
            <w:r w:rsidRPr="003E036C">
              <w:rPr>
                <w:sz w:val="18"/>
                <w:szCs w:val="18"/>
              </w:rPr>
              <w:t>6700</w:t>
            </w:r>
          </w:p>
        </w:tc>
        <w:tc>
          <w:tcPr>
            <w:tcW w:w="1701" w:type="dxa"/>
          </w:tcPr>
          <w:p w:rsidR="00856EAE" w:rsidRPr="003E036C" w:rsidRDefault="00856EAE" w:rsidP="003714D8">
            <w:pPr>
              <w:pStyle w:val="table1"/>
              <w:jc w:val="center"/>
              <w:rPr>
                <w:sz w:val="18"/>
                <w:szCs w:val="18"/>
              </w:rPr>
            </w:pPr>
            <w:r w:rsidRPr="003E036C">
              <w:rPr>
                <w:sz w:val="18"/>
                <w:szCs w:val="18"/>
              </w:rPr>
              <w:t>27</w:t>
            </w:r>
            <w:r>
              <w:rPr>
                <w:sz w:val="18"/>
                <w:szCs w:val="18"/>
              </w:rPr>
              <w:t>,</w:t>
            </w:r>
            <w:r w:rsidRPr="003E036C">
              <w:rPr>
                <w:sz w:val="18"/>
                <w:szCs w:val="18"/>
              </w:rPr>
              <w:t>000</w:t>
            </w:r>
          </w:p>
        </w:tc>
        <w:tc>
          <w:tcPr>
            <w:tcW w:w="1559" w:type="dxa"/>
          </w:tcPr>
          <w:p w:rsidR="00856EAE" w:rsidRPr="003E036C" w:rsidRDefault="00856EAE" w:rsidP="003714D8">
            <w:pPr>
              <w:pStyle w:val="table1"/>
              <w:jc w:val="center"/>
              <w:rPr>
                <w:sz w:val="18"/>
                <w:szCs w:val="18"/>
              </w:rPr>
            </w:pPr>
            <w:r w:rsidRPr="003E036C">
              <w:rPr>
                <w:sz w:val="18"/>
                <w:szCs w:val="18"/>
              </w:rPr>
              <w:t>5200</w:t>
            </w:r>
          </w:p>
        </w:tc>
        <w:tc>
          <w:tcPr>
            <w:tcW w:w="1418" w:type="dxa"/>
          </w:tcPr>
          <w:p w:rsidR="00856EAE" w:rsidRPr="003E036C" w:rsidRDefault="00856EAE" w:rsidP="003714D8">
            <w:pPr>
              <w:pStyle w:val="table1"/>
              <w:jc w:val="center"/>
              <w:rPr>
                <w:sz w:val="18"/>
                <w:szCs w:val="18"/>
              </w:rPr>
            </w:pPr>
            <w:r w:rsidRPr="003E036C">
              <w:rPr>
                <w:sz w:val="18"/>
                <w:szCs w:val="18"/>
              </w:rPr>
              <w:t>38</w:t>
            </w:r>
            <w:r>
              <w:rPr>
                <w:sz w:val="18"/>
                <w:szCs w:val="18"/>
              </w:rPr>
              <w:t>,</w:t>
            </w:r>
            <w:r w:rsidRPr="003E036C">
              <w:rPr>
                <w:sz w:val="18"/>
                <w:szCs w:val="18"/>
              </w:rPr>
              <w:t>000</w:t>
            </w:r>
          </w:p>
        </w:tc>
        <w:tc>
          <w:tcPr>
            <w:tcW w:w="1134" w:type="dxa"/>
          </w:tcPr>
          <w:p w:rsidR="00856EAE" w:rsidRPr="000B3ECA" w:rsidRDefault="00856EAE" w:rsidP="003714D8">
            <w:pPr>
              <w:pStyle w:val="table1"/>
              <w:jc w:val="center"/>
              <w:rPr>
                <w:b/>
                <w:sz w:val="18"/>
                <w:szCs w:val="18"/>
              </w:rPr>
            </w:pPr>
            <w:r w:rsidRPr="000B3ECA">
              <w:rPr>
                <w:b/>
                <w:sz w:val="18"/>
                <w:szCs w:val="18"/>
              </w:rPr>
              <w:t>19,000</w:t>
            </w:r>
          </w:p>
        </w:tc>
      </w:tr>
      <w:tr w:rsidR="00856EAE" w:rsidRPr="003E036C" w:rsidTr="00DA31CB">
        <w:tc>
          <w:tcPr>
            <w:tcW w:w="959" w:type="dxa"/>
          </w:tcPr>
          <w:p w:rsidR="00856EAE" w:rsidRPr="003E036C" w:rsidRDefault="00856EAE" w:rsidP="003714D8">
            <w:pPr>
              <w:pStyle w:val="table1"/>
              <w:jc w:val="center"/>
              <w:rPr>
                <w:sz w:val="18"/>
                <w:szCs w:val="18"/>
              </w:rPr>
            </w:pPr>
            <w:r w:rsidRPr="003E036C">
              <w:rPr>
                <w:snapToGrid w:val="0"/>
                <w:color w:val="000000"/>
                <w:position w:val="4"/>
                <w:sz w:val="12"/>
                <w:szCs w:val="0"/>
                <w:u w:color="000000"/>
              </w:rPr>
              <w:t>210</w:t>
            </w:r>
            <w:r>
              <w:rPr>
                <w:sz w:val="18"/>
                <w:szCs w:val="18"/>
              </w:rPr>
              <w:t>Pb</w:t>
            </w:r>
          </w:p>
        </w:tc>
        <w:tc>
          <w:tcPr>
            <w:tcW w:w="1593" w:type="dxa"/>
          </w:tcPr>
          <w:p w:rsidR="00856EAE" w:rsidRPr="003E036C" w:rsidRDefault="00856EAE" w:rsidP="003714D8">
            <w:pPr>
              <w:pStyle w:val="table1"/>
              <w:jc w:val="center"/>
              <w:rPr>
                <w:sz w:val="18"/>
                <w:szCs w:val="18"/>
              </w:rPr>
            </w:pPr>
            <w:r w:rsidRPr="003E036C">
              <w:rPr>
                <w:sz w:val="18"/>
                <w:szCs w:val="18"/>
              </w:rPr>
              <w:t>890</w:t>
            </w:r>
          </w:p>
        </w:tc>
        <w:tc>
          <w:tcPr>
            <w:tcW w:w="1701" w:type="dxa"/>
          </w:tcPr>
          <w:p w:rsidR="00856EAE" w:rsidRPr="003E036C" w:rsidRDefault="00856EAE" w:rsidP="003714D8">
            <w:pPr>
              <w:pStyle w:val="table1"/>
              <w:jc w:val="center"/>
              <w:rPr>
                <w:sz w:val="18"/>
                <w:szCs w:val="18"/>
              </w:rPr>
            </w:pPr>
            <w:r w:rsidRPr="003E036C">
              <w:rPr>
                <w:sz w:val="18"/>
                <w:szCs w:val="18"/>
              </w:rPr>
              <w:t>8400</w:t>
            </w:r>
          </w:p>
        </w:tc>
        <w:tc>
          <w:tcPr>
            <w:tcW w:w="1559" w:type="dxa"/>
          </w:tcPr>
          <w:p w:rsidR="00856EAE" w:rsidRPr="003E036C" w:rsidRDefault="00856EAE" w:rsidP="003714D8">
            <w:pPr>
              <w:pStyle w:val="table1"/>
              <w:jc w:val="center"/>
              <w:rPr>
                <w:sz w:val="18"/>
                <w:szCs w:val="18"/>
              </w:rPr>
            </w:pPr>
            <w:r w:rsidRPr="003E036C">
              <w:rPr>
                <w:sz w:val="18"/>
                <w:szCs w:val="18"/>
              </w:rPr>
              <w:t>3300</w:t>
            </w:r>
          </w:p>
        </w:tc>
        <w:tc>
          <w:tcPr>
            <w:tcW w:w="1418" w:type="dxa"/>
          </w:tcPr>
          <w:p w:rsidR="00856EAE" w:rsidRPr="003E036C" w:rsidRDefault="00856EAE" w:rsidP="003714D8">
            <w:pPr>
              <w:pStyle w:val="table1"/>
              <w:jc w:val="center"/>
              <w:rPr>
                <w:sz w:val="18"/>
                <w:szCs w:val="18"/>
              </w:rPr>
            </w:pPr>
            <w:r w:rsidRPr="003E036C">
              <w:rPr>
                <w:sz w:val="18"/>
                <w:szCs w:val="18"/>
              </w:rPr>
              <w:t>7800</w:t>
            </w:r>
          </w:p>
        </w:tc>
        <w:tc>
          <w:tcPr>
            <w:tcW w:w="1134" w:type="dxa"/>
          </w:tcPr>
          <w:p w:rsidR="00856EAE" w:rsidRPr="000B3ECA" w:rsidRDefault="00856EAE" w:rsidP="003714D8">
            <w:pPr>
              <w:pStyle w:val="table1"/>
              <w:jc w:val="center"/>
              <w:rPr>
                <w:b/>
                <w:sz w:val="18"/>
                <w:szCs w:val="18"/>
              </w:rPr>
            </w:pPr>
            <w:r w:rsidRPr="000B3ECA">
              <w:rPr>
                <w:b/>
                <w:sz w:val="18"/>
                <w:szCs w:val="18"/>
              </w:rPr>
              <w:t>5100</w:t>
            </w:r>
          </w:p>
        </w:tc>
      </w:tr>
    </w:tbl>
    <w:p w:rsidR="00DC080F" w:rsidRDefault="00DC080F" w:rsidP="00DC080F"/>
    <w:p w:rsidR="00856EAE" w:rsidRDefault="000E55B0" w:rsidP="000E55B0">
      <w:pPr>
        <w:pStyle w:val="Heading2"/>
      </w:pPr>
      <w:bookmarkStart w:id="32" w:name="_Toc443054573"/>
      <w:proofErr w:type="gramStart"/>
      <w:r>
        <w:t xml:space="preserve">1.3  </w:t>
      </w:r>
      <w:r w:rsidR="00856EAE">
        <w:t>Radiation</w:t>
      </w:r>
      <w:proofErr w:type="gramEnd"/>
      <w:r w:rsidR="00856EAE">
        <w:t xml:space="preserve"> protection of humans</w:t>
      </w:r>
      <w:bookmarkEnd w:id="32"/>
    </w:p>
    <w:p w:rsidR="00856EAE" w:rsidRDefault="00856EAE" w:rsidP="00856EAE">
      <w:pPr>
        <w:pStyle w:val="Heading3"/>
      </w:pPr>
      <w:bookmarkStart w:id="33" w:name="_Toc443054574"/>
      <w:r>
        <w:t>1.3.1 Ingestion pathway approach</w:t>
      </w:r>
      <w:bookmarkEnd w:id="33"/>
    </w:p>
    <w:p w:rsidR="00856EAE" w:rsidRDefault="00856EAE" w:rsidP="00856EAE">
      <w:r>
        <w:t xml:space="preserve">To determine effective doses from the ingestion of radionuclides downstream of an operating mine, the total effective dose </w:t>
      </w:r>
      <w:r w:rsidRPr="000B3ECA">
        <w:rPr>
          <w:i/>
        </w:rPr>
        <w:t>H</w:t>
      </w:r>
      <w:r>
        <w:t xml:space="preserve"> to local people harvesting aquatic bushfoods and ingesting certain  biota tissues is calculated using the following equation:</w:t>
      </w:r>
    </w:p>
    <w:p w:rsidR="00856EAE" w:rsidRDefault="00856EAE" w:rsidP="00856EAE"/>
    <w:p w:rsidR="00856EAE" w:rsidRDefault="00856EAE" w:rsidP="00856EAE">
      <w:pPr>
        <w:rPr>
          <w:lang w:val="en-US"/>
        </w:rPr>
      </w:pPr>
      <m:oMath>
        <m:r>
          <w:rPr>
            <w:rFonts w:ascii="Cambria Math" w:hAnsi="Cambria Math"/>
          </w:rPr>
          <m:t>H=</m:t>
        </m:r>
        <m:nary>
          <m:naryPr>
            <m:chr m:val="∑"/>
            <m:limLoc m:val="undOvr"/>
            <m:supHide m:val="on"/>
            <m:ctrlPr>
              <w:rPr>
                <w:rFonts w:ascii="Cambria Math" w:hAnsi="Cambria Math"/>
                <w:i/>
              </w:rPr>
            </m:ctrlPr>
          </m:naryPr>
          <m:sub>
            <m:r>
              <w:rPr>
                <w:rFonts w:ascii="Cambria Math" w:hAnsi="Cambria Math"/>
              </w:rPr>
              <m:t>i</m:t>
            </m:r>
          </m:sub>
          <m:sup/>
          <m:e>
            <m:nary>
              <m:naryPr>
                <m:chr m:val="∑"/>
                <m:limLoc m:val="undOvr"/>
                <m:supHide m:val="on"/>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CR</m:t>
                    </m:r>
                  </m:e>
                  <m:sub>
                    <m:r>
                      <w:rPr>
                        <w:rFonts w:ascii="Cambria Math" w:hAnsi="Cambria Math"/>
                      </w:rPr>
                      <m:t>i,j</m:t>
                    </m:r>
                  </m:sub>
                </m:sSub>
              </m:e>
            </m:nary>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j</m:t>
                </m:r>
              </m:sub>
            </m:sSub>
          </m:e>
        </m:nary>
        <m:r>
          <w:rPr>
            <w:rFonts w:ascii="Cambria Math" w:hAnsi="Cambria Math"/>
          </w:rPr>
          <m:t>∙</m:t>
        </m:r>
        <m:sSub>
          <m:sSubPr>
            <m:ctrlPr>
              <w:rPr>
                <w:rFonts w:ascii="Cambria Math" w:hAnsi="Cambria Math"/>
                <w:i/>
              </w:rPr>
            </m:ctrlPr>
          </m:sSubPr>
          <m:e>
            <m:r>
              <w:rPr>
                <w:rFonts w:ascii="Cambria Math" w:hAnsi="Cambria Math"/>
              </w:rPr>
              <m:t>DCC</m:t>
            </m:r>
          </m:e>
          <m:sub>
            <m:r>
              <w:rPr>
                <w:rFonts w:ascii="Cambria Math" w:hAnsi="Cambria Math"/>
              </w:rPr>
              <m:t>i</m:t>
            </m:r>
          </m:sub>
        </m:sSub>
      </m:oMath>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(2)</w:t>
      </w:r>
    </w:p>
    <w:p w:rsidR="00856EAE" w:rsidRDefault="00856EAE" w:rsidP="00856EAE"/>
    <w:p w:rsidR="00856EAE" w:rsidRPr="00D54DE7" w:rsidRDefault="00856EAE" w:rsidP="00856EAE">
      <w:pPr>
        <w:rPr>
          <w:lang w:val="en-US"/>
        </w:rPr>
      </w:pPr>
      <w:r>
        <w:t>With:</w:t>
      </w:r>
    </w:p>
    <w:p w:rsidR="00856EAE" w:rsidRDefault="00856EAE" w:rsidP="00856EAE">
      <w:r>
        <w:t>A</w:t>
      </w:r>
      <w:r w:rsidRPr="006F5BD6">
        <w:rPr>
          <w:snapToGrid w:val="0"/>
          <w:color w:val="000000"/>
          <w:position w:val="-6"/>
          <w:sz w:val="16"/>
          <w:szCs w:val="0"/>
          <w:u w:color="000000"/>
        </w:rPr>
        <w:t>i</w:t>
      </w:r>
      <w:r>
        <w:t>:</w:t>
      </w:r>
      <w:r>
        <w:tab/>
      </w:r>
      <w:r>
        <w:tab/>
        <w:t>activity concentration (Bq·L</w:t>
      </w:r>
      <w:r w:rsidRPr="006F5BD6">
        <w:rPr>
          <w:snapToGrid w:val="0"/>
          <w:color w:val="000000"/>
          <w:position w:val="6"/>
          <w:sz w:val="16"/>
          <w:szCs w:val="0"/>
          <w:u w:color="000000"/>
        </w:rPr>
        <w:t>-1</w:t>
      </w:r>
      <w:r>
        <w:t xml:space="preserve">) of radionuclide </w:t>
      </w:r>
      <w:r w:rsidRPr="00AB26D6">
        <w:rPr>
          <w:i/>
        </w:rPr>
        <w:t>i</w:t>
      </w:r>
      <w:r>
        <w:t xml:space="preserve"> in water</w:t>
      </w:r>
    </w:p>
    <w:p w:rsidR="00856EAE" w:rsidRDefault="00856EAE" w:rsidP="00856EAE">
      <w:r>
        <w:t>CR</w:t>
      </w:r>
      <w:r w:rsidRPr="006F5BD6">
        <w:rPr>
          <w:snapToGrid w:val="0"/>
          <w:color w:val="000000"/>
          <w:position w:val="-6"/>
          <w:sz w:val="16"/>
          <w:szCs w:val="0"/>
          <w:u w:color="000000"/>
        </w:rPr>
        <w:t>i,j</w:t>
      </w:r>
      <w:r>
        <w:t>:</w:t>
      </w:r>
      <w:r>
        <w:tab/>
        <w:t>concentration ratio (L·kg</w:t>
      </w:r>
      <w:r w:rsidRPr="00AB26D6">
        <w:rPr>
          <w:snapToGrid w:val="0"/>
          <w:color w:val="000000"/>
          <w:position w:val="6"/>
          <w:sz w:val="16"/>
          <w:szCs w:val="0"/>
          <w:u w:color="000000"/>
        </w:rPr>
        <w:t>-1</w:t>
      </w:r>
      <w:r>
        <w:t xml:space="preserve"> wet tissue) of radionuclide </w:t>
      </w:r>
      <w:r w:rsidRPr="00AB26D6">
        <w:rPr>
          <w:i/>
        </w:rPr>
        <w:t>i</w:t>
      </w:r>
      <w:r>
        <w:t xml:space="preserve"> in food item tissue </w:t>
      </w:r>
      <w:r w:rsidRPr="00AB26D6">
        <w:rPr>
          <w:i/>
        </w:rPr>
        <w:t>j</w:t>
      </w:r>
    </w:p>
    <w:p w:rsidR="00856EAE" w:rsidRDefault="00856EAE" w:rsidP="00856EAE">
      <w:r>
        <w:t>m</w:t>
      </w:r>
      <w:r w:rsidRPr="006F5BD6">
        <w:rPr>
          <w:snapToGrid w:val="0"/>
          <w:color w:val="000000"/>
          <w:position w:val="-6"/>
          <w:sz w:val="16"/>
          <w:szCs w:val="0"/>
          <w:u w:color="000000"/>
        </w:rPr>
        <w:t>j</w:t>
      </w:r>
      <w:r>
        <w:t>:</w:t>
      </w:r>
      <w:r>
        <w:tab/>
      </w:r>
      <w:r>
        <w:tab/>
        <w:t xml:space="preserve">weight of tissue type </w:t>
      </w:r>
      <w:r w:rsidRPr="00AB26D6">
        <w:rPr>
          <w:i/>
        </w:rPr>
        <w:t>j</w:t>
      </w:r>
      <w:r>
        <w:t xml:space="preserve"> consumed (kg)</w:t>
      </w:r>
    </w:p>
    <w:p w:rsidR="00856EAE" w:rsidRDefault="00856EAE" w:rsidP="00856EAE">
      <w:r>
        <w:t>DCC</w:t>
      </w:r>
      <w:r w:rsidRPr="006F5BD6">
        <w:rPr>
          <w:snapToGrid w:val="0"/>
          <w:color w:val="000000"/>
          <w:position w:val="-6"/>
          <w:sz w:val="16"/>
          <w:szCs w:val="0"/>
          <w:u w:color="000000"/>
        </w:rPr>
        <w:t>i</w:t>
      </w:r>
      <w:r>
        <w:t>:</w:t>
      </w:r>
      <w:r>
        <w:tab/>
        <w:t xml:space="preserve">dose conversion coefficient of radionuclide </w:t>
      </w:r>
      <w:r w:rsidRPr="00AB26D6">
        <w:rPr>
          <w:i/>
        </w:rPr>
        <w:t>i</w:t>
      </w:r>
      <w:r>
        <w:t xml:space="preserve"> (Sv·Bq</w:t>
      </w:r>
      <w:r w:rsidRPr="00AB26D6">
        <w:rPr>
          <w:vertAlign w:val="superscript"/>
        </w:rPr>
        <w:t>-1</w:t>
      </w:r>
      <w:r>
        <w:t>)</w:t>
      </w:r>
    </w:p>
    <w:p w:rsidR="00856EAE" w:rsidRDefault="00856EAE" w:rsidP="00856EAE">
      <w:pPr>
        <w:pStyle w:val="Heading3"/>
      </w:pPr>
      <w:bookmarkStart w:id="34" w:name="_Toc443054575"/>
      <w:r>
        <w:t>1.3.2 Existing operational radium-226 water quality limit based on human radiological protection criteria</w:t>
      </w:r>
      <w:bookmarkEnd w:id="34"/>
    </w:p>
    <w:p w:rsidR="00856EAE" w:rsidRDefault="00856EAE" w:rsidP="00856EAE">
      <w:pPr>
        <w:rPr>
          <w:lang w:val="en-US"/>
        </w:rPr>
      </w:pPr>
      <w:r>
        <w:t xml:space="preserve">Water quality </w:t>
      </w:r>
      <w:r w:rsidRPr="009C4082">
        <w:t>upstream and downstream of Ranger</w:t>
      </w:r>
      <w:r>
        <w:t xml:space="preserve"> has been measured routinely in Magela Creek by </w:t>
      </w:r>
      <w:r>
        <w:rPr>
          <w:b/>
          <w:i/>
          <w:sz w:val="26"/>
        </w:rPr>
        <w:t>eriss</w:t>
      </w:r>
      <w:r>
        <w:t xml:space="preserve">  since 2000. Klessa (2001a</w:t>
      </w:r>
      <w:proofErr w:type="gramStart"/>
      <w:r>
        <w:t>,b</w:t>
      </w:r>
      <w:proofErr w:type="gramEnd"/>
      <w:r>
        <w:t>) has summarised previous data to der</w:t>
      </w:r>
      <w:r w:rsidRPr="009C4082">
        <w:t xml:space="preserve">ive </w:t>
      </w:r>
      <w:r>
        <w:t xml:space="preserve">water quality </w:t>
      </w:r>
      <w:r w:rsidR="00EB29CA">
        <w:t xml:space="preserve">objectives </w:t>
      </w:r>
      <w:r w:rsidRPr="009C4082">
        <w:t xml:space="preserve">for </w:t>
      </w:r>
      <w:r>
        <w:t xml:space="preserve">mine origin inputs downstream of RUM. While many of the water quality </w:t>
      </w:r>
      <w:r w:rsidR="00EB29CA">
        <w:t xml:space="preserve">objectives </w:t>
      </w:r>
      <w:r>
        <w:t xml:space="preserve">have been derived </w:t>
      </w:r>
      <w:proofErr w:type="gramStart"/>
      <w:r>
        <w:t>from  statistical</w:t>
      </w:r>
      <w:proofErr w:type="gramEnd"/>
      <w:r>
        <w:t xml:space="preserve"> analysis of upstream data, </w:t>
      </w:r>
      <w:r w:rsidRPr="00B8284A">
        <w:rPr>
          <w:lang w:val="en-US"/>
        </w:rPr>
        <w:t>the</w:t>
      </w:r>
      <w:r>
        <w:rPr>
          <w:lang w:val="en-US"/>
        </w:rPr>
        <w:t xml:space="preserve"> current</w:t>
      </w:r>
      <w:r w:rsidRPr="00B8284A">
        <w:rPr>
          <w:lang w:val="en-US"/>
        </w:rPr>
        <w:t xml:space="preserve"> limit for </w:t>
      </w:r>
      <w:r w:rsidRPr="00B8284A">
        <w:rPr>
          <w:snapToGrid w:val="0"/>
          <w:color w:val="000000"/>
          <w:position w:val="6"/>
          <w:sz w:val="16"/>
          <w:szCs w:val="0"/>
          <w:u w:color="000000"/>
        </w:rPr>
        <w:t>226</w:t>
      </w:r>
      <w:r>
        <w:t>Ra (10 mBq·L</w:t>
      </w:r>
      <w:r w:rsidRPr="00B8284A">
        <w:rPr>
          <w:vertAlign w:val="superscript"/>
        </w:rPr>
        <w:t>-1</w:t>
      </w:r>
      <w:r>
        <w:t xml:space="preserve">) </w:t>
      </w:r>
      <w:r>
        <w:rPr>
          <w:lang w:val="en-US"/>
        </w:rPr>
        <w:t>is based on</w:t>
      </w:r>
      <w:r w:rsidRPr="00B8284A">
        <w:rPr>
          <w:lang w:val="en-US"/>
        </w:rPr>
        <w:t xml:space="preserve"> human radiological protection </w:t>
      </w:r>
      <w:r>
        <w:rPr>
          <w:lang w:val="en-US"/>
        </w:rPr>
        <w:t xml:space="preserve">considerations </w:t>
      </w:r>
      <w:r>
        <w:t>(Klessa</w:t>
      </w:r>
      <w:r w:rsidRPr="00B8284A">
        <w:rPr>
          <w:lang w:val="en-US"/>
        </w:rPr>
        <w:t xml:space="preserve"> 2001b)</w:t>
      </w:r>
      <w:r>
        <w:rPr>
          <w:lang w:val="en-US"/>
        </w:rPr>
        <w:t xml:space="preserve">. </w:t>
      </w:r>
    </w:p>
    <w:p w:rsidR="00856EAE" w:rsidRDefault="00856EAE" w:rsidP="00856EAE">
      <w:pPr>
        <w:rPr>
          <w:lang w:val="en-US"/>
        </w:rPr>
      </w:pPr>
      <w:r>
        <w:rPr>
          <w:lang w:val="en-US"/>
        </w:rPr>
        <w:t xml:space="preserve">The limit for </w:t>
      </w:r>
      <w:r w:rsidRPr="00EA7C6F">
        <w:rPr>
          <w:snapToGrid w:val="0"/>
          <w:color w:val="000000"/>
          <w:position w:val="6"/>
          <w:sz w:val="16"/>
          <w:szCs w:val="0"/>
          <w:u w:color="000000"/>
          <w:lang w:val="en-US"/>
        </w:rPr>
        <w:t>226</w:t>
      </w:r>
      <w:r>
        <w:rPr>
          <w:lang w:val="en-US"/>
        </w:rPr>
        <w:t>Ra in Magela creek</w:t>
      </w:r>
      <w:r w:rsidRPr="00B8284A">
        <w:rPr>
          <w:lang w:val="en-US"/>
        </w:rPr>
        <w:t xml:space="preserve"> applies to the increase above natural background in total </w:t>
      </w:r>
      <w:r w:rsidRPr="00B8284A">
        <w:rPr>
          <w:snapToGrid w:val="0"/>
          <w:color w:val="000000"/>
          <w:position w:val="6"/>
          <w:sz w:val="16"/>
          <w:szCs w:val="0"/>
          <w:u w:color="000000"/>
        </w:rPr>
        <w:t>226</w:t>
      </w:r>
      <w:r>
        <w:t xml:space="preserve">Ra activity </w:t>
      </w:r>
      <w:r w:rsidRPr="00B8284A">
        <w:rPr>
          <w:lang w:val="en-US"/>
        </w:rPr>
        <w:t xml:space="preserve">concentration in surface waters downstream of </w:t>
      </w:r>
      <w:r>
        <w:rPr>
          <w:lang w:val="en-US"/>
        </w:rPr>
        <w:t>RUM</w:t>
      </w:r>
      <w:r w:rsidRPr="00B8284A">
        <w:rPr>
          <w:lang w:val="en-US"/>
        </w:rPr>
        <w:t xml:space="preserve">.  It </w:t>
      </w:r>
      <w:r>
        <w:rPr>
          <w:lang w:val="en-US"/>
        </w:rPr>
        <w:t>was</w:t>
      </w:r>
      <w:r w:rsidRPr="00B8284A">
        <w:rPr>
          <w:lang w:val="en-US"/>
        </w:rPr>
        <w:t xml:space="preserve"> derived based on the following assumptions</w:t>
      </w:r>
      <w:r>
        <w:rPr>
          <w:lang w:val="en-US"/>
        </w:rPr>
        <w:t>:</w:t>
      </w:r>
      <w:r w:rsidRPr="00B8284A">
        <w:rPr>
          <w:lang w:val="en-US"/>
        </w:rPr>
        <w:t xml:space="preserve"> (i) a dose constraint of 0.3 mSv per year above natural background from the ingestion of </w:t>
      </w:r>
      <w:r w:rsidRPr="00B8284A">
        <w:rPr>
          <w:snapToGrid w:val="0"/>
          <w:color w:val="000000"/>
          <w:position w:val="6"/>
          <w:sz w:val="16"/>
          <w:szCs w:val="0"/>
          <w:u w:color="000000"/>
        </w:rPr>
        <w:t>226</w:t>
      </w:r>
      <w:r>
        <w:t xml:space="preserve">Ra </w:t>
      </w:r>
      <w:r w:rsidRPr="00B8284A">
        <w:rPr>
          <w:lang w:val="en-US"/>
        </w:rPr>
        <w:t xml:space="preserve">in mussels, (ii) a 10 year old child consuming 2 kg (wet weight) of mussels annually, and (iii) a </w:t>
      </w:r>
      <w:r>
        <w:rPr>
          <w:lang w:val="en-US"/>
        </w:rPr>
        <w:t>CR</w:t>
      </w:r>
      <w:r w:rsidRPr="00B8284A">
        <w:rPr>
          <w:lang w:val="en-US"/>
        </w:rPr>
        <w:t xml:space="preserve"> for mussels </w:t>
      </w:r>
      <w:r w:rsidRPr="00930B6F">
        <w:t>of 19</w:t>
      </w:r>
      <w:r>
        <w:t>,000</w:t>
      </w:r>
      <w:r w:rsidRPr="00930B6F">
        <w:t xml:space="preserve"> </w:t>
      </w:r>
      <w:r>
        <w:t>L·</w:t>
      </w:r>
      <w:r w:rsidRPr="00930B6F">
        <w:t>kg</w:t>
      </w:r>
      <w:r w:rsidRPr="00B8284A">
        <w:rPr>
          <w:snapToGrid w:val="0"/>
          <w:color w:val="000000"/>
          <w:position w:val="6"/>
          <w:sz w:val="16"/>
          <w:szCs w:val="0"/>
          <w:u w:color="000000"/>
        </w:rPr>
        <w:t>-1</w:t>
      </w:r>
      <w:r w:rsidRPr="00930B6F">
        <w:t xml:space="preserve"> for </w:t>
      </w:r>
      <w:r w:rsidRPr="00B8284A">
        <w:rPr>
          <w:snapToGrid w:val="0"/>
          <w:color w:val="000000"/>
          <w:position w:val="6"/>
          <w:sz w:val="16"/>
          <w:szCs w:val="0"/>
          <w:u w:color="000000"/>
        </w:rPr>
        <w:t>226</w:t>
      </w:r>
      <w:r>
        <w:t>Ra</w:t>
      </w:r>
      <w:r w:rsidRPr="00930B6F">
        <w:t xml:space="preserve"> from the water column</w:t>
      </w:r>
      <w:r>
        <w:t xml:space="preserve"> (Johnston et al 1984; 1987)</w:t>
      </w:r>
      <w:r w:rsidRPr="00930B6F">
        <w:t>.</w:t>
      </w:r>
      <w:r>
        <w:t xml:space="preserve"> With these assumptions and considering the </w:t>
      </w:r>
      <w:r w:rsidRPr="00B8284A">
        <w:rPr>
          <w:snapToGrid w:val="0"/>
          <w:color w:val="000000"/>
          <w:position w:val="6"/>
          <w:sz w:val="16"/>
          <w:szCs w:val="0"/>
          <w:u w:color="000000"/>
        </w:rPr>
        <w:t>226</w:t>
      </w:r>
      <w:r>
        <w:t xml:space="preserve">Ra activity </w:t>
      </w:r>
      <w:r w:rsidRPr="00B8284A">
        <w:rPr>
          <w:lang w:val="en-US"/>
        </w:rPr>
        <w:t>concentration</w:t>
      </w:r>
      <w:r>
        <w:rPr>
          <w:lang w:val="en-US"/>
        </w:rPr>
        <w:t xml:space="preserve"> in mussels only, equation (2) simplifies and reduces to:</w:t>
      </w:r>
    </w:p>
    <w:p w:rsidR="00856EAE" w:rsidRDefault="00856EAE" w:rsidP="00856EAE"/>
    <w:p w:rsidR="00856EAE" w:rsidRDefault="00464059" w:rsidP="00856EAE">
      <m:oMath>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Ra-226</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mussel</m:t>
                </m:r>
              </m:sub>
            </m:sSub>
            <m:r>
              <w:rPr>
                <w:rFonts w:ascii="Cambria Math" w:hAnsi="Cambria Math"/>
              </w:rPr>
              <m:t>∙</m:t>
            </m:r>
            <m:sSub>
              <m:sSubPr>
                <m:ctrlPr>
                  <w:rPr>
                    <w:rFonts w:ascii="Cambria Math" w:hAnsi="Cambria Math"/>
                    <w:i/>
                  </w:rPr>
                </m:ctrlPr>
              </m:sSubPr>
              <m:e>
                <m:r>
                  <w:rPr>
                    <w:rFonts w:ascii="Cambria Math" w:hAnsi="Cambria Math"/>
                  </w:rPr>
                  <m:t>CR</m:t>
                </m:r>
              </m:e>
              <m:sub>
                <m:r>
                  <w:rPr>
                    <w:rFonts w:ascii="Cambria Math" w:hAnsi="Cambria Math"/>
                  </w:rPr>
                  <m:t>Ra-226,mussel</m:t>
                </m:r>
              </m:sub>
            </m:sSub>
            <m:r>
              <w:rPr>
                <w:rFonts w:ascii="Cambria Math" w:hAnsi="Cambria Math"/>
              </w:rPr>
              <m:t>∙A</m:t>
            </m:r>
          </m:e>
          <m:sub>
            <m:r>
              <w:rPr>
                <w:rFonts w:ascii="Cambria Math" w:hAnsi="Cambria Math"/>
              </w:rPr>
              <m:t>Ra-226</m:t>
            </m:r>
          </m:sub>
        </m:sSub>
        <m:sSub>
          <m:sSubPr>
            <m:ctrlPr>
              <w:rPr>
                <w:rFonts w:ascii="Cambria Math" w:hAnsi="Cambria Math"/>
                <w:i/>
              </w:rPr>
            </m:ctrlPr>
          </m:sSubPr>
          <m:e>
            <m:r>
              <w:rPr>
                <w:rFonts w:ascii="Cambria Math" w:hAnsi="Cambria Math"/>
              </w:rPr>
              <m:t>∙DCC</m:t>
            </m:r>
          </m:e>
          <m:sub>
            <m:r>
              <w:rPr>
                <w:rFonts w:ascii="Cambria Math" w:hAnsi="Cambria Math"/>
              </w:rPr>
              <m:t>Ra-226</m:t>
            </m:r>
          </m:sub>
        </m:sSub>
      </m:oMath>
      <w:r w:rsidR="00856EAE">
        <w:tab/>
      </w:r>
      <w:r w:rsidR="00856EAE">
        <w:tab/>
      </w:r>
      <w:r w:rsidR="00856EAE">
        <w:tab/>
      </w:r>
      <w:r w:rsidR="00856EAE">
        <w:tab/>
      </w:r>
      <w:r w:rsidR="00856EAE">
        <w:tab/>
      </w:r>
      <w:r w:rsidR="00856EAE">
        <w:tab/>
        <w:t>(3)</w:t>
      </w:r>
    </w:p>
    <w:p w:rsidR="00856EAE" w:rsidRDefault="00856EAE" w:rsidP="00856EAE"/>
    <w:p w:rsidR="00856EAE" w:rsidRPr="00D54DE7" w:rsidRDefault="00856EAE" w:rsidP="00856EAE">
      <w:pPr>
        <w:rPr>
          <w:lang w:val="en-US"/>
        </w:rPr>
      </w:pPr>
      <w:r>
        <w:t>With:</w:t>
      </w:r>
    </w:p>
    <w:p w:rsidR="00856EAE" w:rsidRDefault="00856EAE" w:rsidP="00856EAE">
      <w:r>
        <w:t>A</w:t>
      </w:r>
      <w:r>
        <w:rPr>
          <w:snapToGrid w:val="0"/>
          <w:color w:val="000000"/>
          <w:position w:val="-6"/>
          <w:sz w:val="16"/>
          <w:szCs w:val="0"/>
          <w:u w:color="000000"/>
        </w:rPr>
        <w:t>Ra-226</w:t>
      </w:r>
      <w:r>
        <w:t>:</w:t>
      </w:r>
      <w:r>
        <w:tab/>
      </w:r>
      <w:r>
        <w:tab/>
      </w:r>
      <w:r>
        <w:tab/>
        <w:t>total activity concentration (Bq·L</w:t>
      </w:r>
      <w:r w:rsidRPr="006F5BD6">
        <w:rPr>
          <w:snapToGrid w:val="0"/>
          <w:color w:val="000000"/>
          <w:position w:val="6"/>
          <w:sz w:val="16"/>
          <w:szCs w:val="0"/>
          <w:u w:color="000000"/>
        </w:rPr>
        <w:t>-1</w:t>
      </w:r>
      <w:r>
        <w:t xml:space="preserve">) of </w:t>
      </w:r>
      <w:r w:rsidRPr="00EA7C6F">
        <w:rPr>
          <w:snapToGrid w:val="0"/>
          <w:color w:val="000000"/>
          <w:position w:val="6"/>
          <w:sz w:val="16"/>
          <w:szCs w:val="0"/>
          <w:u w:color="000000"/>
          <w:lang w:val="en-US"/>
        </w:rPr>
        <w:t>226</w:t>
      </w:r>
      <w:r>
        <w:rPr>
          <w:lang w:val="en-US"/>
        </w:rPr>
        <w:t xml:space="preserve">Ra </w:t>
      </w:r>
      <w:r>
        <w:t>in water above background</w:t>
      </w:r>
    </w:p>
    <w:p w:rsidR="00856EAE" w:rsidRDefault="00856EAE" w:rsidP="00856EAE">
      <w:r w:rsidRPr="00B8284A">
        <w:rPr>
          <w:lang w:val="en-US"/>
        </w:rPr>
        <w:t>C</w:t>
      </w:r>
      <w:r>
        <w:rPr>
          <w:lang w:val="en-US"/>
        </w:rPr>
        <w:t>R</w:t>
      </w:r>
      <w:r>
        <w:rPr>
          <w:snapToGrid w:val="0"/>
          <w:color w:val="000000"/>
          <w:position w:val="-6"/>
          <w:sz w:val="16"/>
          <w:szCs w:val="0"/>
          <w:u w:color="000000"/>
          <w:lang w:val="en-US"/>
        </w:rPr>
        <w:t>Ra-226</w:t>
      </w:r>
      <w:r w:rsidRPr="00963E5F">
        <w:rPr>
          <w:snapToGrid w:val="0"/>
          <w:color w:val="000000"/>
          <w:position w:val="-6"/>
          <w:sz w:val="16"/>
          <w:szCs w:val="0"/>
          <w:u w:color="000000"/>
          <w:lang w:val="en-US"/>
        </w:rPr>
        <w:t>,</w:t>
      </w:r>
      <w:r>
        <w:rPr>
          <w:snapToGrid w:val="0"/>
          <w:color w:val="000000"/>
          <w:position w:val="-6"/>
          <w:sz w:val="16"/>
          <w:szCs w:val="0"/>
          <w:u w:color="000000"/>
          <w:lang w:val="en-US"/>
        </w:rPr>
        <w:t>mussel</w:t>
      </w:r>
      <w:r>
        <w:t>:</w:t>
      </w:r>
      <w:r>
        <w:tab/>
      </w:r>
      <w:r w:rsidRPr="00B8284A">
        <w:rPr>
          <w:lang w:val="en-US"/>
        </w:rPr>
        <w:t xml:space="preserve">concentration ratio for mussels </w:t>
      </w:r>
      <w:r w:rsidRPr="00930B6F">
        <w:t xml:space="preserve">for </w:t>
      </w:r>
      <w:r w:rsidRPr="00B8284A">
        <w:rPr>
          <w:snapToGrid w:val="0"/>
          <w:color w:val="000000"/>
          <w:position w:val="6"/>
          <w:sz w:val="16"/>
          <w:szCs w:val="0"/>
          <w:u w:color="000000"/>
        </w:rPr>
        <w:t>226</w:t>
      </w:r>
      <w:r>
        <w:t>Ra</w:t>
      </w:r>
      <w:r w:rsidRPr="00930B6F">
        <w:t xml:space="preserve"> from the water column</w:t>
      </w:r>
      <w:r>
        <w:t xml:space="preserve"> (L·kg</w:t>
      </w:r>
      <w:r w:rsidRPr="00AB26D6">
        <w:rPr>
          <w:snapToGrid w:val="0"/>
          <w:color w:val="000000"/>
          <w:position w:val="6"/>
          <w:sz w:val="16"/>
          <w:szCs w:val="0"/>
          <w:u w:color="000000"/>
        </w:rPr>
        <w:t>-1</w:t>
      </w:r>
      <w:r>
        <w:t>)</w:t>
      </w:r>
    </w:p>
    <w:p w:rsidR="00856EAE" w:rsidRDefault="00856EAE" w:rsidP="00856EAE">
      <w:r>
        <w:t>m</w:t>
      </w:r>
      <w:r>
        <w:rPr>
          <w:snapToGrid w:val="0"/>
          <w:color w:val="000000"/>
          <w:position w:val="-6"/>
          <w:sz w:val="16"/>
          <w:szCs w:val="0"/>
          <w:u w:color="000000"/>
        </w:rPr>
        <w:t>mussel</w:t>
      </w:r>
      <w:r>
        <w:t>:</w:t>
      </w:r>
      <w:r>
        <w:tab/>
      </w:r>
      <w:r>
        <w:tab/>
      </w:r>
      <w:r>
        <w:tab/>
        <w:t>weight of mussel tissue consumed (kg)</w:t>
      </w:r>
    </w:p>
    <w:p w:rsidR="00856EAE" w:rsidRPr="00AB26D6" w:rsidRDefault="00856EAE" w:rsidP="00856EAE">
      <w:r>
        <w:t>DCC</w:t>
      </w:r>
      <w:r w:rsidRPr="006F5BD6">
        <w:rPr>
          <w:snapToGrid w:val="0"/>
          <w:color w:val="000000"/>
          <w:position w:val="-6"/>
          <w:sz w:val="16"/>
          <w:szCs w:val="0"/>
          <w:u w:color="000000"/>
        </w:rPr>
        <w:t>i</w:t>
      </w:r>
      <w:r>
        <w:t>:</w:t>
      </w:r>
      <w:r>
        <w:tab/>
      </w:r>
      <w:r>
        <w:tab/>
      </w:r>
      <w:r>
        <w:tab/>
        <w:t xml:space="preserve">dose conversion coefficient </w:t>
      </w:r>
      <w:r w:rsidRPr="00930B6F">
        <w:t xml:space="preserve">for </w:t>
      </w:r>
      <w:r w:rsidRPr="00B8284A">
        <w:rPr>
          <w:snapToGrid w:val="0"/>
          <w:color w:val="000000"/>
          <w:position w:val="6"/>
          <w:sz w:val="16"/>
          <w:szCs w:val="0"/>
          <w:u w:color="000000"/>
        </w:rPr>
        <w:t>226</w:t>
      </w:r>
      <w:r>
        <w:t>Ra</w:t>
      </w:r>
      <w:r w:rsidRPr="00930B6F">
        <w:t xml:space="preserve"> </w:t>
      </w:r>
      <w:r>
        <w:t>(Sv·Bq</w:t>
      </w:r>
      <w:r w:rsidRPr="00AB26D6">
        <w:rPr>
          <w:vertAlign w:val="superscript"/>
        </w:rPr>
        <w:t>-1</w:t>
      </w:r>
      <w:r>
        <w:t>).</w:t>
      </w:r>
    </w:p>
    <w:p w:rsidR="00856EAE" w:rsidRDefault="00856EAE" w:rsidP="00856EAE"/>
    <w:p w:rsidR="00856EAE" w:rsidRDefault="00856EAE" w:rsidP="00856EAE">
      <w:r>
        <w:t xml:space="preserve">With the 3 assumptions above and using equation (3), a </w:t>
      </w:r>
      <w:r w:rsidRPr="00B8284A">
        <w:rPr>
          <w:snapToGrid w:val="0"/>
          <w:color w:val="000000"/>
          <w:position w:val="6"/>
          <w:sz w:val="16"/>
          <w:szCs w:val="0"/>
          <w:u w:color="000000"/>
        </w:rPr>
        <w:t>226</w:t>
      </w:r>
      <w:r>
        <w:t>Ra activity concentration limit of 10 mBq·L</w:t>
      </w:r>
      <w:r w:rsidRPr="00B8284A">
        <w:rPr>
          <w:vertAlign w:val="superscript"/>
        </w:rPr>
        <w:t>-1</w:t>
      </w:r>
      <w:r>
        <w:t xml:space="preserve"> above natural background in Magela creek water will lead to an annual dose of 0.3 mSv for a 10 yr old child from the ingestion of 2 kg wet weight of mussels.</w:t>
      </w:r>
    </w:p>
    <w:p w:rsidR="00856EAE" w:rsidRDefault="00856EAE" w:rsidP="00856EAE">
      <w:r>
        <w:t xml:space="preserve">Iles (2004) revised the water quality objectives for Magela Creek. For the total water </w:t>
      </w:r>
      <w:r w:rsidRPr="00B8284A">
        <w:rPr>
          <w:snapToGrid w:val="0"/>
          <w:color w:val="000000"/>
          <w:position w:val="6"/>
          <w:sz w:val="16"/>
          <w:szCs w:val="0"/>
          <w:u w:color="000000"/>
        </w:rPr>
        <w:t>226</w:t>
      </w:r>
      <w:r>
        <w:t>Ra activity concentration the objective is: “</w:t>
      </w:r>
      <w:r w:rsidRPr="004E7B72">
        <w:rPr>
          <w:i/>
        </w:rPr>
        <w:t xml:space="preserve">The median total </w:t>
      </w:r>
      <w:r w:rsidRPr="004E7B72">
        <w:rPr>
          <w:i/>
          <w:snapToGrid w:val="0"/>
          <w:color w:val="000000"/>
          <w:position w:val="6"/>
          <w:sz w:val="16"/>
          <w:szCs w:val="0"/>
          <w:u w:color="000000"/>
        </w:rPr>
        <w:t>226</w:t>
      </w:r>
      <w:r w:rsidRPr="004E7B72">
        <w:rPr>
          <w:i/>
        </w:rPr>
        <w:t>Ra activity concentration for the wet season at the downstream site will not be more than 10 mBq/L greater than that at the upstream site</w:t>
      </w:r>
      <w:r>
        <w:t>”. A measure of success for meeting this objective is that “</w:t>
      </w:r>
      <w:r w:rsidRPr="004E7B72">
        <w:rPr>
          <w:i/>
        </w:rPr>
        <w:t xml:space="preserve">the downstream median total </w:t>
      </w:r>
      <w:r w:rsidRPr="004E7B72">
        <w:rPr>
          <w:i/>
          <w:snapToGrid w:val="0"/>
          <w:color w:val="000000"/>
          <w:position w:val="6"/>
          <w:sz w:val="16"/>
          <w:szCs w:val="0"/>
          <w:u w:color="000000"/>
        </w:rPr>
        <w:t>226</w:t>
      </w:r>
      <w:r w:rsidRPr="004E7B72">
        <w:rPr>
          <w:i/>
        </w:rPr>
        <w:t xml:space="preserve">Ra activity concentration for the wet season minus the upstream median total </w:t>
      </w:r>
      <w:r w:rsidRPr="004E7B72">
        <w:rPr>
          <w:i/>
          <w:snapToGrid w:val="0"/>
          <w:color w:val="000000"/>
          <w:position w:val="6"/>
          <w:sz w:val="16"/>
          <w:szCs w:val="0"/>
          <w:u w:color="000000"/>
        </w:rPr>
        <w:t>226</w:t>
      </w:r>
      <w:r w:rsidRPr="004E7B72">
        <w:rPr>
          <w:i/>
        </w:rPr>
        <w:t>Ra activity concentration for the wet season is not greater than 10 mBq/L</w:t>
      </w:r>
      <w:r>
        <w:t>”.</w:t>
      </w:r>
    </w:p>
    <w:p w:rsidR="00856EAE" w:rsidRPr="00E82A74" w:rsidRDefault="00856EAE" w:rsidP="00856EAE">
      <w:pPr>
        <w:pStyle w:val="Heading2"/>
      </w:pPr>
      <w:bookmarkStart w:id="35" w:name="_Toc443054576"/>
      <w:r>
        <w:t>1.4  Radiation protection of the environment</w:t>
      </w:r>
      <w:bookmarkEnd w:id="35"/>
    </w:p>
    <w:p w:rsidR="00856EAE" w:rsidRDefault="00856EAE" w:rsidP="00856EAE">
      <w:pPr>
        <w:pStyle w:val="Heading3"/>
      </w:pPr>
      <w:bookmarkStart w:id="36" w:name="_Toc443054577"/>
      <w:r>
        <w:t>1.4.1  Approach</w:t>
      </w:r>
      <w:bookmarkEnd w:id="36"/>
    </w:p>
    <w:p w:rsidR="00856EAE" w:rsidRDefault="00856EAE" w:rsidP="00856EAE">
      <w:pPr>
        <w:rPr>
          <w:szCs w:val="24"/>
        </w:rPr>
      </w:pPr>
      <w:r>
        <w:rPr>
          <w:szCs w:val="24"/>
        </w:rPr>
        <w:t xml:space="preserve">Revisions of the </w:t>
      </w:r>
      <w:r w:rsidRPr="001F0372">
        <w:rPr>
          <w:szCs w:val="24"/>
        </w:rPr>
        <w:t xml:space="preserve">Australian Radiation Protection and Nuclear Safety </w:t>
      </w:r>
      <w:r w:rsidR="00D62FA2" w:rsidRPr="001F0372">
        <w:rPr>
          <w:szCs w:val="24"/>
        </w:rPr>
        <w:t>Agency</w:t>
      </w:r>
      <w:r w:rsidR="00D62FA2">
        <w:rPr>
          <w:szCs w:val="24"/>
        </w:rPr>
        <w:t>’s</w:t>
      </w:r>
      <w:r>
        <w:rPr>
          <w:szCs w:val="24"/>
        </w:rPr>
        <w:t xml:space="preserve"> (ARPANSA) National Directory for Radiation Protection (republished in February 2014) and Safety Fundamentals in </w:t>
      </w:r>
      <w:r w:rsidRPr="00EC2881">
        <w:rPr>
          <w:szCs w:val="24"/>
        </w:rPr>
        <w:t>Radiation Protection Series F-1</w:t>
      </w:r>
      <w:r>
        <w:rPr>
          <w:szCs w:val="24"/>
        </w:rPr>
        <w:t xml:space="preserve"> (ARPANSA 2014b) were undertaken </w:t>
      </w:r>
      <w:r w:rsidRPr="00E678EB">
        <w:rPr>
          <w:szCs w:val="24"/>
        </w:rPr>
        <w:t xml:space="preserve">to take account of more recent recommendations by the ICRP </w:t>
      </w:r>
      <w:r>
        <w:rPr>
          <w:szCs w:val="24"/>
        </w:rPr>
        <w:t>(</w:t>
      </w:r>
      <w:r w:rsidRPr="00E678EB">
        <w:rPr>
          <w:szCs w:val="24"/>
        </w:rPr>
        <w:t xml:space="preserve">ICRP </w:t>
      </w:r>
      <w:r>
        <w:rPr>
          <w:szCs w:val="24"/>
        </w:rPr>
        <w:t>2007; 2008)</w:t>
      </w:r>
      <w:r w:rsidRPr="00E678EB">
        <w:rPr>
          <w:szCs w:val="24"/>
        </w:rPr>
        <w:t xml:space="preserve"> and the revised IAEA Basic Safety Standards</w:t>
      </w:r>
      <w:r>
        <w:rPr>
          <w:szCs w:val="24"/>
        </w:rPr>
        <w:t xml:space="preserve"> (IAEA 2014) to explicitly include protection of the environment from the harmful effects of ionising radiation in national guidance documents. The Safety Fundamentals in </w:t>
      </w:r>
      <w:r w:rsidRPr="00EC2881">
        <w:rPr>
          <w:szCs w:val="24"/>
        </w:rPr>
        <w:t>Radiation Protection Series F-1</w:t>
      </w:r>
      <w:r>
        <w:rPr>
          <w:szCs w:val="24"/>
        </w:rPr>
        <w:t xml:space="preserve">  (which is the </w:t>
      </w:r>
      <w:r w:rsidRPr="00EC2881">
        <w:rPr>
          <w:szCs w:val="24"/>
        </w:rPr>
        <w:t>top tier document in the Australian national framework to manage risks from ionising radiation</w:t>
      </w:r>
      <w:r>
        <w:rPr>
          <w:szCs w:val="24"/>
        </w:rPr>
        <w:t xml:space="preserve">) explicitly includes </w:t>
      </w:r>
      <w:r w:rsidRPr="00E90784">
        <w:rPr>
          <w:szCs w:val="24"/>
        </w:rPr>
        <w:t>environmental exposures of wildlife in the natural environment</w:t>
      </w:r>
      <w:r>
        <w:rPr>
          <w:szCs w:val="24"/>
        </w:rPr>
        <w:t xml:space="preserve"> and state that “</w:t>
      </w:r>
      <w:r w:rsidRPr="00E90784">
        <w:rPr>
          <w:i/>
          <w:szCs w:val="24"/>
        </w:rPr>
        <w:t>Regulatory consideration of scenarios that may put the environment at risk (either individuals or species that may be protected for conservation purposes, or populations or ecosystems) protects against effects of ionising radiation of environmental concern</w:t>
      </w:r>
      <w:r>
        <w:rPr>
          <w:szCs w:val="24"/>
        </w:rPr>
        <w:t>”</w:t>
      </w:r>
      <w:r w:rsidRPr="00E90784">
        <w:rPr>
          <w:szCs w:val="24"/>
        </w:rPr>
        <w:t>.</w:t>
      </w:r>
      <w:r>
        <w:rPr>
          <w:szCs w:val="24"/>
        </w:rPr>
        <w:t xml:space="preserve"> Consequently, radiation doses to wildlife from radionuclides released into the environment by human activities should be considered and assessed, where the potential for environmental effects exists (</w:t>
      </w:r>
      <w:r w:rsidRPr="007258CB">
        <w:rPr>
          <w:szCs w:val="24"/>
        </w:rPr>
        <w:t xml:space="preserve">Supervising Scientist </w:t>
      </w:r>
      <w:r>
        <w:rPr>
          <w:szCs w:val="24"/>
        </w:rPr>
        <w:t>2014).</w:t>
      </w:r>
    </w:p>
    <w:p w:rsidR="00856EAE" w:rsidRDefault="00856EAE" w:rsidP="00856EAE">
      <w:r w:rsidRPr="00FF0FC3">
        <w:rPr>
          <w:szCs w:val="24"/>
        </w:rPr>
        <w:t>Environmental exposures are typically quantified as the above-background absorbed dose rate to wildlife from a radionuclide contaminated environment</w:t>
      </w:r>
      <w:r>
        <w:rPr>
          <w:szCs w:val="24"/>
        </w:rPr>
        <w:t xml:space="preserve"> and are typically </w:t>
      </w:r>
      <w:r w:rsidRPr="00FF0FC3">
        <w:rPr>
          <w:szCs w:val="24"/>
        </w:rPr>
        <w:t xml:space="preserve"> placed in a risk context by comparing to a benchmark dose rate</w:t>
      </w:r>
      <w:r>
        <w:rPr>
          <w:szCs w:val="24"/>
        </w:rPr>
        <w:t xml:space="preserve"> (Doering 2013)</w:t>
      </w:r>
      <w:r w:rsidRPr="00FF0FC3">
        <w:rPr>
          <w:szCs w:val="24"/>
        </w:rPr>
        <w:t>. The benchmark dose rate is an absorbed dose rate value that is considered to provide an acceptable level of protection to the environment; generally the prevention of deleterious impacts to wildlife populations and ecosystem biodiversity (</w:t>
      </w:r>
      <w:r>
        <w:rPr>
          <w:szCs w:val="24"/>
        </w:rPr>
        <w:t xml:space="preserve">Doering &amp; </w:t>
      </w:r>
      <w:proofErr w:type="spellStart"/>
      <w:r w:rsidRPr="00FF0FC3">
        <w:rPr>
          <w:szCs w:val="24"/>
        </w:rPr>
        <w:t>Bollhöfer</w:t>
      </w:r>
      <w:proofErr w:type="spellEnd"/>
      <w:r w:rsidRPr="00FF0FC3">
        <w:rPr>
          <w:szCs w:val="24"/>
        </w:rPr>
        <w:t xml:space="preserve"> </w:t>
      </w:r>
      <w:r>
        <w:rPr>
          <w:szCs w:val="24"/>
        </w:rPr>
        <w:t>2015</w:t>
      </w:r>
      <w:r w:rsidR="00033855">
        <w:rPr>
          <w:szCs w:val="24"/>
        </w:rPr>
        <w:t>a</w:t>
      </w:r>
      <w:r>
        <w:rPr>
          <w:szCs w:val="24"/>
        </w:rPr>
        <w:t xml:space="preserve">; </w:t>
      </w:r>
      <w:r w:rsidRPr="00FF0FC3">
        <w:rPr>
          <w:szCs w:val="24"/>
        </w:rPr>
        <w:t>ICRP, 2007, 2008).</w:t>
      </w:r>
      <w:r>
        <w:rPr>
          <w:szCs w:val="24"/>
        </w:rPr>
        <w:t xml:space="preserve"> The </w:t>
      </w:r>
      <w:r w:rsidRPr="00E92F2E">
        <w:rPr>
          <w:szCs w:val="24"/>
          <w:lang w:eastAsia="en-AU"/>
        </w:rPr>
        <w:t>United Nations Scientific Committee on the Effects of Atomic Radiation</w:t>
      </w:r>
      <w:r>
        <w:rPr>
          <w:szCs w:val="24"/>
        </w:rPr>
        <w:t xml:space="preserve"> (UNSCEAR) </w:t>
      </w:r>
      <w:r>
        <w:t xml:space="preserve">concluded from review of the scientific literature on radiation effects that </w:t>
      </w:r>
      <w:r w:rsidRPr="00625CE6">
        <w:rPr>
          <w:i/>
        </w:rPr>
        <w:t>“maximum dose rates of 400 uGy/h to a small proportion of the individuals in aquatic populations of organisms would not have any detrimental</w:t>
      </w:r>
      <w:r>
        <w:rPr>
          <w:i/>
        </w:rPr>
        <w:t xml:space="preserve"> effect at the population level</w:t>
      </w:r>
      <w:r w:rsidRPr="00625CE6">
        <w:rPr>
          <w:i/>
        </w:rPr>
        <w:t>”</w:t>
      </w:r>
      <w:r>
        <w:t xml:space="preserve"> (UNSCEAR, 1996, 2008).</w:t>
      </w:r>
    </w:p>
    <w:p w:rsidR="00856EAE" w:rsidRDefault="00856EAE" w:rsidP="00856EAE">
      <w:pPr>
        <w:rPr>
          <w:szCs w:val="24"/>
        </w:rPr>
      </w:pPr>
      <w:r>
        <w:rPr>
          <w:szCs w:val="24"/>
        </w:rPr>
        <w:t>Doering (201</w:t>
      </w:r>
      <w:r w:rsidR="00B65876">
        <w:rPr>
          <w:szCs w:val="24"/>
        </w:rPr>
        <w:t>0</w:t>
      </w:r>
      <w:r>
        <w:rPr>
          <w:szCs w:val="24"/>
        </w:rPr>
        <w:t xml:space="preserve">) has reviewed several approaches that are used to assess radiation doses to </w:t>
      </w:r>
      <w:r w:rsidRPr="00FF0FC3">
        <w:rPr>
          <w:szCs w:val="24"/>
        </w:rPr>
        <w:t>wildlife</w:t>
      </w:r>
      <w:r>
        <w:rPr>
          <w:szCs w:val="24"/>
        </w:rPr>
        <w:t xml:space="preserve">, to provide some </w:t>
      </w:r>
      <w:r w:rsidRPr="00742AE6">
        <w:rPr>
          <w:szCs w:val="24"/>
        </w:rPr>
        <w:t>national guidance on</w:t>
      </w:r>
      <w:r>
        <w:rPr>
          <w:szCs w:val="24"/>
        </w:rPr>
        <w:t xml:space="preserve"> available frameworks for radiation </w:t>
      </w:r>
      <w:r w:rsidRPr="00742AE6">
        <w:rPr>
          <w:szCs w:val="24"/>
        </w:rPr>
        <w:t xml:space="preserve">protection of </w:t>
      </w:r>
      <w:r w:rsidRPr="00FF0FC3">
        <w:rPr>
          <w:szCs w:val="24"/>
        </w:rPr>
        <w:t>wildlife</w:t>
      </w:r>
      <w:r w:rsidRPr="00742AE6">
        <w:rPr>
          <w:szCs w:val="24"/>
        </w:rPr>
        <w:t>, identified through the National Directory for</w:t>
      </w:r>
      <w:r>
        <w:rPr>
          <w:szCs w:val="24"/>
        </w:rPr>
        <w:t xml:space="preserve"> </w:t>
      </w:r>
      <w:r w:rsidRPr="00742AE6">
        <w:rPr>
          <w:szCs w:val="24"/>
        </w:rPr>
        <w:t>Radiation Protection</w:t>
      </w:r>
      <w:r>
        <w:rPr>
          <w:szCs w:val="24"/>
        </w:rPr>
        <w:t>. He concludes that t</w:t>
      </w:r>
      <w:r w:rsidRPr="00742AE6">
        <w:rPr>
          <w:szCs w:val="24"/>
        </w:rPr>
        <w:t>he ERICA Integrated Approach and ERICA Tool</w:t>
      </w:r>
      <w:r>
        <w:rPr>
          <w:szCs w:val="24"/>
        </w:rPr>
        <w:t xml:space="preserve"> (Brown et al 2008) </w:t>
      </w:r>
      <w:r w:rsidRPr="00742AE6">
        <w:rPr>
          <w:szCs w:val="24"/>
        </w:rPr>
        <w:t>provide a practical</w:t>
      </w:r>
      <w:r>
        <w:rPr>
          <w:szCs w:val="24"/>
        </w:rPr>
        <w:t xml:space="preserve"> </w:t>
      </w:r>
      <w:r w:rsidRPr="00742AE6">
        <w:rPr>
          <w:szCs w:val="24"/>
        </w:rPr>
        <w:t xml:space="preserve">framework for assessing absorbed dose rates to </w:t>
      </w:r>
      <w:r w:rsidRPr="00FF0FC3">
        <w:rPr>
          <w:szCs w:val="24"/>
        </w:rPr>
        <w:t>wildlife</w:t>
      </w:r>
      <w:r>
        <w:rPr>
          <w:szCs w:val="24"/>
        </w:rPr>
        <w:t xml:space="preserve">. Using the ERICA tool, absorbed dose rates to </w:t>
      </w:r>
      <w:r w:rsidRPr="00FF0FC3">
        <w:rPr>
          <w:szCs w:val="24"/>
        </w:rPr>
        <w:t xml:space="preserve">wildlife </w:t>
      </w:r>
      <w:r>
        <w:rPr>
          <w:szCs w:val="24"/>
        </w:rPr>
        <w:t>can be modelled and compared in a 3-Tier approach. Other tools are available, such as ResRad-Biota (Yu et al 2002) and K-Biota (Kum et al 2010). It is important to note that currently, radiation exposure of wildlife is not formally considered when deriving radiological water quality criteria for Magela Creek.</w:t>
      </w:r>
    </w:p>
    <w:p w:rsidR="00856EAE" w:rsidRDefault="000E55B0" w:rsidP="000E55B0">
      <w:pPr>
        <w:pStyle w:val="Heading3"/>
      </w:pPr>
      <w:bookmarkStart w:id="37" w:name="_Toc443054578"/>
      <w:proofErr w:type="gramStart"/>
      <w:r>
        <w:t xml:space="preserve">1.4.2  </w:t>
      </w:r>
      <w:r w:rsidR="00856EAE">
        <w:t>Aquatic</w:t>
      </w:r>
      <w:proofErr w:type="gramEnd"/>
      <w:r w:rsidR="00856EAE">
        <w:t xml:space="preserve"> organisms</w:t>
      </w:r>
      <w:bookmarkEnd w:id="37"/>
    </w:p>
    <w:p w:rsidR="00856EAE" w:rsidRDefault="00856EAE" w:rsidP="00856EAE">
      <w:r w:rsidRPr="0055245E">
        <w:t xml:space="preserve">Johnston et al </w:t>
      </w:r>
      <w:r>
        <w:t>(2005)</w:t>
      </w:r>
      <w:r w:rsidRPr="0055245E">
        <w:t xml:space="preserve"> calculated the weighted absorbed dose for nine species of biota resulting from a hypothetical release of four radionuclides (polonium, radium, thorium and uranium) into Magela Creek</w:t>
      </w:r>
      <w:r>
        <w:t xml:space="preserve"> (Figure 3)</w:t>
      </w:r>
      <w:r w:rsidRPr="0055245E">
        <w:t>.</w:t>
      </w:r>
      <w:r>
        <w:t xml:space="preserve"> They used and modified a spreadsheet based program developed by the UK Environment Protection Agency (Copplestone et al 2001), commonly referred to as R&amp;D 128. Johnston et al (2005)</w:t>
      </w:r>
      <w:r w:rsidRPr="0055245E">
        <w:t xml:space="preserve"> found that the freshwater mussel (</w:t>
      </w:r>
      <w:r w:rsidRPr="00E92F2E">
        <w:rPr>
          <w:i/>
        </w:rPr>
        <w:t>Velesunio angasi</w:t>
      </w:r>
      <w:r w:rsidRPr="0055245E">
        <w:t xml:space="preserve">) </w:t>
      </w:r>
      <w:r>
        <w:t>showed</w:t>
      </w:r>
      <w:r w:rsidRPr="0055245E">
        <w:t xml:space="preserve"> absorbed doses </w:t>
      </w:r>
      <w:r>
        <w:t xml:space="preserve">rates </w:t>
      </w:r>
      <w:r w:rsidRPr="0055245E">
        <w:t>at least one order of magnitude higher than any other studied organism</w:t>
      </w:r>
      <w:r>
        <w:t>,</w:t>
      </w:r>
      <w:r w:rsidRPr="0055245E">
        <w:t xml:space="preserve"> primarily (95%) resulting from the alpha decay of bioaccumulated </w:t>
      </w:r>
      <w:r w:rsidRPr="00EA7C6F">
        <w:rPr>
          <w:snapToGrid w:val="0"/>
          <w:color w:val="000000"/>
          <w:position w:val="6"/>
          <w:sz w:val="16"/>
          <w:szCs w:val="0"/>
          <w:u w:color="000000"/>
          <w:lang w:val="en-US"/>
        </w:rPr>
        <w:t>226</w:t>
      </w:r>
      <w:r>
        <w:rPr>
          <w:lang w:val="en-US"/>
        </w:rPr>
        <w:t xml:space="preserve">Ra </w:t>
      </w:r>
      <w:r>
        <w:t>and its decay products  (Sauerland et al 2005)</w:t>
      </w:r>
      <w:r w:rsidRPr="0055245E">
        <w:t>.</w:t>
      </w:r>
      <w:r>
        <w:t xml:space="preserve"> </w:t>
      </w:r>
    </w:p>
    <w:p w:rsidR="00856EAE" w:rsidRDefault="00856EAE" w:rsidP="00856EAE"/>
    <w:p w:rsidR="00856EAE" w:rsidRDefault="00856EAE" w:rsidP="00856EAE">
      <w:pPr>
        <w:jc w:val="center"/>
      </w:pPr>
      <w:r w:rsidRPr="00F34A25">
        <w:rPr>
          <w:noProof/>
          <w:lang w:eastAsia="en-AU"/>
        </w:rPr>
        <w:drawing>
          <wp:inline distT="0" distB="0" distL="0" distR="0">
            <wp:extent cx="4886325" cy="3057525"/>
            <wp:effectExtent l="0" t="0" r="0" b="0"/>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t="1468" b="3550"/>
                    <a:stretch>
                      <a:fillRect/>
                    </a:stretch>
                  </pic:blipFill>
                  <pic:spPr bwMode="auto">
                    <a:xfrm>
                      <a:off x="0" y="0"/>
                      <a:ext cx="4886325" cy="3057525"/>
                    </a:xfrm>
                    <a:prstGeom prst="rect">
                      <a:avLst/>
                    </a:prstGeom>
                    <a:noFill/>
                    <a:ln w="9525">
                      <a:noFill/>
                      <a:miter lim="800000"/>
                      <a:headEnd/>
                      <a:tailEnd/>
                    </a:ln>
                  </pic:spPr>
                </pic:pic>
              </a:graphicData>
            </a:graphic>
          </wp:inline>
        </w:drawing>
      </w:r>
    </w:p>
    <w:p w:rsidR="00856EAE" w:rsidRDefault="00856EAE" w:rsidP="00856EAE">
      <w:pPr>
        <w:pStyle w:val="figurecaption"/>
      </w:pPr>
      <w:bookmarkStart w:id="38" w:name="_Toc433624063"/>
      <w:r>
        <w:t xml:space="preserve">Figure </w:t>
      </w:r>
      <w:proofErr w:type="gramStart"/>
      <w:r>
        <w:t>3  Predicted</w:t>
      </w:r>
      <w:proofErr w:type="gramEnd"/>
      <w:r>
        <w:t xml:space="preserve"> contributions to the weighted absorbed dose for organisms in </w:t>
      </w:r>
      <w:r w:rsidR="00BF0B24">
        <w:t xml:space="preserve">Magela </w:t>
      </w:r>
      <w:r>
        <w:t>creek with an RP2 discharge rate of 2 m</w:t>
      </w:r>
      <w:r>
        <w:rPr>
          <w:rFonts w:ascii="Times" w:hAnsi="Times"/>
          <w:vertAlign w:val="superscript"/>
        </w:rPr>
        <w:t>3</w:t>
      </w:r>
      <w:r>
        <w:rPr>
          <w:rFonts w:cs="Arial"/>
        </w:rPr>
        <w:t>·</w:t>
      </w:r>
      <w:r>
        <w:t>s</w:t>
      </w:r>
      <w:r>
        <w:rPr>
          <w:rFonts w:ascii="Times" w:hAnsi="Times"/>
          <w:vertAlign w:val="superscript"/>
        </w:rPr>
        <w:t>-1</w:t>
      </w:r>
      <w:r>
        <w:t xml:space="preserve"> (from Johnston et al 2005).</w:t>
      </w:r>
      <w:bookmarkEnd w:id="38"/>
    </w:p>
    <w:p w:rsidR="00DC080F" w:rsidRDefault="00DC080F" w:rsidP="00DC080F">
      <w:r>
        <w:t xml:space="preserve">For their assessment Johnston et al (2005) used a similar approach to Martin (2000) and Martin et al (1998) for human dose assessment, in so far as they assumed a scenario in which RP2 water is released from the mine site, with water </w:t>
      </w:r>
      <w:r w:rsidRPr="00437C22">
        <w:rPr>
          <w:snapToGrid w:val="0"/>
          <w:color w:val="000000"/>
          <w:position w:val="6"/>
          <w:sz w:val="16"/>
          <w:szCs w:val="0"/>
          <w:u w:color="000000"/>
        </w:rPr>
        <w:t>226</w:t>
      </w:r>
      <w:r>
        <w:t xml:space="preserve">Ra activity concentrations approximately 70 times higher than activity concentrations of </w:t>
      </w:r>
      <w:r w:rsidRPr="00437C22">
        <w:rPr>
          <w:snapToGrid w:val="0"/>
          <w:color w:val="000000"/>
          <w:position w:val="6"/>
          <w:sz w:val="16"/>
          <w:szCs w:val="0"/>
          <w:u w:color="000000"/>
        </w:rPr>
        <w:t>210</w:t>
      </w:r>
      <w:r>
        <w:t xml:space="preserve">Po. Figure 3 is a reproduction of their results, showing that the magnitude of the absorbed effective dose to mussels will be from </w:t>
      </w:r>
      <w:r w:rsidRPr="00F34A25">
        <w:rPr>
          <w:snapToGrid w:val="0"/>
          <w:color w:val="000000"/>
          <w:position w:val="6"/>
          <w:sz w:val="16"/>
          <w:szCs w:val="0"/>
          <w:u w:color="000000"/>
        </w:rPr>
        <w:t>226</w:t>
      </w:r>
      <w:r>
        <w:t xml:space="preserve">Ra. It also shows that mussels are the limiting organism, as far as doses to aquatic wildlife in the Alligator Rivers Region from an assumed release of mine waters are concerned. </w:t>
      </w:r>
    </w:p>
    <w:p w:rsidR="00DC080F" w:rsidRDefault="00DC080F" w:rsidP="00DC080F">
      <w:r>
        <w:t>In this report we use the ERICA tool (Brown et al 2008) to undertake a dose assessment for mussels in Magela Creek that receive internal exposures from bioaccumulated radionuclides and external exposures from radionuclides in water and sediment.</w:t>
      </w:r>
    </w:p>
    <w:p w:rsidR="00856EAE" w:rsidRPr="0096405C" w:rsidRDefault="00856EAE" w:rsidP="00856EAE"/>
    <w:p w:rsidR="000E55B0" w:rsidRDefault="000E55B0">
      <w:pPr>
        <w:spacing w:after="0" w:line="240" w:lineRule="auto"/>
        <w:jc w:val="left"/>
        <w:rPr>
          <w:rFonts w:ascii="Arial" w:hAnsi="Arial"/>
          <w:b/>
          <w:sz w:val="36"/>
        </w:rPr>
      </w:pPr>
      <w:r>
        <w:br w:type="page"/>
      </w:r>
    </w:p>
    <w:p w:rsidR="00856EAE" w:rsidRDefault="00F70573" w:rsidP="00F70573">
      <w:pPr>
        <w:pStyle w:val="Heading1"/>
      </w:pPr>
      <w:bookmarkStart w:id="39" w:name="_Toc443054579"/>
      <w:proofErr w:type="gramStart"/>
      <w:r>
        <w:t xml:space="preserve">2  </w:t>
      </w:r>
      <w:r w:rsidR="00856EAE">
        <w:t>Methods</w:t>
      </w:r>
      <w:bookmarkEnd w:id="39"/>
      <w:proofErr w:type="gramEnd"/>
    </w:p>
    <w:p w:rsidR="00856EAE" w:rsidRPr="00095A3F" w:rsidRDefault="000E55B0" w:rsidP="00856EAE">
      <w:pPr>
        <w:pStyle w:val="Heading2"/>
      </w:pPr>
      <w:bookmarkStart w:id="40" w:name="_Toc443054580"/>
      <w:proofErr w:type="gramStart"/>
      <w:r>
        <w:t xml:space="preserve">2.1  </w:t>
      </w:r>
      <w:r w:rsidR="00856EAE" w:rsidRPr="00095A3F">
        <w:t>Data</w:t>
      </w:r>
      <w:proofErr w:type="gramEnd"/>
      <w:r w:rsidR="00856EAE" w:rsidRPr="00095A3F">
        <w:t xml:space="preserve"> provenance</w:t>
      </w:r>
      <w:bookmarkEnd w:id="40"/>
    </w:p>
    <w:p w:rsidR="00856EAE" w:rsidRDefault="00856EAE" w:rsidP="00856EAE">
      <w:r>
        <w:t>The data used in our study originates from annual collections of mussels and surface waters from Mudginberri Billabong</w:t>
      </w:r>
      <w:r w:rsidR="00BF0B24">
        <w:t xml:space="preserve"> (Figure 1)</w:t>
      </w:r>
      <w:r>
        <w:t xml:space="preserve">. These collections were made by eriss between 2000 and 2013 (inclusive) as part of its routine bioaccumulation monitoring program. Summaries of each collection have been published in Supervising Scientist </w:t>
      </w:r>
      <w:r w:rsidR="00B65876">
        <w:t>A</w:t>
      </w:r>
      <w:r>
        <w:t xml:space="preserve">nnual </w:t>
      </w:r>
      <w:r w:rsidR="00B65876">
        <w:t>R</w:t>
      </w:r>
      <w:r>
        <w:t>eports</w:t>
      </w:r>
      <w:r w:rsidR="00B65876">
        <w:t xml:space="preserve"> (Supervising Scientist, 2008, 2009 2014, 2015)</w:t>
      </w:r>
      <w:r>
        <w:t>.</w:t>
      </w:r>
    </w:p>
    <w:p w:rsidR="00856EAE" w:rsidRPr="00095A3F" w:rsidRDefault="00856EAE" w:rsidP="00856EAE">
      <w:pPr>
        <w:pStyle w:val="Heading3"/>
      </w:pPr>
      <w:bookmarkStart w:id="41" w:name="_Toc443054581"/>
      <w:proofErr w:type="gramStart"/>
      <w:r>
        <w:t>2.1.1</w:t>
      </w:r>
      <w:r w:rsidR="000E55B0">
        <w:t xml:space="preserve"> </w:t>
      </w:r>
      <w:r>
        <w:t xml:space="preserve"> </w:t>
      </w:r>
      <w:r w:rsidRPr="00095A3F">
        <w:t>Mussels</w:t>
      </w:r>
      <w:bookmarkEnd w:id="41"/>
      <w:proofErr w:type="gramEnd"/>
    </w:p>
    <w:p w:rsidR="00856EAE" w:rsidRDefault="00856EAE" w:rsidP="00856EAE">
      <w:r>
        <w:t>As part of the bioaccumulation monitoring program of the Supervising Scientist, mussels are collected each year from Mudginberri Billabong at the end of the dry season in September or October (Ryan et al 200</w:t>
      </w:r>
      <w:r w:rsidR="00B65876">
        <w:t>5</w:t>
      </w:r>
      <w:r>
        <w:t>). The 2007 collection was done in May at the end of the wet season as part of a larger study of radium bioaccumulation in mussels along Magela Creek (Bollhöfer et al. 2011). In 2008, mussels were collected at three different locations within Mudginberri Billabong, effectively giving three separate collections for that year (Supervising Scientist 2009). Mussels collected in each year other than 2009 and 2010 were aged and all mussels of the same age were combined to form a single sample for analysis. In 2009 and 2010, all mussels collected were combined into one bulk sample; results from these two years have not been used in this data analysis. Further details on the methods of mussel collection, processing, aging and analysis are provided in Ryan et al (200</w:t>
      </w:r>
      <w:r w:rsidR="00B65876">
        <w:t>5</w:t>
      </w:r>
      <w:r>
        <w:t xml:space="preserve">) and </w:t>
      </w:r>
      <w:proofErr w:type="spellStart"/>
      <w:r>
        <w:t>Bollhöfer</w:t>
      </w:r>
      <w:proofErr w:type="spellEnd"/>
      <w:r>
        <w:t xml:space="preserve"> et al. (2011).</w:t>
      </w:r>
    </w:p>
    <w:p w:rsidR="00856EAE" w:rsidRPr="00095A3F" w:rsidRDefault="00856EAE" w:rsidP="00856EAE">
      <w:pPr>
        <w:pStyle w:val="Heading3"/>
      </w:pPr>
      <w:bookmarkStart w:id="42" w:name="_Toc443054582"/>
      <w:proofErr w:type="gramStart"/>
      <w:r>
        <w:t>2.1.2</w:t>
      </w:r>
      <w:r w:rsidR="000E55B0">
        <w:t xml:space="preserve"> </w:t>
      </w:r>
      <w:r>
        <w:t xml:space="preserve"> </w:t>
      </w:r>
      <w:r w:rsidRPr="00095A3F">
        <w:t>Water</w:t>
      </w:r>
      <w:bookmarkEnd w:id="42"/>
      <w:proofErr w:type="gramEnd"/>
    </w:p>
    <w:p w:rsidR="00856EAE" w:rsidRDefault="00856EAE" w:rsidP="00856EAE">
      <w:r>
        <w:t>Surface water samples</w:t>
      </w:r>
      <w:r w:rsidRPr="007A0D30">
        <w:t xml:space="preserve"> </w:t>
      </w:r>
      <w:r>
        <w:t>from Mudginberri Billabong are collected at the same time that mussels are collected. The samples were filtered in all years other than 2013. Analysis of both the filtered water and particulate fractions was done in 2000, 2002, 2007, 2008 and 2012. Only the filtered water fraction was analysed in other years. Further details on the methods of water collection, processing, and analysis are provided in</w:t>
      </w:r>
      <w:r w:rsidRPr="00437C22">
        <w:t xml:space="preserve"> </w:t>
      </w:r>
      <w:r>
        <w:t>Ryan et al (200</w:t>
      </w:r>
      <w:r w:rsidR="00B65876">
        <w:t>5</w:t>
      </w:r>
      <w:r>
        <w:t xml:space="preserve">) and </w:t>
      </w:r>
      <w:proofErr w:type="spellStart"/>
      <w:r>
        <w:t>Bollhöfer</w:t>
      </w:r>
      <w:proofErr w:type="spellEnd"/>
      <w:r>
        <w:t xml:space="preserve"> et al. (2011).</w:t>
      </w:r>
    </w:p>
    <w:p w:rsidR="00856EAE" w:rsidRDefault="00856EAE" w:rsidP="00856EAE">
      <w:r>
        <w:t xml:space="preserve">To calculate total water </w:t>
      </w:r>
      <w:r w:rsidRPr="00EA7C6F">
        <w:rPr>
          <w:snapToGrid w:val="0"/>
          <w:color w:val="000000"/>
          <w:position w:val="6"/>
          <w:sz w:val="16"/>
          <w:szCs w:val="0"/>
          <w:u w:color="000000"/>
          <w:lang w:val="en-US"/>
        </w:rPr>
        <w:t>226</w:t>
      </w:r>
      <w:r>
        <w:rPr>
          <w:lang w:val="en-US"/>
        </w:rPr>
        <w:t xml:space="preserve">Ra </w:t>
      </w:r>
      <w:r>
        <w:t>activity concentrations, which have been used in this study to calculate CRs for mussels, the following data manipulations were applied:</w:t>
      </w:r>
    </w:p>
    <w:p w:rsidR="00856EAE" w:rsidRDefault="00856EAE" w:rsidP="00856EAE">
      <w:pPr>
        <w:pStyle w:val="ListParagraph"/>
        <w:numPr>
          <w:ilvl w:val="0"/>
          <w:numId w:val="24"/>
        </w:numPr>
      </w:pPr>
      <w:r>
        <w:t>results of the filtered water and particulate fractions were summed for those years where measurements on both had been made;</w:t>
      </w:r>
    </w:p>
    <w:p w:rsidR="00856EAE" w:rsidRDefault="00856EAE" w:rsidP="00856EAE">
      <w:pPr>
        <w:pStyle w:val="ListParagraph"/>
        <w:numPr>
          <w:ilvl w:val="0"/>
          <w:numId w:val="24"/>
        </w:numPr>
      </w:pPr>
      <w:r>
        <w:t xml:space="preserve">for those years where only the filtered water fraction was analysed, the analysis result was multiplied by the arithmetic mean of the ratio of total/filtered </w:t>
      </w:r>
      <w:r w:rsidRPr="00EA7C6F">
        <w:rPr>
          <w:snapToGrid w:val="0"/>
          <w:color w:val="000000"/>
          <w:position w:val="6"/>
          <w:sz w:val="16"/>
          <w:szCs w:val="0"/>
          <w:u w:color="000000"/>
          <w:lang w:val="en-US"/>
        </w:rPr>
        <w:t>226</w:t>
      </w:r>
      <w:r>
        <w:rPr>
          <w:lang w:val="en-US"/>
        </w:rPr>
        <w:t xml:space="preserve">Ra </w:t>
      </w:r>
      <w:r>
        <w:t>activity concentration in water samples collected from Magela Creek and Mudginberri Billabong during the years 2000 to 2013 (inclusive);</w:t>
      </w:r>
    </w:p>
    <w:p w:rsidR="00856EAE" w:rsidRDefault="00856EAE" w:rsidP="00856EAE">
      <w:pPr>
        <w:pStyle w:val="ListParagraph"/>
        <w:numPr>
          <w:ilvl w:val="0"/>
          <w:numId w:val="24"/>
        </w:numPr>
      </w:pPr>
      <w:r>
        <w:t>no manipulations were applied to the 2013 data as the water sample was not filtered prior to analysis and results were for the total water fraction.</w:t>
      </w:r>
    </w:p>
    <w:p w:rsidR="00856EAE" w:rsidRPr="00095A3F" w:rsidRDefault="00856EAE" w:rsidP="00856EAE">
      <w:pPr>
        <w:pStyle w:val="Heading3"/>
      </w:pPr>
      <w:bookmarkStart w:id="43" w:name="_Toc443054583"/>
      <w:proofErr w:type="gramStart"/>
      <w:r>
        <w:t xml:space="preserve">2.1.3 </w:t>
      </w:r>
      <w:r w:rsidR="000E55B0">
        <w:t xml:space="preserve"> </w:t>
      </w:r>
      <w:r>
        <w:t>Concentration</w:t>
      </w:r>
      <w:proofErr w:type="gramEnd"/>
      <w:r>
        <w:t xml:space="preserve"> ratios</w:t>
      </w:r>
      <w:bookmarkEnd w:id="43"/>
    </w:p>
    <w:p w:rsidR="00856EAE" w:rsidRDefault="00856EAE" w:rsidP="00856EAE">
      <w:r>
        <w:t xml:space="preserve">A CR dataset for mussels was generated by dividing the fresh weight </w:t>
      </w:r>
      <w:r w:rsidRPr="00EA7C6F">
        <w:rPr>
          <w:snapToGrid w:val="0"/>
          <w:color w:val="000000"/>
          <w:position w:val="6"/>
          <w:sz w:val="16"/>
          <w:szCs w:val="0"/>
          <w:u w:color="000000"/>
          <w:lang w:val="en-US"/>
        </w:rPr>
        <w:t>226</w:t>
      </w:r>
      <w:r>
        <w:rPr>
          <w:lang w:val="en-US"/>
        </w:rPr>
        <w:t xml:space="preserve">Ra </w:t>
      </w:r>
      <w:r>
        <w:t xml:space="preserve">activity concentration in each age-composited mussel sample from each year by the total </w:t>
      </w:r>
      <w:r w:rsidRPr="00EA7C6F">
        <w:rPr>
          <w:snapToGrid w:val="0"/>
          <w:color w:val="000000"/>
          <w:position w:val="6"/>
          <w:sz w:val="16"/>
          <w:szCs w:val="0"/>
          <w:u w:color="000000"/>
          <w:lang w:val="en-US"/>
        </w:rPr>
        <w:t>226</w:t>
      </w:r>
      <w:r>
        <w:rPr>
          <w:lang w:val="en-US"/>
        </w:rPr>
        <w:t xml:space="preserve">Ra </w:t>
      </w:r>
      <w:r>
        <w:t xml:space="preserve">activity concentration in water. The arithmetic mean </w:t>
      </w:r>
      <w:r w:rsidRPr="00EA7C6F">
        <w:rPr>
          <w:snapToGrid w:val="0"/>
          <w:color w:val="000000"/>
          <w:position w:val="6"/>
          <w:sz w:val="16"/>
          <w:szCs w:val="0"/>
          <w:u w:color="000000"/>
          <w:lang w:val="en-US"/>
        </w:rPr>
        <w:t>226</w:t>
      </w:r>
      <w:r>
        <w:rPr>
          <w:lang w:val="en-US"/>
        </w:rPr>
        <w:t xml:space="preserve">Ra </w:t>
      </w:r>
      <w:r>
        <w:t xml:space="preserve">activity concentration in total water over </w:t>
      </w:r>
      <w:r w:rsidRPr="004F3D3B">
        <w:rPr>
          <w:u w:val="single"/>
        </w:rPr>
        <w:t>all</w:t>
      </w:r>
      <w:r>
        <w:t xml:space="preserve"> years was used to calculate CRs as it was considered to better represent the long-term </w:t>
      </w:r>
      <w:r w:rsidRPr="00EA7C6F">
        <w:rPr>
          <w:snapToGrid w:val="0"/>
          <w:color w:val="000000"/>
          <w:position w:val="6"/>
          <w:sz w:val="16"/>
          <w:szCs w:val="0"/>
          <w:u w:color="000000"/>
          <w:lang w:val="en-US"/>
        </w:rPr>
        <w:t>226</w:t>
      </w:r>
      <w:r>
        <w:rPr>
          <w:lang w:val="en-US"/>
        </w:rPr>
        <w:t xml:space="preserve">Ra </w:t>
      </w:r>
      <w:r>
        <w:t>exposure conditions of mussels in Mudginberri Billabong compared to the activity concentration in water on the day of mussel collection.</w:t>
      </w:r>
    </w:p>
    <w:p w:rsidR="00856EAE" w:rsidRPr="00095A3F" w:rsidRDefault="00856EAE" w:rsidP="00856EAE">
      <w:pPr>
        <w:pStyle w:val="Heading2"/>
      </w:pPr>
      <w:bookmarkStart w:id="44" w:name="_Toc443054584"/>
      <w:proofErr w:type="gramStart"/>
      <w:r>
        <w:t>2.2</w:t>
      </w:r>
      <w:r w:rsidR="000E55B0">
        <w:t xml:space="preserve"> </w:t>
      </w:r>
      <w:r>
        <w:t xml:space="preserve"> Human</w:t>
      </w:r>
      <w:proofErr w:type="gramEnd"/>
      <w:r>
        <w:t xml:space="preserve"> dose assessment</w:t>
      </w:r>
      <w:bookmarkEnd w:id="44"/>
    </w:p>
    <w:p w:rsidR="00856EAE" w:rsidRPr="009A7DBB" w:rsidRDefault="00856EAE" w:rsidP="00856EAE">
      <w:pPr>
        <w:pStyle w:val="Heading3"/>
      </w:pPr>
      <w:bookmarkStart w:id="45" w:name="_Toc443054585"/>
      <w:proofErr w:type="gramStart"/>
      <w:r>
        <w:t>2.2.1</w:t>
      </w:r>
      <w:r w:rsidR="000E55B0">
        <w:t xml:space="preserve"> </w:t>
      </w:r>
      <w:r>
        <w:t xml:space="preserve"> </w:t>
      </w:r>
      <w:r w:rsidRPr="009A7DBB">
        <w:t>Exposure</w:t>
      </w:r>
      <w:proofErr w:type="gramEnd"/>
      <w:r w:rsidRPr="009A7DBB">
        <w:t xml:space="preserve"> scenario</w:t>
      </w:r>
      <w:bookmarkEnd w:id="45"/>
    </w:p>
    <w:p w:rsidR="00856EAE" w:rsidRDefault="00856EAE" w:rsidP="00856EAE">
      <w:r>
        <w:t xml:space="preserve">The exposure scenario for humans was based on a 10 year old child consuming 2 kg of mussels (fresh weight) from Mudginberri Billabong per year, with the further assumption that larger sized mussels were consumed in preference to smaller sized mussels since they offer greater nourishment for the effort expended in collecting them. </w:t>
      </w:r>
    </w:p>
    <w:p w:rsidR="00856EAE" w:rsidRDefault="00856EAE" w:rsidP="00856EAE">
      <w:r>
        <w:t>Mussels from the Magela Creek system reach approximately 90% of their lifetime size by the age of 3 years (Bollhöfer  et al., 2011) and it was assumed that only mussels of this age and older were collected and consumed.</w:t>
      </w:r>
    </w:p>
    <w:p w:rsidR="00856EAE" w:rsidRPr="009A7DBB" w:rsidRDefault="00856EAE" w:rsidP="00856EAE">
      <w:pPr>
        <w:pStyle w:val="Heading3"/>
      </w:pPr>
      <w:bookmarkStart w:id="46" w:name="_Toc443054586"/>
      <w:proofErr w:type="gramStart"/>
      <w:r>
        <w:t>2.2.2</w:t>
      </w:r>
      <w:r w:rsidR="000E55B0">
        <w:t xml:space="preserve"> </w:t>
      </w:r>
      <w:r>
        <w:t xml:space="preserve"> </w:t>
      </w:r>
      <w:r w:rsidRPr="009A7DBB">
        <w:t>Concentration</w:t>
      </w:r>
      <w:proofErr w:type="gramEnd"/>
      <w:r w:rsidRPr="009A7DBB">
        <w:t xml:space="preserve"> ratio</w:t>
      </w:r>
      <w:bookmarkEnd w:id="46"/>
    </w:p>
    <w:p w:rsidR="00856EAE" w:rsidRDefault="00856EAE" w:rsidP="00856EAE">
      <w:r>
        <w:t>The geometric mean CR of mussels aged 3 years and older was calculated from the CR dataset taking into account the number of individual mussels in each age composited sample from each year. This value was used in the assessment as it represents the most likely CR of any mussel aged 3 years or older randomly collected from the billabong, as would be the case for an Aboriginal person collecting mussels opportunistically for sustenance.</w:t>
      </w:r>
    </w:p>
    <w:p w:rsidR="00856EAE" w:rsidRPr="009A7DBB" w:rsidRDefault="00856EAE" w:rsidP="00856EAE">
      <w:pPr>
        <w:pStyle w:val="Heading3"/>
      </w:pPr>
      <w:bookmarkStart w:id="47" w:name="_Toc443054587"/>
      <w:proofErr w:type="gramStart"/>
      <w:r>
        <w:t xml:space="preserve">2.2.3 </w:t>
      </w:r>
      <w:r w:rsidR="000E55B0">
        <w:t xml:space="preserve"> </w:t>
      </w:r>
      <w:r w:rsidRPr="009A7DBB">
        <w:t>Benchmark</w:t>
      </w:r>
      <w:proofErr w:type="gramEnd"/>
      <w:r w:rsidRPr="009A7DBB">
        <w:t xml:space="preserve"> dose rate</w:t>
      </w:r>
      <w:bookmarkEnd w:id="47"/>
    </w:p>
    <w:p w:rsidR="00856EAE" w:rsidRDefault="00856EAE" w:rsidP="00856EAE">
      <w:r>
        <w:t xml:space="preserve">The member of the public dose constraint for Ranger mine is 0.3 mSv (ERA 2014). This value denotes an upper bound on the annual doses that members of the public should receive from all above-background radiation exposures traceable to the mine such that radiation protection could be considered optimised – it is not a dose limit (ICRP, 2007). Doses from the ingestion of </w:t>
      </w:r>
      <w:r w:rsidRPr="00E74811">
        <w:rPr>
          <w:snapToGrid w:val="0"/>
          <w:color w:val="000000"/>
          <w:position w:val="6"/>
          <w:sz w:val="16"/>
          <w:szCs w:val="0"/>
          <w:u w:color="000000"/>
        </w:rPr>
        <w:t>226</w:t>
      </w:r>
      <w:r>
        <w:t xml:space="preserve">Ra in mussels represents radiation exposure to the public from a single radionuclide via a single pathway only. Although this is expected to be the dominant radionuclide-pathway combination contributing to public doses downstream of the mine following a release of retention pond water (Martin et al. 1998), other radionuclides and bush foods will also contribute to dose, and so too will the inhalation of radon progeny in air. To account for dose contributions coming from radionuclides and pathways other than </w:t>
      </w:r>
      <w:r w:rsidRPr="00E74811">
        <w:rPr>
          <w:snapToGrid w:val="0"/>
          <w:color w:val="000000"/>
          <w:position w:val="6"/>
          <w:sz w:val="16"/>
          <w:szCs w:val="0"/>
          <w:u w:color="000000"/>
        </w:rPr>
        <w:t>226</w:t>
      </w:r>
      <w:r>
        <w:t>Ra in mussels, the guideline value was not back-calculated from the dose constraint of 0.3 mSv, but from a lower annual benchmark dose of 0.2 mSv.</w:t>
      </w:r>
    </w:p>
    <w:p w:rsidR="00856EAE" w:rsidRPr="007E5FE1" w:rsidRDefault="00856EAE" w:rsidP="00856EAE">
      <w:pPr>
        <w:pStyle w:val="Heading3"/>
      </w:pPr>
      <w:bookmarkStart w:id="48" w:name="_Toc443054588"/>
      <w:proofErr w:type="gramStart"/>
      <w:r w:rsidRPr="007E5FE1">
        <w:t>2.2.4</w:t>
      </w:r>
      <w:r w:rsidR="000E55B0">
        <w:t xml:space="preserve"> </w:t>
      </w:r>
      <w:r w:rsidRPr="007E5FE1">
        <w:t xml:space="preserve"> Assessment</w:t>
      </w:r>
      <w:proofErr w:type="gramEnd"/>
      <w:r w:rsidRPr="007E5FE1">
        <w:t xml:space="preserve"> approach</w:t>
      </w:r>
      <w:bookmarkEnd w:id="48"/>
    </w:p>
    <w:p w:rsidR="00856EAE" w:rsidRDefault="00856EAE" w:rsidP="00856EAE">
      <w:r w:rsidRPr="007E5FE1">
        <w:t xml:space="preserve">Calculation of the guideline value was done by dividing the benchmark dose by the product of the geometric mean CR of mussels aged 3 years and older, the </w:t>
      </w:r>
      <w:r w:rsidRPr="00393D69">
        <w:rPr>
          <w:snapToGrid w:val="0"/>
          <w:color w:val="000000"/>
          <w:position w:val="6"/>
          <w:sz w:val="16"/>
          <w:szCs w:val="0"/>
          <w:u w:color="000000"/>
        </w:rPr>
        <w:t>226</w:t>
      </w:r>
      <w:r w:rsidRPr="007E5FE1">
        <w:t>Ra ingestion dose coefficient for a 10 year old child (8.0x10</w:t>
      </w:r>
      <w:r w:rsidRPr="00393D69">
        <w:rPr>
          <w:snapToGrid w:val="0"/>
          <w:color w:val="000000"/>
          <w:position w:val="6"/>
          <w:sz w:val="16"/>
          <w:szCs w:val="0"/>
          <w:u w:color="000000"/>
        </w:rPr>
        <w:t>-7</w:t>
      </w:r>
      <w:r w:rsidRPr="007E5FE1">
        <w:t xml:space="preserve"> mSv mBq</w:t>
      </w:r>
      <w:r w:rsidRPr="00393D69">
        <w:rPr>
          <w:snapToGrid w:val="0"/>
          <w:color w:val="000000"/>
          <w:position w:val="6"/>
          <w:sz w:val="16"/>
          <w:szCs w:val="0"/>
          <w:u w:color="000000"/>
        </w:rPr>
        <w:t>-1</w:t>
      </w:r>
      <w:r w:rsidRPr="007E5FE1">
        <w:t xml:space="preserve">, ICRP (1996)) and the </w:t>
      </w:r>
      <w:r>
        <w:t>weight</w:t>
      </w:r>
      <w:r w:rsidRPr="007E5FE1">
        <w:t xml:space="preserve"> of mussels consumed</w:t>
      </w:r>
      <w:r>
        <w:t xml:space="preserve"> per year</w:t>
      </w:r>
      <w:r w:rsidRPr="007E5FE1">
        <w:t>.</w:t>
      </w:r>
    </w:p>
    <w:p w:rsidR="00856EAE" w:rsidRPr="00095A3F" w:rsidRDefault="00856EAE" w:rsidP="00856EAE">
      <w:pPr>
        <w:pStyle w:val="Heading2"/>
      </w:pPr>
      <w:bookmarkStart w:id="49" w:name="_Toc443054589"/>
      <w:proofErr w:type="gramStart"/>
      <w:r>
        <w:t>2.3</w:t>
      </w:r>
      <w:r w:rsidR="000E55B0">
        <w:t xml:space="preserve"> </w:t>
      </w:r>
      <w:r>
        <w:t xml:space="preserve"> </w:t>
      </w:r>
      <w:r w:rsidRPr="00095A3F">
        <w:t>Environmental</w:t>
      </w:r>
      <w:proofErr w:type="gramEnd"/>
      <w:r>
        <w:t xml:space="preserve"> dose</w:t>
      </w:r>
      <w:r w:rsidRPr="00095A3F">
        <w:t xml:space="preserve"> </w:t>
      </w:r>
      <w:r>
        <w:t>assessment</w:t>
      </w:r>
      <w:bookmarkEnd w:id="49"/>
    </w:p>
    <w:p w:rsidR="00856EAE" w:rsidRDefault="00856EAE" w:rsidP="00856EAE">
      <w:pPr>
        <w:pStyle w:val="Heading3"/>
      </w:pPr>
      <w:bookmarkStart w:id="50" w:name="_Toc443054590"/>
      <w:proofErr w:type="gramStart"/>
      <w:r>
        <w:t>2.3.1</w:t>
      </w:r>
      <w:r w:rsidR="000E55B0">
        <w:t xml:space="preserve"> </w:t>
      </w:r>
      <w:r>
        <w:t xml:space="preserve"> Exposure</w:t>
      </w:r>
      <w:proofErr w:type="gramEnd"/>
      <w:r>
        <w:t xml:space="preserve"> scenario</w:t>
      </w:r>
      <w:bookmarkEnd w:id="50"/>
    </w:p>
    <w:p w:rsidR="00856EAE" w:rsidRDefault="00856EAE" w:rsidP="00856EAE">
      <w:r>
        <w:t xml:space="preserve">The exposure scenario for the environment was based on mussels in Magela Creek receiving internal exposures from bioaccumulated radionuclides and external exposures from radionuclides in the water and sediment. A previous assessment by Johnston et al. (2005) found that mussels were the limiting organism for the creek and, in the case of a release of mine waters, would receive their dose predominantly from bioaccumulated </w:t>
      </w:r>
      <w:r w:rsidRPr="00B44179">
        <w:rPr>
          <w:snapToGrid w:val="0"/>
          <w:color w:val="000000"/>
          <w:position w:val="6"/>
          <w:sz w:val="16"/>
          <w:szCs w:val="0"/>
          <w:u w:color="000000"/>
        </w:rPr>
        <w:t>226</w:t>
      </w:r>
      <w:r>
        <w:t xml:space="preserve">Ra. </w:t>
      </w:r>
    </w:p>
    <w:p w:rsidR="00856EAE" w:rsidRPr="00BB5428" w:rsidRDefault="00856EAE" w:rsidP="00856EAE">
      <w:pPr>
        <w:pStyle w:val="Heading3"/>
      </w:pPr>
      <w:bookmarkStart w:id="51" w:name="_Toc443054591"/>
      <w:proofErr w:type="gramStart"/>
      <w:r>
        <w:t>2.3.2</w:t>
      </w:r>
      <w:r w:rsidR="000E55B0">
        <w:t xml:space="preserve"> </w:t>
      </w:r>
      <w:r>
        <w:t xml:space="preserve"> </w:t>
      </w:r>
      <w:r w:rsidRPr="00BB5428">
        <w:t>Benchmark</w:t>
      </w:r>
      <w:proofErr w:type="gramEnd"/>
      <w:r w:rsidRPr="00BB5428">
        <w:t xml:space="preserve"> dose rate</w:t>
      </w:r>
      <w:bookmarkEnd w:id="51"/>
    </w:p>
    <w:p w:rsidR="00856EAE" w:rsidRDefault="00856EAE" w:rsidP="00856EAE">
      <w:r w:rsidRPr="002F4FB3">
        <w:t xml:space="preserve">The United Nations Scientific Committee on the Effects of Atomic Radiation (UNSCEAR) is the international authority on </w:t>
      </w:r>
      <w:r>
        <w:t xml:space="preserve">the </w:t>
      </w:r>
      <w:r w:rsidRPr="002F4FB3">
        <w:t>effects of ionising radiation</w:t>
      </w:r>
      <w:r>
        <w:t xml:space="preserve"> and has concluded from a review of the scientific literature on radiation effects that </w:t>
      </w:r>
      <w:r w:rsidRPr="00625CE6">
        <w:rPr>
          <w:i/>
        </w:rPr>
        <w:t xml:space="preserve">“maximum dose rates of 400 </w:t>
      </w:r>
      <w:r>
        <w:rPr>
          <w:i/>
        </w:rPr>
        <w:t>µ</w:t>
      </w:r>
      <w:r w:rsidRPr="00625CE6">
        <w:rPr>
          <w:i/>
        </w:rPr>
        <w:t>Gy/h to a small proportion of the individuals in aquatic populations of organisms would not have any detrimental</w:t>
      </w:r>
      <w:r>
        <w:rPr>
          <w:i/>
        </w:rPr>
        <w:t xml:space="preserve"> effect at the population level</w:t>
      </w:r>
      <w:r w:rsidRPr="00625CE6">
        <w:rPr>
          <w:i/>
        </w:rPr>
        <w:t>”</w:t>
      </w:r>
      <w:r>
        <w:t xml:space="preserve"> (UNSCEAR, 1996, 2008). </w:t>
      </w:r>
    </w:p>
    <w:p w:rsidR="00856EAE" w:rsidRPr="00625CE6" w:rsidRDefault="00856EAE" w:rsidP="00856EAE">
      <w:pPr>
        <w:pStyle w:val="Heading3"/>
      </w:pPr>
      <w:bookmarkStart w:id="52" w:name="_Toc443054592"/>
      <w:proofErr w:type="gramStart"/>
      <w:r>
        <w:t>2.3.3</w:t>
      </w:r>
      <w:r w:rsidR="000E55B0">
        <w:t xml:space="preserve"> </w:t>
      </w:r>
      <w:r>
        <w:t xml:space="preserve"> </w:t>
      </w:r>
      <w:r w:rsidRPr="00625CE6">
        <w:t>Assessment</w:t>
      </w:r>
      <w:proofErr w:type="gramEnd"/>
      <w:r w:rsidRPr="00625CE6">
        <w:t xml:space="preserve"> approach</w:t>
      </w:r>
      <w:bookmarkEnd w:id="52"/>
    </w:p>
    <w:p w:rsidR="00856EAE" w:rsidRDefault="00856EAE" w:rsidP="00856EAE">
      <w:r w:rsidRPr="002C2263">
        <w:t xml:space="preserve">The tier 3 assessment module in the ERICA Tool 1.2 (Brown et al., 2008) was used to determine probabilistically the absorbed dose rate </w:t>
      </w:r>
      <w:r>
        <w:t xml:space="preserve">to the </w:t>
      </w:r>
      <w:r w:rsidRPr="002C2263">
        <w:t xml:space="preserve">organism </w:t>
      </w:r>
      <w:r>
        <w:t xml:space="preserve">(ie – a mussel) </w:t>
      </w:r>
      <w:r w:rsidRPr="002C2263">
        <w:t xml:space="preserve">per unit of </w:t>
      </w:r>
      <w:r w:rsidRPr="00B44179">
        <w:rPr>
          <w:snapToGrid w:val="0"/>
          <w:color w:val="000000"/>
          <w:position w:val="6"/>
          <w:sz w:val="16"/>
          <w:szCs w:val="0"/>
          <w:u w:color="000000"/>
        </w:rPr>
        <w:t>226</w:t>
      </w:r>
      <w:r>
        <w:t xml:space="preserve">Ra </w:t>
      </w:r>
      <w:r w:rsidRPr="002C2263">
        <w:t xml:space="preserve">activity concentration </w:t>
      </w:r>
      <w:r>
        <w:t>in water.</w:t>
      </w:r>
      <w:r w:rsidRPr="00D325D1">
        <w:t xml:space="preserve"> </w:t>
      </w:r>
      <w:r>
        <w:t xml:space="preserve">This absorbed dose rate was then compared to the benchmark dose rate of 400 </w:t>
      </w:r>
      <w:r>
        <w:rPr>
          <w:rFonts w:ascii="Calibri" w:hAnsi="Calibri"/>
        </w:rPr>
        <w:t>µ</w:t>
      </w:r>
      <w:r>
        <w:t>G·h</w:t>
      </w:r>
      <w:r w:rsidRPr="006B19B2">
        <w:rPr>
          <w:snapToGrid w:val="0"/>
          <w:color w:val="000000"/>
          <w:position w:val="6"/>
          <w:sz w:val="16"/>
          <w:szCs w:val="0"/>
          <w:u w:color="000000"/>
        </w:rPr>
        <w:t>-1</w:t>
      </w:r>
      <w:r>
        <w:t xml:space="preserve"> to derive a total </w:t>
      </w:r>
      <w:r w:rsidRPr="00B44179">
        <w:rPr>
          <w:snapToGrid w:val="0"/>
          <w:color w:val="000000"/>
          <w:position w:val="6"/>
          <w:sz w:val="16"/>
          <w:szCs w:val="0"/>
          <w:u w:color="000000"/>
        </w:rPr>
        <w:t>226</w:t>
      </w:r>
      <w:r>
        <w:t>Ra activity concentration that would result in a dose rate of less than the benchmark to 99% of the population.</w:t>
      </w:r>
    </w:p>
    <w:p w:rsidR="00856EAE" w:rsidRDefault="00856EAE" w:rsidP="00856EAE"/>
    <w:p w:rsidR="000E55B0" w:rsidRDefault="000E55B0">
      <w:pPr>
        <w:spacing w:after="0" w:line="240" w:lineRule="auto"/>
        <w:jc w:val="left"/>
        <w:rPr>
          <w:rFonts w:ascii="Arial" w:hAnsi="Arial"/>
          <w:b/>
          <w:sz w:val="36"/>
        </w:rPr>
      </w:pPr>
      <w:r>
        <w:br w:type="page"/>
      </w:r>
    </w:p>
    <w:p w:rsidR="00856EAE" w:rsidRPr="000E55B0" w:rsidRDefault="000E55B0" w:rsidP="000E55B0">
      <w:pPr>
        <w:pStyle w:val="Heading1"/>
      </w:pPr>
      <w:bookmarkStart w:id="53" w:name="_Toc443054593"/>
      <w:proofErr w:type="gramStart"/>
      <w:r w:rsidRPr="000E55B0">
        <w:t xml:space="preserve">3  </w:t>
      </w:r>
      <w:r w:rsidR="00856EAE" w:rsidRPr="000E55B0">
        <w:t>Results</w:t>
      </w:r>
      <w:bookmarkEnd w:id="53"/>
      <w:proofErr w:type="gramEnd"/>
      <w:r w:rsidR="00856EAE" w:rsidRPr="000E55B0">
        <w:t xml:space="preserve"> </w:t>
      </w:r>
    </w:p>
    <w:p w:rsidR="00856EAE" w:rsidRDefault="00856EAE" w:rsidP="00856EAE">
      <w:pPr>
        <w:pStyle w:val="Heading2"/>
      </w:pPr>
      <w:bookmarkStart w:id="54" w:name="_Toc443054594"/>
      <w:proofErr w:type="gramStart"/>
      <w:r>
        <w:t xml:space="preserve">3.1  </w:t>
      </w:r>
      <w:proofErr w:type="spellStart"/>
      <w:r>
        <w:t>Mudginberri</w:t>
      </w:r>
      <w:proofErr w:type="spellEnd"/>
      <w:proofErr w:type="gramEnd"/>
      <w:r>
        <w:t xml:space="preserve"> mussel </w:t>
      </w:r>
      <w:r w:rsidRPr="006C7140">
        <w:rPr>
          <w:snapToGrid w:val="0"/>
          <w:color w:val="000000"/>
          <w:position w:val="7"/>
          <w:sz w:val="19"/>
          <w:szCs w:val="0"/>
          <w:u w:color="000000"/>
        </w:rPr>
        <w:t>226</w:t>
      </w:r>
      <w:r>
        <w:t>Ra activity concentrations</w:t>
      </w:r>
      <w:bookmarkEnd w:id="54"/>
    </w:p>
    <w:p w:rsidR="00856EAE" w:rsidRDefault="00856EAE" w:rsidP="00856EAE">
      <w:r>
        <w:t xml:space="preserve">Figures 4a and 4b show a summary of all </w:t>
      </w:r>
      <w:r w:rsidRPr="006C7140">
        <w:rPr>
          <w:snapToGrid w:val="0"/>
          <w:color w:val="000000"/>
          <w:position w:val="6"/>
          <w:sz w:val="16"/>
          <w:szCs w:val="0"/>
          <w:u w:color="000000"/>
        </w:rPr>
        <w:t>226</w:t>
      </w:r>
      <w:r>
        <w:t xml:space="preserve">Ra activity concentrations measured in the flesh of age classed samples of freshwater mussels (including 0, 1 and 2 year old mussels), </w:t>
      </w:r>
      <w:r w:rsidRPr="006C7140">
        <w:rPr>
          <w:i/>
        </w:rPr>
        <w:t xml:space="preserve">Velesunio </w:t>
      </w:r>
      <w:r>
        <w:rPr>
          <w:i/>
        </w:rPr>
        <w:t>a</w:t>
      </w:r>
      <w:r w:rsidRPr="006C7140">
        <w:rPr>
          <w:i/>
        </w:rPr>
        <w:t>ngasi</w:t>
      </w:r>
      <w:r>
        <w:t xml:space="preserve">, collected between 2001 and 2013. </w:t>
      </w:r>
    </w:p>
    <w:p w:rsidR="00856EAE" w:rsidRDefault="00856EAE" w:rsidP="00856EAE">
      <w:r>
        <w:t>Radium-226 activity concentrations (Bq·kg</w:t>
      </w:r>
      <w:r w:rsidRPr="006C7140">
        <w:rPr>
          <w:snapToGrid w:val="0"/>
          <w:color w:val="000000"/>
          <w:position w:val="6"/>
          <w:sz w:val="16"/>
          <w:szCs w:val="0"/>
          <w:u w:color="000000"/>
        </w:rPr>
        <w:t xml:space="preserve">-1 </w:t>
      </w:r>
      <w:r>
        <w:t>dry weight) are lognormally distributed (p = 0.25; Anderson-Darling statistic: 0.466), with a geometric mean of 780 Bq·kg</w:t>
      </w:r>
      <w:r w:rsidRPr="006C7140">
        <w:rPr>
          <w:snapToGrid w:val="0"/>
          <w:color w:val="000000"/>
          <w:position w:val="6"/>
          <w:sz w:val="16"/>
          <w:szCs w:val="0"/>
          <w:u w:color="000000"/>
        </w:rPr>
        <w:t>-1</w:t>
      </w:r>
      <w:r>
        <w:t xml:space="preserve"> and an arithmetic mean of 940 </w:t>
      </w:r>
      <w:proofErr w:type="spellStart"/>
      <w:r w:rsidR="00D62FA2">
        <w:t>Bq·kg</w:t>
      </w:r>
      <w:proofErr w:type="spellEnd"/>
      <w:r w:rsidR="00D62FA2" w:rsidRPr="006C7140">
        <w:rPr>
          <w:snapToGrid w:val="0"/>
          <w:color w:val="000000"/>
          <w:position w:val="6"/>
          <w:sz w:val="16"/>
          <w:szCs w:val="0"/>
          <w:u w:color="000000"/>
        </w:rPr>
        <w:t>-1</w:t>
      </w:r>
      <w:r>
        <w:t xml:space="preserve">. The average (both arithmetic and geometric) dry to wet weight ratio in mussels collected between 2001 and 2013 is 0.10. </w:t>
      </w:r>
    </w:p>
    <w:p w:rsidR="00856EAE" w:rsidRDefault="00856EAE" w:rsidP="00856EA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4"/>
        <w:gridCol w:w="4128"/>
      </w:tblGrid>
      <w:tr w:rsidR="00856EAE" w:rsidTr="003714D8">
        <w:tc>
          <w:tcPr>
            <w:tcW w:w="4261" w:type="dxa"/>
          </w:tcPr>
          <w:p w:rsidR="00856EAE" w:rsidRDefault="00856EAE" w:rsidP="003714D8">
            <w:r>
              <w:rPr>
                <w:noProof/>
                <w:lang w:eastAsia="en-AU"/>
              </w:rPr>
              <w:drawing>
                <wp:inline distT="0" distB="0" distL="0" distR="0">
                  <wp:extent cx="3209925" cy="191452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601" t="12987"/>
                          <a:stretch>
                            <a:fillRect/>
                          </a:stretch>
                        </pic:blipFill>
                        <pic:spPr bwMode="auto">
                          <a:xfrm>
                            <a:off x="0" y="0"/>
                            <a:ext cx="3209925" cy="1914525"/>
                          </a:xfrm>
                          <a:prstGeom prst="rect">
                            <a:avLst/>
                          </a:prstGeom>
                          <a:noFill/>
                          <a:ln w="9525">
                            <a:noFill/>
                            <a:miter lim="800000"/>
                            <a:headEnd/>
                            <a:tailEnd/>
                          </a:ln>
                        </pic:spPr>
                      </pic:pic>
                    </a:graphicData>
                  </a:graphic>
                </wp:inline>
              </w:drawing>
            </w:r>
          </w:p>
        </w:tc>
        <w:tc>
          <w:tcPr>
            <w:tcW w:w="4261" w:type="dxa"/>
          </w:tcPr>
          <w:p w:rsidR="00856EAE" w:rsidRDefault="00856EAE" w:rsidP="003714D8">
            <w:pPr>
              <w:ind w:left="-67"/>
            </w:pPr>
            <w:r>
              <w:rPr>
                <w:noProof/>
                <w:lang w:eastAsia="en-AU"/>
              </w:rPr>
              <w:drawing>
                <wp:inline distT="0" distB="0" distL="0" distR="0">
                  <wp:extent cx="3028950" cy="1895475"/>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l="2601" t="13853" r="5492"/>
                          <a:stretch>
                            <a:fillRect/>
                          </a:stretch>
                        </pic:blipFill>
                        <pic:spPr bwMode="auto">
                          <a:xfrm>
                            <a:off x="0" y="0"/>
                            <a:ext cx="3028950" cy="1895475"/>
                          </a:xfrm>
                          <a:prstGeom prst="rect">
                            <a:avLst/>
                          </a:prstGeom>
                          <a:noFill/>
                          <a:ln w="9525">
                            <a:noFill/>
                            <a:miter lim="800000"/>
                            <a:headEnd/>
                            <a:tailEnd/>
                          </a:ln>
                        </pic:spPr>
                      </pic:pic>
                    </a:graphicData>
                  </a:graphic>
                </wp:inline>
              </w:drawing>
            </w:r>
          </w:p>
        </w:tc>
      </w:tr>
    </w:tbl>
    <w:p w:rsidR="00856EAE" w:rsidRDefault="00856EAE" w:rsidP="00856EAE">
      <w:pPr>
        <w:pStyle w:val="figurecaption"/>
      </w:pPr>
      <w:bookmarkStart w:id="55" w:name="_Toc433624064"/>
      <w:r>
        <w:t xml:space="preserve">Figure 4 (a) Histogram and (b) cumulative probability plot of all </w:t>
      </w:r>
      <w:r w:rsidRPr="006C7140">
        <w:rPr>
          <w:snapToGrid w:val="0"/>
          <w:color w:val="000000"/>
          <w:position w:val="6"/>
          <w:sz w:val="16"/>
          <w:szCs w:val="0"/>
          <w:u w:color="000000"/>
        </w:rPr>
        <w:t>226</w:t>
      </w:r>
      <w:r>
        <w:t>Ra activity concentrations (in Bq·kg</w:t>
      </w:r>
      <w:r w:rsidRPr="006C7140">
        <w:rPr>
          <w:snapToGrid w:val="0"/>
          <w:color w:val="000000"/>
          <w:position w:val="6"/>
          <w:sz w:val="16"/>
          <w:szCs w:val="0"/>
          <w:u w:color="000000"/>
        </w:rPr>
        <w:t>-1</w:t>
      </w:r>
      <w:r>
        <w:t xml:space="preserve"> dry weight) measured in flesh of age classed freshwater mussels, </w:t>
      </w:r>
      <w:r w:rsidRPr="008F65D9">
        <w:rPr>
          <w:i/>
        </w:rPr>
        <w:t xml:space="preserve">Velesunio </w:t>
      </w:r>
      <w:r>
        <w:rPr>
          <w:i/>
        </w:rPr>
        <w:t>a</w:t>
      </w:r>
      <w:r w:rsidRPr="008F65D9">
        <w:rPr>
          <w:i/>
        </w:rPr>
        <w:t>ngasi</w:t>
      </w:r>
      <w:r>
        <w:t>. The blue lines are lognormal fits to the distribution and associated 95% confidence intervals.</w:t>
      </w:r>
      <w:bookmarkEnd w:id="55"/>
    </w:p>
    <w:p w:rsidR="00856EAE" w:rsidRDefault="00856EAE" w:rsidP="00856EAE">
      <w:pPr>
        <w:pStyle w:val="Heading2"/>
      </w:pPr>
      <w:bookmarkStart w:id="56" w:name="_Toc443054595"/>
      <w:r>
        <w:t xml:space="preserve">3.2  Water </w:t>
      </w:r>
      <w:r w:rsidRPr="006C7140">
        <w:rPr>
          <w:snapToGrid w:val="0"/>
          <w:color w:val="000000"/>
          <w:position w:val="7"/>
          <w:sz w:val="19"/>
          <w:szCs w:val="0"/>
          <w:u w:color="000000"/>
        </w:rPr>
        <w:t>226</w:t>
      </w:r>
      <w:r>
        <w:t>Ra activity concentrations</w:t>
      </w:r>
      <w:bookmarkEnd w:id="56"/>
    </w:p>
    <w:p w:rsidR="00856EAE" w:rsidRDefault="00856EAE" w:rsidP="00856EAE">
      <w:pPr>
        <w:pStyle w:val="Heading3"/>
      </w:pPr>
      <w:bookmarkStart w:id="57" w:name="_Toc443054596"/>
      <w:proofErr w:type="gramStart"/>
      <w:r>
        <w:t>3.2.1</w:t>
      </w:r>
      <w:r w:rsidR="000E55B0">
        <w:t xml:space="preserve"> </w:t>
      </w:r>
      <w:r>
        <w:t xml:space="preserve"> </w:t>
      </w:r>
      <w:proofErr w:type="spellStart"/>
      <w:r>
        <w:t>Mudginberri</w:t>
      </w:r>
      <w:proofErr w:type="spellEnd"/>
      <w:proofErr w:type="gramEnd"/>
      <w:r>
        <w:t xml:space="preserve"> Billabong</w:t>
      </w:r>
      <w:bookmarkEnd w:id="57"/>
    </w:p>
    <w:p w:rsidR="00856EAE" w:rsidRDefault="00856EAE" w:rsidP="00856EAE">
      <w:r>
        <w:t xml:space="preserve">Figures 5a and 5b show the time series of all water </w:t>
      </w:r>
      <w:r w:rsidRPr="006C7140">
        <w:rPr>
          <w:snapToGrid w:val="0"/>
          <w:color w:val="000000"/>
          <w:position w:val="6"/>
          <w:sz w:val="16"/>
          <w:szCs w:val="0"/>
          <w:u w:color="000000"/>
        </w:rPr>
        <w:t>226</w:t>
      </w:r>
      <w:r>
        <w:t xml:space="preserve">Ra activity concentrations measured by </w:t>
      </w:r>
      <w:r>
        <w:rPr>
          <w:b/>
          <w:i/>
          <w:sz w:val="26"/>
        </w:rPr>
        <w:t>eriss</w:t>
      </w:r>
      <w:r>
        <w:t xml:space="preserve"> in Mudginberri Billabong since the early 1980s, total and filtered</w:t>
      </w:r>
      <w:r w:rsidR="00BF0B24">
        <w:t xml:space="preserve"> respectively</w:t>
      </w:r>
      <w:r>
        <w:t>. Data have been extracted from the BRUCE tool described in Doering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12"/>
        <w:gridCol w:w="4210"/>
      </w:tblGrid>
      <w:tr w:rsidR="00856EAE" w:rsidTr="003714D8">
        <w:tc>
          <w:tcPr>
            <w:tcW w:w="4261" w:type="dxa"/>
          </w:tcPr>
          <w:p w:rsidR="00856EAE" w:rsidRDefault="00856EAE" w:rsidP="003714D8">
            <w:r>
              <w:rPr>
                <w:noProof/>
                <w:lang w:eastAsia="en-AU"/>
              </w:rPr>
              <w:drawing>
                <wp:inline distT="0" distB="0" distL="0" distR="0">
                  <wp:extent cx="2686050" cy="1933575"/>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t="6019"/>
                          <a:stretch>
                            <a:fillRect/>
                          </a:stretch>
                        </pic:blipFill>
                        <pic:spPr bwMode="auto">
                          <a:xfrm>
                            <a:off x="0" y="0"/>
                            <a:ext cx="2686050" cy="1933575"/>
                          </a:xfrm>
                          <a:prstGeom prst="rect">
                            <a:avLst/>
                          </a:prstGeom>
                          <a:noFill/>
                          <a:ln w="9525">
                            <a:noFill/>
                            <a:miter lim="800000"/>
                            <a:headEnd/>
                            <a:tailEnd/>
                          </a:ln>
                        </pic:spPr>
                      </pic:pic>
                    </a:graphicData>
                  </a:graphic>
                </wp:inline>
              </w:drawing>
            </w:r>
          </w:p>
        </w:tc>
        <w:tc>
          <w:tcPr>
            <w:tcW w:w="4261" w:type="dxa"/>
          </w:tcPr>
          <w:p w:rsidR="00856EAE" w:rsidRDefault="00856EAE" w:rsidP="003714D8">
            <w:pPr>
              <w:ind w:left="-106"/>
            </w:pPr>
            <w:r>
              <w:rPr>
                <w:noProof/>
                <w:lang w:eastAsia="en-AU"/>
              </w:rPr>
              <w:drawing>
                <wp:inline distT="0" distB="0" distL="0" distR="0">
                  <wp:extent cx="2686050" cy="1933575"/>
                  <wp:effectExtent l="19050" t="0" r="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t="6019"/>
                          <a:stretch>
                            <a:fillRect/>
                          </a:stretch>
                        </pic:blipFill>
                        <pic:spPr bwMode="auto">
                          <a:xfrm>
                            <a:off x="0" y="0"/>
                            <a:ext cx="2686050" cy="1933575"/>
                          </a:xfrm>
                          <a:prstGeom prst="rect">
                            <a:avLst/>
                          </a:prstGeom>
                          <a:noFill/>
                          <a:ln w="9525">
                            <a:noFill/>
                            <a:miter lim="800000"/>
                            <a:headEnd/>
                            <a:tailEnd/>
                          </a:ln>
                        </pic:spPr>
                      </pic:pic>
                    </a:graphicData>
                  </a:graphic>
                </wp:inline>
              </w:drawing>
            </w:r>
          </w:p>
        </w:tc>
      </w:tr>
    </w:tbl>
    <w:p w:rsidR="00856EAE" w:rsidRDefault="00856EAE" w:rsidP="00856EAE">
      <w:pPr>
        <w:pStyle w:val="figurecaption"/>
      </w:pPr>
      <w:bookmarkStart w:id="58" w:name="_Toc433624065"/>
      <w:r w:rsidRPr="000E55B0">
        <w:rPr>
          <w:b/>
        </w:rPr>
        <w:t>Figure 5</w:t>
      </w:r>
      <w:r>
        <w:t xml:space="preserve"> </w:t>
      </w:r>
      <w:r w:rsidR="00D62FA2">
        <w:t>Time series</w:t>
      </w:r>
      <w:r>
        <w:t xml:space="preserve"> of (a) total and (b) filtered </w:t>
      </w:r>
      <w:r w:rsidRPr="006B19B2">
        <w:rPr>
          <w:snapToGrid w:val="0"/>
          <w:color w:val="000000"/>
          <w:position w:val="4"/>
          <w:sz w:val="12"/>
          <w:szCs w:val="0"/>
          <w:u w:color="000000"/>
        </w:rPr>
        <w:t>226</w:t>
      </w:r>
      <w:r>
        <w:t>Ra activity concentrations in Mudginberri Billabong from the 1980s to 2013.</w:t>
      </w:r>
      <w:bookmarkEnd w:id="58"/>
    </w:p>
    <w:p w:rsidR="00856EAE" w:rsidRDefault="00856EAE" w:rsidP="00856EAE">
      <w:r>
        <w:t xml:space="preserve">Figures 6a, b, c and d show a statistical summary of all measured </w:t>
      </w:r>
      <w:r w:rsidRPr="006C7140">
        <w:rPr>
          <w:snapToGrid w:val="0"/>
          <w:color w:val="000000"/>
          <w:position w:val="6"/>
          <w:sz w:val="16"/>
          <w:szCs w:val="0"/>
          <w:u w:color="000000"/>
        </w:rPr>
        <w:t>226</w:t>
      </w:r>
      <w:r>
        <w:t xml:space="preserve">Ra activity concentrations in Mudginberri Billabong water collected between the early 1980s and 2013. Radium-226  activity concentrations in Mudginberi Billabong water follow a log-normal distribution with low Anderson-Darling statistics and p-values above 0.35. Table 2 shows that total </w:t>
      </w:r>
      <w:r w:rsidRPr="006C7140">
        <w:rPr>
          <w:snapToGrid w:val="0"/>
          <w:color w:val="000000"/>
          <w:position w:val="6"/>
          <w:sz w:val="16"/>
          <w:szCs w:val="0"/>
          <w:u w:color="000000"/>
        </w:rPr>
        <w:t>226</w:t>
      </w:r>
      <w:r>
        <w:t xml:space="preserve">Ra activity concentrations appear to be higher in the 1980s (which could be an effect of sample collection), but filtered </w:t>
      </w:r>
      <w:r w:rsidRPr="006C7140">
        <w:rPr>
          <w:snapToGrid w:val="0"/>
          <w:color w:val="000000"/>
          <w:position w:val="6"/>
          <w:sz w:val="16"/>
          <w:szCs w:val="0"/>
          <w:u w:color="000000"/>
        </w:rPr>
        <w:t>226</w:t>
      </w:r>
      <w:r>
        <w:t xml:space="preserve">Ra activity concentrations have not changed over the sampling periods. </w:t>
      </w:r>
    </w:p>
    <w:p w:rsidR="00856EAE" w:rsidRPr="000D5674" w:rsidRDefault="00856EAE" w:rsidP="00856EAE">
      <w:r>
        <w:t xml:space="preserve">The average ratio of </w:t>
      </w:r>
      <w:r w:rsidRPr="006C7140">
        <w:rPr>
          <w:snapToGrid w:val="0"/>
          <w:color w:val="000000"/>
          <w:position w:val="6"/>
          <w:sz w:val="16"/>
          <w:szCs w:val="0"/>
          <w:u w:color="000000"/>
        </w:rPr>
        <w:t>226</w:t>
      </w:r>
      <w:r>
        <w:t xml:space="preserve">Ra activity concentrations in the total water relative to the filtered water in samples taken from 2000 onwards is 1.6 which is the same as the ratio in Magela Creek samples (see below). This ratio was used to determine a total </w:t>
      </w:r>
      <w:r w:rsidRPr="006C7140">
        <w:rPr>
          <w:snapToGrid w:val="0"/>
          <w:color w:val="000000"/>
          <w:position w:val="6"/>
          <w:sz w:val="16"/>
          <w:szCs w:val="0"/>
          <w:u w:color="000000"/>
        </w:rPr>
        <w:t>226</w:t>
      </w:r>
      <w:r>
        <w:t>Ra activity concentration in water samples from Mudginberri Billabong where only the filtered water fraction was analysed. Arithmetic and geometric means of 0.0020 and 0.0018 Bq·L</w:t>
      </w:r>
      <w:r w:rsidRPr="006C7140">
        <w:rPr>
          <w:snapToGrid w:val="0"/>
          <w:color w:val="000000"/>
          <w:position w:val="6"/>
          <w:sz w:val="16"/>
          <w:szCs w:val="0"/>
          <w:u w:color="000000"/>
        </w:rPr>
        <w:t>-1</w:t>
      </w:r>
      <w:r>
        <w:t xml:space="preserve"> were calculated for the total </w:t>
      </w:r>
      <w:r w:rsidRPr="006C7140">
        <w:rPr>
          <w:snapToGrid w:val="0"/>
          <w:color w:val="000000"/>
          <w:position w:val="6"/>
          <w:sz w:val="16"/>
          <w:szCs w:val="0"/>
          <w:u w:color="000000"/>
        </w:rPr>
        <w:t>226</w:t>
      </w:r>
      <w:r>
        <w:t>Ra activity concentration in Mudginberri Billabong between 2001 and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03"/>
        <w:gridCol w:w="4119"/>
      </w:tblGrid>
      <w:tr w:rsidR="00856EAE" w:rsidTr="003714D8">
        <w:tc>
          <w:tcPr>
            <w:tcW w:w="4404" w:type="dxa"/>
          </w:tcPr>
          <w:p w:rsidR="00856EAE" w:rsidRDefault="00464059" w:rsidP="003714D8">
            <w:r>
              <w:rPr>
                <w:noProof/>
                <w:lang w:eastAsia="en-AU"/>
              </w:rPr>
              <w:pict>
                <v:shape id="_x0000_s1036" type="#_x0000_t202" style="position:absolute;left:0;text-align:left;margin-left:24.4pt;margin-top:3.6pt;width:18.2pt;height:27.2pt;z-index:251667456;mso-height-percent:200;mso-height-percent:200;mso-width-relative:margin;mso-height-relative:margin" filled="f" stroked="f">
                  <v:textbox style="mso-next-textbox:#_x0000_s1036;mso-fit-shape-to-text:t">
                    <w:txbxContent>
                      <w:p w:rsidR="000E55B0" w:rsidRPr="00F02218" w:rsidRDefault="000E55B0" w:rsidP="00856EAE">
                        <w:pPr>
                          <w:rPr>
                            <w:rFonts w:ascii="Arial" w:hAnsi="Arial" w:cs="Arial"/>
                            <w:b/>
                          </w:rPr>
                        </w:pPr>
                        <w:proofErr w:type="gramStart"/>
                        <w:r w:rsidRPr="00F02218">
                          <w:rPr>
                            <w:rFonts w:ascii="Arial" w:hAnsi="Arial" w:cs="Arial"/>
                            <w:b/>
                          </w:rPr>
                          <w:t>a</w:t>
                        </w:r>
                        <w:proofErr w:type="gramEnd"/>
                      </w:p>
                    </w:txbxContent>
                  </v:textbox>
                </v:shape>
              </w:pict>
            </w:r>
            <w:r w:rsidR="00856EAE">
              <w:rPr>
                <w:noProof/>
                <w:lang w:eastAsia="en-AU"/>
              </w:rPr>
              <w:drawing>
                <wp:inline distT="0" distB="0" distL="0" distR="0">
                  <wp:extent cx="2648401" cy="1743023"/>
                  <wp:effectExtent l="19050" t="0" r="0"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l="1937" t="13550" r="13972" b="3547"/>
                          <a:stretch>
                            <a:fillRect/>
                          </a:stretch>
                        </pic:blipFill>
                        <pic:spPr bwMode="auto">
                          <a:xfrm>
                            <a:off x="0" y="0"/>
                            <a:ext cx="2648401" cy="1743023"/>
                          </a:xfrm>
                          <a:prstGeom prst="rect">
                            <a:avLst/>
                          </a:prstGeom>
                          <a:noFill/>
                          <a:ln w="9525">
                            <a:noFill/>
                            <a:miter lim="800000"/>
                            <a:headEnd/>
                            <a:tailEnd/>
                          </a:ln>
                        </pic:spPr>
                      </pic:pic>
                    </a:graphicData>
                  </a:graphic>
                </wp:inline>
              </w:drawing>
            </w:r>
          </w:p>
        </w:tc>
        <w:tc>
          <w:tcPr>
            <w:tcW w:w="4118" w:type="dxa"/>
          </w:tcPr>
          <w:p w:rsidR="00856EAE" w:rsidRDefault="00464059" w:rsidP="003714D8">
            <w:pPr>
              <w:ind w:left="-221"/>
            </w:pPr>
            <w:r>
              <w:rPr>
                <w:noProof/>
                <w:lang w:eastAsia="en-AU"/>
              </w:rPr>
              <w:pict>
                <v:shape id="_x0000_s1040" type="#_x0000_t202" style="position:absolute;left:0;text-align:left;margin-left:14.85pt;margin-top:8.65pt;width:18.2pt;height:27.2pt;z-index:251671552;mso-height-percent:200;mso-position-horizontal-relative:text;mso-position-vertical-relative:text;mso-height-percent:200;mso-width-relative:margin;mso-height-relative:margin" filled="f" stroked="f">
                  <v:textbox style="mso-next-textbox:#_x0000_s1040;mso-fit-shape-to-text:t">
                    <w:txbxContent>
                      <w:p w:rsidR="000E55B0" w:rsidRPr="00F02218" w:rsidRDefault="000E55B0" w:rsidP="00856EAE">
                        <w:pPr>
                          <w:rPr>
                            <w:rFonts w:ascii="Arial" w:hAnsi="Arial" w:cs="Arial"/>
                            <w:b/>
                          </w:rPr>
                        </w:pPr>
                        <w:proofErr w:type="gramStart"/>
                        <w:r>
                          <w:rPr>
                            <w:rFonts w:ascii="Arial" w:hAnsi="Arial" w:cs="Arial"/>
                            <w:b/>
                          </w:rPr>
                          <w:t>b</w:t>
                        </w:r>
                        <w:proofErr w:type="gramEnd"/>
                      </w:p>
                    </w:txbxContent>
                  </v:textbox>
                </v:shape>
              </w:pict>
            </w:r>
            <w:r w:rsidR="00856EAE">
              <w:rPr>
                <w:noProof/>
                <w:lang w:eastAsia="en-AU"/>
              </w:rPr>
              <w:drawing>
                <wp:inline distT="0" distB="0" distL="0" distR="0">
                  <wp:extent cx="2574547" cy="1743612"/>
                  <wp:effectExtent l="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l="-1060" t="13354" r="19314" b="3715"/>
                          <a:stretch>
                            <a:fillRect/>
                          </a:stretch>
                        </pic:blipFill>
                        <pic:spPr bwMode="auto">
                          <a:xfrm>
                            <a:off x="0" y="0"/>
                            <a:ext cx="2574547" cy="1743612"/>
                          </a:xfrm>
                          <a:prstGeom prst="rect">
                            <a:avLst/>
                          </a:prstGeom>
                          <a:noFill/>
                          <a:ln w="9525">
                            <a:noFill/>
                            <a:miter lim="800000"/>
                            <a:headEnd/>
                            <a:tailEnd/>
                          </a:ln>
                        </pic:spPr>
                      </pic:pic>
                    </a:graphicData>
                  </a:graphic>
                </wp:inline>
              </w:drawing>
            </w:r>
          </w:p>
        </w:tc>
      </w:tr>
      <w:tr w:rsidR="00856EAE" w:rsidTr="003714D8">
        <w:tc>
          <w:tcPr>
            <w:tcW w:w="4404" w:type="dxa"/>
          </w:tcPr>
          <w:p w:rsidR="00856EAE" w:rsidRDefault="00464059" w:rsidP="003714D8">
            <w:pPr>
              <w:rPr>
                <w:noProof/>
                <w:lang w:eastAsia="en-AU"/>
              </w:rPr>
            </w:pPr>
            <w:r>
              <w:rPr>
                <w:noProof/>
                <w:lang w:eastAsia="en-AU"/>
              </w:rPr>
              <w:pict>
                <v:shape id="_x0000_s1041" type="#_x0000_t202" style="position:absolute;left:0;text-align:left;margin-left:27.6pt;margin-top:7.3pt;width:18.2pt;height:27.2pt;z-index:251672576;mso-height-percent:200;mso-position-horizontal-relative:text;mso-position-vertical-relative:text;mso-height-percent:200;mso-width-relative:margin;mso-height-relative:margin" filled="f" stroked="f">
                  <v:textbox style="mso-next-textbox:#_x0000_s1041;mso-fit-shape-to-text:t">
                    <w:txbxContent>
                      <w:p w:rsidR="000E55B0" w:rsidRPr="00F02218" w:rsidRDefault="000E55B0" w:rsidP="00856EAE">
                        <w:pPr>
                          <w:rPr>
                            <w:rFonts w:ascii="Arial" w:hAnsi="Arial" w:cs="Arial"/>
                            <w:b/>
                          </w:rPr>
                        </w:pPr>
                        <w:proofErr w:type="gramStart"/>
                        <w:r>
                          <w:rPr>
                            <w:rFonts w:ascii="Arial" w:hAnsi="Arial" w:cs="Arial"/>
                            <w:b/>
                          </w:rPr>
                          <w:t>c</w:t>
                        </w:r>
                        <w:proofErr w:type="gramEnd"/>
                      </w:p>
                    </w:txbxContent>
                  </v:textbox>
                </v:shape>
              </w:pict>
            </w:r>
            <w:r w:rsidR="00856EAE" w:rsidRPr="002E168F">
              <w:rPr>
                <w:noProof/>
                <w:lang w:eastAsia="en-AU"/>
              </w:rPr>
              <w:drawing>
                <wp:inline distT="0" distB="0" distL="0" distR="0">
                  <wp:extent cx="2614608" cy="1747838"/>
                  <wp:effectExtent l="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l="-113" t="12466" r="17095" b="4402"/>
                          <a:stretch>
                            <a:fillRect/>
                          </a:stretch>
                        </pic:blipFill>
                        <pic:spPr bwMode="auto">
                          <a:xfrm>
                            <a:off x="0" y="0"/>
                            <a:ext cx="2614608" cy="1747838"/>
                          </a:xfrm>
                          <a:prstGeom prst="rect">
                            <a:avLst/>
                          </a:prstGeom>
                          <a:noFill/>
                          <a:ln w="9525">
                            <a:noFill/>
                            <a:miter lim="800000"/>
                            <a:headEnd/>
                            <a:tailEnd/>
                          </a:ln>
                        </pic:spPr>
                      </pic:pic>
                    </a:graphicData>
                  </a:graphic>
                </wp:inline>
              </w:drawing>
            </w:r>
          </w:p>
        </w:tc>
        <w:tc>
          <w:tcPr>
            <w:tcW w:w="4118" w:type="dxa"/>
          </w:tcPr>
          <w:p w:rsidR="00856EAE" w:rsidRDefault="00464059" w:rsidP="003714D8">
            <w:pPr>
              <w:ind w:left="-106"/>
              <w:rPr>
                <w:noProof/>
                <w:lang w:eastAsia="en-AU"/>
              </w:rPr>
            </w:pPr>
            <w:r>
              <w:rPr>
                <w:noProof/>
                <w:lang w:eastAsia="en-AU"/>
              </w:rPr>
              <w:pict>
                <v:shape id="_x0000_s1042" type="#_x0000_t202" style="position:absolute;left:0;text-align:left;margin-left:19.95pt;margin-top:4.1pt;width:18.2pt;height:27.2pt;z-index:251673600;mso-height-percent:200;mso-position-horizontal-relative:text;mso-position-vertical-relative:text;mso-height-percent:200;mso-width-relative:margin;mso-height-relative:margin" filled="f" stroked="f">
                  <v:textbox style="mso-next-textbox:#_x0000_s1042;mso-fit-shape-to-text:t">
                    <w:txbxContent>
                      <w:p w:rsidR="000E55B0" w:rsidRPr="00F02218" w:rsidRDefault="000E55B0" w:rsidP="00856EAE">
                        <w:pPr>
                          <w:rPr>
                            <w:rFonts w:ascii="Arial" w:hAnsi="Arial" w:cs="Arial"/>
                            <w:b/>
                          </w:rPr>
                        </w:pPr>
                        <w:proofErr w:type="gramStart"/>
                        <w:r>
                          <w:rPr>
                            <w:rFonts w:ascii="Arial" w:hAnsi="Arial" w:cs="Arial"/>
                            <w:b/>
                          </w:rPr>
                          <w:t>d</w:t>
                        </w:r>
                        <w:proofErr w:type="gramEnd"/>
                      </w:p>
                    </w:txbxContent>
                  </v:textbox>
                </v:shape>
              </w:pict>
            </w:r>
            <w:r w:rsidR="00856EAE">
              <w:rPr>
                <w:noProof/>
                <w:lang w:eastAsia="en-AU"/>
              </w:rPr>
              <w:drawing>
                <wp:inline distT="0" distB="0" distL="0" distR="0">
                  <wp:extent cx="2553509" cy="1705683"/>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t="14905" r="18922" b="3968"/>
                          <a:stretch>
                            <a:fillRect/>
                          </a:stretch>
                        </pic:blipFill>
                        <pic:spPr bwMode="auto">
                          <a:xfrm>
                            <a:off x="0" y="0"/>
                            <a:ext cx="2553509" cy="1705683"/>
                          </a:xfrm>
                          <a:prstGeom prst="rect">
                            <a:avLst/>
                          </a:prstGeom>
                          <a:noFill/>
                          <a:ln w="9525">
                            <a:noFill/>
                            <a:miter lim="800000"/>
                            <a:headEnd/>
                            <a:tailEnd/>
                          </a:ln>
                        </pic:spPr>
                      </pic:pic>
                    </a:graphicData>
                  </a:graphic>
                </wp:inline>
              </w:drawing>
            </w:r>
          </w:p>
        </w:tc>
      </w:tr>
    </w:tbl>
    <w:p w:rsidR="00856EAE" w:rsidRDefault="00D62FA2" w:rsidP="00856EAE">
      <w:pPr>
        <w:pStyle w:val="figurecaption"/>
      </w:pPr>
      <w:bookmarkStart w:id="59" w:name="_Toc433624066"/>
      <w:r w:rsidRPr="000E55B0">
        <w:rPr>
          <w:b/>
        </w:rPr>
        <w:t>Figure 6</w:t>
      </w:r>
      <w:r>
        <w:t xml:space="preserve"> (a, c) Histograms and (b, d) cumulative probability plots of all total and filtered water </w:t>
      </w:r>
      <w:r w:rsidRPr="006C7140">
        <w:rPr>
          <w:snapToGrid w:val="0"/>
          <w:color w:val="000000"/>
          <w:position w:val="6"/>
          <w:sz w:val="16"/>
          <w:szCs w:val="0"/>
          <w:u w:color="000000"/>
        </w:rPr>
        <w:t>226</w:t>
      </w:r>
      <w:r>
        <w:t xml:space="preserve">Ra activity concentrations (in </w:t>
      </w:r>
      <w:proofErr w:type="spellStart"/>
      <w:r>
        <w:t>Bq.L</w:t>
      </w:r>
      <w:proofErr w:type="spellEnd"/>
      <w:r w:rsidRPr="006C7140">
        <w:rPr>
          <w:snapToGrid w:val="0"/>
          <w:color w:val="000000"/>
          <w:position w:val="6"/>
          <w:sz w:val="16"/>
          <w:szCs w:val="0"/>
          <w:u w:color="000000"/>
        </w:rPr>
        <w:t>-1</w:t>
      </w:r>
      <w:r>
        <w:t xml:space="preserve">) measured in </w:t>
      </w:r>
      <w:proofErr w:type="spellStart"/>
      <w:r>
        <w:t>Mudginberri</w:t>
      </w:r>
      <w:proofErr w:type="spellEnd"/>
      <w:r>
        <w:t xml:space="preserve"> Billabong. </w:t>
      </w:r>
      <w:r w:rsidR="00856EAE">
        <w:t>The blue lines are a lognormal fit to the distribution and associated 95% confidence intervals.</w:t>
      </w:r>
      <w:bookmarkEnd w:id="59"/>
    </w:p>
    <w:p w:rsidR="00856EAE" w:rsidRDefault="00856EAE" w:rsidP="00856EAE">
      <w:pPr>
        <w:pStyle w:val="Heading3"/>
      </w:pPr>
      <w:bookmarkStart w:id="60" w:name="_Toc443054597"/>
      <w:proofErr w:type="gramStart"/>
      <w:r>
        <w:t xml:space="preserve">3.1.2 </w:t>
      </w:r>
      <w:r w:rsidR="000E55B0">
        <w:t xml:space="preserve"> </w:t>
      </w:r>
      <w:r>
        <w:t>Magela</w:t>
      </w:r>
      <w:proofErr w:type="gramEnd"/>
      <w:r>
        <w:t xml:space="preserve"> Creek</w:t>
      </w:r>
      <w:bookmarkEnd w:id="60"/>
    </w:p>
    <w:p w:rsidR="00856EAE" w:rsidRDefault="00856EAE" w:rsidP="00856EAE">
      <w:r>
        <w:t xml:space="preserve">Figures 7a and 7b show the time series of all water </w:t>
      </w:r>
      <w:r w:rsidRPr="006C7140">
        <w:rPr>
          <w:snapToGrid w:val="0"/>
          <w:color w:val="000000"/>
          <w:position w:val="6"/>
          <w:sz w:val="16"/>
          <w:szCs w:val="0"/>
          <w:u w:color="000000"/>
        </w:rPr>
        <w:t>226</w:t>
      </w:r>
      <w:r>
        <w:t xml:space="preserve">Ra activity concentrations measured by </w:t>
      </w:r>
      <w:r>
        <w:rPr>
          <w:b/>
          <w:i/>
          <w:sz w:val="26"/>
        </w:rPr>
        <w:t>eriss</w:t>
      </w:r>
      <w:r>
        <w:t xml:space="preserve"> in Magela Creek (upstream and downstream sites) since the commencement of </w:t>
      </w:r>
      <w:r w:rsidRPr="0015498E">
        <w:rPr>
          <w:snapToGrid w:val="0"/>
          <w:color w:val="000000"/>
          <w:position w:val="6"/>
          <w:sz w:val="16"/>
          <w:szCs w:val="0"/>
          <w:u w:color="000000"/>
        </w:rPr>
        <w:t>226</w:t>
      </w:r>
      <w:r>
        <w:t xml:space="preserve">Ra monitoring in 2000. Data shown are for both total and filtered water activity concentrations. Data have been extracted from the BRUCE tool, described in Doering (2013) and sites include all sites along the Magela Creek channel from which water samples have been collected. </w:t>
      </w:r>
    </w:p>
    <w:p w:rsidR="00856EAE" w:rsidRDefault="00856EAE" w:rsidP="00856EAE">
      <w:r>
        <w:t xml:space="preserve">Total water </w:t>
      </w:r>
      <w:r w:rsidRPr="006C7140">
        <w:rPr>
          <w:snapToGrid w:val="0"/>
          <w:color w:val="000000"/>
          <w:position w:val="6"/>
          <w:sz w:val="16"/>
          <w:szCs w:val="0"/>
          <w:u w:color="000000"/>
        </w:rPr>
        <w:t>226</w:t>
      </w:r>
      <w:r>
        <w:t xml:space="preserve">Ra activity concentrations in Magela Creek follow a log-normal distribution with an Anderson-Darling statistics value of 0.482 and p = 0.227 (Figure 8), a statistical summary of the data is provided in Table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76"/>
        <w:gridCol w:w="4146"/>
      </w:tblGrid>
      <w:tr w:rsidR="00856EAE" w:rsidTr="003714D8">
        <w:tc>
          <w:tcPr>
            <w:tcW w:w="4379" w:type="dxa"/>
          </w:tcPr>
          <w:p w:rsidR="00856EAE" w:rsidRDefault="00856EAE" w:rsidP="003714D8">
            <w:pPr>
              <w:spacing w:after="0"/>
            </w:pPr>
            <w:r>
              <w:rPr>
                <w:noProof/>
                <w:lang w:eastAsia="en-AU"/>
              </w:rPr>
              <w:drawing>
                <wp:inline distT="0" distB="0" distL="0" distR="0">
                  <wp:extent cx="2652982" cy="1804419"/>
                  <wp:effectExtent l="19050" t="0" r="0"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t="8609"/>
                          <a:stretch>
                            <a:fillRect/>
                          </a:stretch>
                        </pic:blipFill>
                        <pic:spPr bwMode="auto">
                          <a:xfrm>
                            <a:off x="0" y="0"/>
                            <a:ext cx="2652982" cy="1804419"/>
                          </a:xfrm>
                          <a:prstGeom prst="rect">
                            <a:avLst/>
                          </a:prstGeom>
                          <a:noFill/>
                          <a:ln w="9525">
                            <a:noFill/>
                            <a:miter lim="800000"/>
                            <a:headEnd/>
                            <a:tailEnd/>
                          </a:ln>
                        </pic:spPr>
                      </pic:pic>
                    </a:graphicData>
                  </a:graphic>
                </wp:inline>
              </w:drawing>
            </w:r>
          </w:p>
        </w:tc>
        <w:tc>
          <w:tcPr>
            <w:tcW w:w="4143" w:type="dxa"/>
          </w:tcPr>
          <w:p w:rsidR="00856EAE" w:rsidRDefault="00856EAE" w:rsidP="003714D8">
            <w:pPr>
              <w:spacing w:after="0"/>
              <w:ind w:left="-108"/>
            </w:pPr>
            <w:r>
              <w:rPr>
                <w:noProof/>
                <w:lang w:eastAsia="en-AU"/>
              </w:rPr>
              <w:drawing>
                <wp:inline distT="0" distB="0" distL="0" distR="0">
                  <wp:extent cx="2573922" cy="1804419"/>
                  <wp:effectExtent l="19050" t="0" r="0"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t="8609"/>
                          <a:stretch>
                            <a:fillRect/>
                          </a:stretch>
                        </pic:blipFill>
                        <pic:spPr bwMode="auto">
                          <a:xfrm>
                            <a:off x="0" y="0"/>
                            <a:ext cx="2573922" cy="1804419"/>
                          </a:xfrm>
                          <a:prstGeom prst="rect">
                            <a:avLst/>
                          </a:prstGeom>
                          <a:noFill/>
                          <a:ln w="9525">
                            <a:noFill/>
                            <a:miter lim="800000"/>
                            <a:headEnd/>
                            <a:tailEnd/>
                          </a:ln>
                        </pic:spPr>
                      </pic:pic>
                    </a:graphicData>
                  </a:graphic>
                </wp:inline>
              </w:drawing>
            </w:r>
          </w:p>
        </w:tc>
      </w:tr>
    </w:tbl>
    <w:p w:rsidR="00856EAE" w:rsidRDefault="00856EAE" w:rsidP="00856EAE">
      <w:pPr>
        <w:pStyle w:val="figurecaption"/>
      </w:pPr>
      <w:bookmarkStart w:id="61" w:name="_Toc433624067"/>
      <w:r w:rsidRPr="000E55B0">
        <w:rPr>
          <w:b/>
        </w:rPr>
        <w:t>Figure 7</w:t>
      </w:r>
      <w:r>
        <w:t xml:space="preserve"> Time series of (a) total and (b) filtered </w:t>
      </w:r>
      <w:r w:rsidRPr="006B19B2">
        <w:rPr>
          <w:snapToGrid w:val="0"/>
          <w:color w:val="000000"/>
          <w:position w:val="4"/>
          <w:sz w:val="12"/>
          <w:szCs w:val="0"/>
          <w:u w:color="000000"/>
        </w:rPr>
        <w:t>226</w:t>
      </w:r>
      <w:r>
        <w:t>Ra activity concentrations in Magela Creek, from 2000 to 2013.</w:t>
      </w:r>
      <w:bookmarkEnd w:id="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45"/>
        <w:gridCol w:w="4177"/>
      </w:tblGrid>
      <w:tr w:rsidR="00856EAE" w:rsidTr="003714D8">
        <w:tc>
          <w:tcPr>
            <w:tcW w:w="4345" w:type="dxa"/>
          </w:tcPr>
          <w:p w:rsidR="00856EAE" w:rsidRDefault="00464059" w:rsidP="003714D8">
            <w:pPr>
              <w:spacing w:after="0" w:line="240" w:lineRule="atLeast"/>
            </w:pPr>
            <w:r>
              <w:rPr>
                <w:noProof/>
                <w:lang w:eastAsia="en-AU"/>
              </w:rPr>
              <w:pict>
                <v:shape id="_x0000_s1038" type="#_x0000_t202" style="position:absolute;left:0;text-align:left;margin-left:29.55pt;margin-top:145.55pt;width:18.2pt;height:27.2pt;z-index:251669504;mso-height-percent:200;mso-height-percent:200;mso-width-relative:margin;mso-height-relative:margin" filled="f" stroked="f">
                  <v:textbox style="mso-next-textbox:#_x0000_s1038;mso-fit-shape-to-text:t">
                    <w:txbxContent>
                      <w:p w:rsidR="000E55B0" w:rsidRPr="00375AFA" w:rsidRDefault="000E55B0" w:rsidP="00856EAE">
                        <w:pPr>
                          <w:rPr>
                            <w:rFonts w:ascii="Arial" w:hAnsi="Arial" w:cs="Arial"/>
                            <w:b/>
                          </w:rPr>
                        </w:pPr>
                        <w:proofErr w:type="gramStart"/>
                        <w:r>
                          <w:rPr>
                            <w:rFonts w:ascii="Arial" w:hAnsi="Arial" w:cs="Arial"/>
                            <w:b/>
                          </w:rPr>
                          <w:t>c</w:t>
                        </w:r>
                        <w:proofErr w:type="gramEnd"/>
                      </w:p>
                    </w:txbxContent>
                  </v:textbox>
                </v:shape>
              </w:pict>
            </w:r>
            <w:r w:rsidRPr="00464059">
              <w:rPr>
                <w:noProof/>
                <w:lang w:val="en-US" w:eastAsia="zh-TW"/>
              </w:rPr>
              <w:pict>
                <v:shape id="_x0000_s1035" type="#_x0000_t202" style="position:absolute;left:0;text-align:left;margin-left:24.95pt;margin-top:4.75pt;width:18.2pt;height:27.95pt;z-index:251666432;mso-height-percent:200;mso-height-percent:200;mso-width-relative:margin;mso-height-relative:margin" filled="f" stroked="f">
                  <v:textbox style="mso-next-textbox:#_x0000_s1035;mso-fit-shape-to-text:t">
                    <w:txbxContent>
                      <w:p w:rsidR="000E55B0" w:rsidRPr="00375AFA" w:rsidRDefault="000E55B0" w:rsidP="00856EAE">
                        <w:pPr>
                          <w:rPr>
                            <w:rFonts w:ascii="Arial" w:hAnsi="Arial" w:cs="Arial"/>
                            <w:b/>
                          </w:rPr>
                        </w:pPr>
                        <w:proofErr w:type="gramStart"/>
                        <w:r w:rsidRPr="00375AFA">
                          <w:rPr>
                            <w:rFonts w:ascii="Arial" w:hAnsi="Arial" w:cs="Arial"/>
                            <w:b/>
                          </w:rPr>
                          <w:t>a</w:t>
                        </w:r>
                        <w:proofErr w:type="gramEnd"/>
                      </w:p>
                    </w:txbxContent>
                  </v:textbox>
                </v:shape>
              </w:pict>
            </w:r>
            <w:r w:rsidR="00856EAE">
              <w:rPr>
                <w:noProof/>
                <w:lang w:eastAsia="en-AU"/>
              </w:rPr>
              <w:drawing>
                <wp:inline distT="0" distB="0" distL="0" distR="0">
                  <wp:extent cx="2605606" cy="1675483"/>
                  <wp:effectExtent l="0" t="0" r="4244"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t="14603" r="15298" b="3809"/>
                          <a:stretch>
                            <a:fillRect/>
                          </a:stretch>
                        </pic:blipFill>
                        <pic:spPr bwMode="auto">
                          <a:xfrm>
                            <a:off x="0" y="0"/>
                            <a:ext cx="2605606" cy="1675483"/>
                          </a:xfrm>
                          <a:prstGeom prst="rect">
                            <a:avLst/>
                          </a:prstGeom>
                          <a:noFill/>
                          <a:ln w="9525">
                            <a:noFill/>
                            <a:miter lim="800000"/>
                            <a:headEnd/>
                            <a:tailEnd/>
                          </a:ln>
                        </pic:spPr>
                      </pic:pic>
                    </a:graphicData>
                  </a:graphic>
                </wp:inline>
              </w:drawing>
            </w:r>
          </w:p>
        </w:tc>
        <w:tc>
          <w:tcPr>
            <w:tcW w:w="4177" w:type="dxa"/>
          </w:tcPr>
          <w:p w:rsidR="00856EAE" w:rsidRDefault="00464059" w:rsidP="003714D8">
            <w:pPr>
              <w:spacing w:after="0" w:line="240" w:lineRule="atLeast"/>
              <w:ind w:left="-221"/>
            </w:pPr>
            <w:r>
              <w:rPr>
                <w:noProof/>
                <w:lang w:eastAsia="en-AU"/>
              </w:rPr>
              <w:pict>
                <v:shape id="_x0000_s1037" type="#_x0000_t202" style="position:absolute;left:0;text-align:left;margin-left:20.75pt;margin-top:1.75pt;width:18.2pt;height:27.2pt;z-index:251668480;mso-height-percent:200;mso-position-horizontal-relative:text;mso-position-vertical-relative:text;mso-height-percent:200;mso-width-relative:margin;mso-height-relative:margin" filled="f" stroked="f">
                  <v:textbox style="mso-next-textbox:#_x0000_s1037;mso-fit-shape-to-text:t">
                    <w:txbxContent>
                      <w:p w:rsidR="000E55B0" w:rsidRPr="00375AFA" w:rsidRDefault="000E55B0" w:rsidP="00856EAE">
                        <w:pPr>
                          <w:rPr>
                            <w:rFonts w:ascii="Arial" w:hAnsi="Arial" w:cs="Arial"/>
                            <w:b/>
                          </w:rPr>
                        </w:pPr>
                        <w:proofErr w:type="gramStart"/>
                        <w:r>
                          <w:rPr>
                            <w:rFonts w:ascii="Arial" w:hAnsi="Arial" w:cs="Arial"/>
                            <w:b/>
                          </w:rPr>
                          <w:t>b</w:t>
                        </w:r>
                        <w:proofErr w:type="gramEnd"/>
                      </w:p>
                    </w:txbxContent>
                  </v:textbox>
                </v:shape>
              </w:pict>
            </w:r>
            <w:r w:rsidR="00856EAE">
              <w:rPr>
                <w:noProof/>
                <w:lang w:eastAsia="en-AU"/>
              </w:rPr>
              <w:drawing>
                <wp:inline distT="0" distB="0" distL="0" distR="0">
                  <wp:extent cx="2580874" cy="1631454"/>
                  <wp:effectExtent l="0" t="0" r="0"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l="-1483" t="16190" r="17585" b="4366"/>
                          <a:stretch>
                            <a:fillRect/>
                          </a:stretch>
                        </pic:blipFill>
                        <pic:spPr bwMode="auto">
                          <a:xfrm>
                            <a:off x="0" y="0"/>
                            <a:ext cx="2580874" cy="1631454"/>
                          </a:xfrm>
                          <a:prstGeom prst="rect">
                            <a:avLst/>
                          </a:prstGeom>
                          <a:noFill/>
                          <a:ln w="9525">
                            <a:noFill/>
                            <a:miter lim="800000"/>
                            <a:headEnd/>
                            <a:tailEnd/>
                          </a:ln>
                        </pic:spPr>
                      </pic:pic>
                    </a:graphicData>
                  </a:graphic>
                </wp:inline>
              </w:drawing>
            </w:r>
          </w:p>
        </w:tc>
      </w:tr>
      <w:tr w:rsidR="00856EAE" w:rsidTr="003714D8">
        <w:tc>
          <w:tcPr>
            <w:tcW w:w="4345" w:type="dxa"/>
          </w:tcPr>
          <w:p w:rsidR="00856EAE" w:rsidRDefault="00856EAE" w:rsidP="003714D8">
            <w:pPr>
              <w:spacing w:after="0" w:line="240" w:lineRule="atLeast"/>
              <w:rPr>
                <w:noProof/>
                <w:lang w:eastAsia="en-AU"/>
              </w:rPr>
            </w:pPr>
            <w:r>
              <w:rPr>
                <w:noProof/>
                <w:lang w:eastAsia="en-AU"/>
              </w:rPr>
              <w:drawing>
                <wp:inline distT="0" distB="0" distL="0" distR="0">
                  <wp:extent cx="2606960" cy="1688503"/>
                  <wp:effectExtent l="0" t="0" r="2890" b="0"/>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t="14286" r="15254" b="3492"/>
                          <a:stretch>
                            <a:fillRect/>
                          </a:stretch>
                        </pic:blipFill>
                        <pic:spPr bwMode="auto">
                          <a:xfrm>
                            <a:off x="0" y="0"/>
                            <a:ext cx="2606960" cy="1688503"/>
                          </a:xfrm>
                          <a:prstGeom prst="rect">
                            <a:avLst/>
                          </a:prstGeom>
                          <a:noFill/>
                          <a:ln w="9525">
                            <a:noFill/>
                            <a:miter lim="800000"/>
                            <a:headEnd/>
                            <a:tailEnd/>
                          </a:ln>
                        </pic:spPr>
                      </pic:pic>
                    </a:graphicData>
                  </a:graphic>
                </wp:inline>
              </w:drawing>
            </w:r>
          </w:p>
        </w:tc>
        <w:tc>
          <w:tcPr>
            <w:tcW w:w="4177" w:type="dxa"/>
          </w:tcPr>
          <w:p w:rsidR="00856EAE" w:rsidRDefault="00856EAE" w:rsidP="003714D8">
            <w:pPr>
              <w:spacing w:after="0" w:line="240" w:lineRule="atLeast"/>
              <w:ind w:left="-108"/>
              <w:rPr>
                <w:noProof/>
                <w:lang w:eastAsia="en-AU"/>
              </w:rPr>
            </w:pPr>
            <w:r>
              <w:rPr>
                <w:noProof/>
                <w:lang w:eastAsia="en-AU"/>
              </w:rPr>
              <w:drawing>
                <wp:inline distT="0" distB="0" distL="0" distR="0">
                  <wp:extent cx="2567861" cy="1688503"/>
                  <wp:effectExtent l="0" t="0" r="0"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t="14921" r="16525" b="2857"/>
                          <a:stretch>
                            <a:fillRect/>
                          </a:stretch>
                        </pic:blipFill>
                        <pic:spPr bwMode="auto">
                          <a:xfrm>
                            <a:off x="0" y="0"/>
                            <a:ext cx="2567861" cy="1688503"/>
                          </a:xfrm>
                          <a:prstGeom prst="rect">
                            <a:avLst/>
                          </a:prstGeom>
                          <a:noFill/>
                          <a:ln w="9525">
                            <a:noFill/>
                            <a:miter lim="800000"/>
                            <a:headEnd/>
                            <a:tailEnd/>
                          </a:ln>
                        </pic:spPr>
                      </pic:pic>
                    </a:graphicData>
                  </a:graphic>
                </wp:inline>
              </w:drawing>
            </w:r>
            <w:r w:rsidR="00464059">
              <w:rPr>
                <w:noProof/>
                <w:lang w:eastAsia="en-AU"/>
              </w:rPr>
              <w:pict>
                <v:shape id="_x0000_s1039" type="#_x0000_t202" style="position:absolute;left:0;text-align:left;margin-left:20.75pt;margin-top:5.15pt;width:18.2pt;height:27.2pt;z-index:251670528;mso-height-percent:200;mso-position-horizontal-relative:text;mso-position-vertical-relative:text;mso-height-percent:200;mso-width-relative:margin;mso-height-relative:margin" filled="f" stroked="f">
                  <v:textbox style="mso-next-textbox:#_x0000_s1039;mso-fit-shape-to-text:t">
                    <w:txbxContent>
                      <w:p w:rsidR="000E55B0" w:rsidRPr="00375AFA" w:rsidRDefault="000E55B0" w:rsidP="00856EAE">
                        <w:pPr>
                          <w:rPr>
                            <w:rFonts w:ascii="Arial" w:hAnsi="Arial" w:cs="Arial"/>
                            <w:b/>
                          </w:rPr>
                        </w:pPr>
                        <w:proofErr w:type="gramStart"/>
                        <w:r>
                          <w:rPr>
                            <w:rFonts w:ascii="Arial" w:hAnsi="Arial" w:cs="Arial"/>
                            <w:b/>
                          </w:rPr>
                          <w:t>d</w:t>
                        </w:r>
                        <w:proofErr w:type="gramEnd"/>
                      </w:p>
                    </w:txbxContent>
                  </v:textbox>
                </v:shape>
              </w:pict>
            </w:r>
          </w:p>
        </w:tc>
      </w:tr>
    </w:tbl>
    <w:p w:rsidR="00856EAE" w:rsidRDefault="00D62FA2" w:rsidP="00856EAE">
      <w:pPr>
        <w:pStyle w:val="figurecaption"/>
      </w:pPr>
      <w:bookmarkStart w:id="62" w:name="_Toc433624068"/>
      <w:r w:rsidRPr="000E55B0">
        <w:rPr>
          <w:b/>
        </w:rPr>
        <w:t xml:space="preserve">Figure </w:t>
      </w:r>
      <w:proofErr w:type="gramStart"/>
      <w:r w:rsidRPr="000E55B0">
        <w:rPr>
          <w:b/>
        </w:rPr>
        <w:t>8</w:t>
      </w:r>
      <w:r>
        <w:t xml:space="preserve">  (</w:t>
      </w:r>
      <w:proofErr w:type="gramEnd"/>
      <w:r>
        <w:t xml:space="preserve">a, c) Histograms and (b, d) cumulative probability plots of all total and filtered water </w:t>
      </w:r>
      <w:r w:rsidRPr="006B19B2">
        <w:rPr>
          <w:snapToGrid w:val="0"/>
          <w:color w:val="000000"/>
          <w:position w:val="4"/>
          <w:sz w:val="12"/>
          <w:szCs w:val="0"/>
          <w:u w:color="000000"/>
        </w:rPr>
        <w:t>226</w:t>
      </w:r>
      <w:r>
        <w:t>Ra activity concentrations (</w:t>
      </w:r>
      <w:proofErr w:type="spellStart"/>
      <w:r>
        <w:t>Bq</w:t>
      </w:r>
      <w:r w:rsidR="008E3D10">
        <w:rPr>
          <w:rFonts w:cs="Arial"/>
        </w:rPr>
        <w:t>·</w:t>
      </w:r>
      <w:r>
        <w:t>L</w:t>
      </w:r>
      <w:proofErr w:type="spellEnd"/>
      <w:r w:rsidRPr="006B19B2">
        <w:rPr>
          <w:snapToGrid w:val="0"/>
          <w:color w:val="000000"/>
          <w:position w:val="4"/>
          <w:sz w:val="12"/>
          <w:szCs w:val="0"/>
          <w:u w:color="000000"/>
        </w:rPr>
        <w:t>-1</w:t>
      </w:r>
      <w:r>
        <w:t xml:space="preserve">) measured in Magela Creek from 2000 onwards. </w:t>
      </w:r>
      <w:r w:rsidR="00856EAE">
        <w:t>The blue lines are lognormal fits to the distribution and associated 95% confidence intervals.</w:t>
      </w:r>
      <w:bookmarkEnd w:id="62"/>
    </w:p>
    <w:p w:rsidR="00856EAE" w:rsidRDefault="00D62FA2" w:rsidP="00856EAE">
      <w:pPr>
        <w:pStyle w:val="tablecaption"/>
        <w:jc w:val="center"/>
      </w:pPr>
      <w:bookmarkStart w:id="63" w:name="_Toc433624056"/>
      <w:r w:rsidRPr="000E55B0">
        <w:rPr>
          <w:b/>
        </w:rPr>
        <w:t>Table 2</w:t>
      </w:r>
      <w:r>
        <w:t xml:space="preserve"> Summary of total and filtered water </w:t>
      </w:r>
      <w:r w:rsidRPr="006B19B2">
        <w:rPr>
          <w:snapToGrid w:val="0"/>
          <w:color w:val="000000"/>
          <w:position w:val="4"/>
          <w:sz w:val="12"/>
          <w:szCs w:val="0"/>
          <w:u w:color="000000"/>
        </w:rPr>
        <w:t>226</w:t>
      </w:r>
      <w:r>
        <w:t>Ra activity concentrations (</w:t>
      </w:r>
      <w:proofErr w:type="spellStart"/>
      <w:r>
        <w:t>Bq</w:t>
      </w:r>
      <w:r w:rsidR="008E3D10">
        <w:rPr>
          <w:rFonts w:cs="Arial"/>
        </w:rPr>
        <w:t>·</w:t>
      </w:r>
      <w:r>
        <w:t>L</w:t>
      </w:r>
      <w:proofErr w:type="spellEnd"/>
      <w:r w:rsidRPr="006B19B2">
        <w:rPr>
          <w:snapToGrid w:val="0"/>
          <w:color w:val="000000"/>
          <w:position w:val="4"/>
          <w:sz w:val="12"/>
          <w:szCs w:val="0"/>
          <w:u w:color="000000"/>
        </w:rPr>
        <w:t>-1</w:t>
      </w:r>
      <w:r>
        <w:t xml:space="preserve">). </w:t>
      </w:r>
      <w:r w:rsidR="00856EAE">
        <w:t>Arithmetic means and standard deviations are shown. Geometric means are in brackets.</w:t>
      </w:r>
      <w:bookmarkEnd w:id="63"/>
    </w:p>
    <w:tbl>
      <w:tblPr>
        <w:tblStyle w:val="TableGrid"/>
        <w:tblW w:w="0" w:type="auto"/>
        <w:jc w:val="center"/>
        <w:tblBorders>
          <w:left w:val="none" w:sz="0" w:space="0" w:color="auto"/>
          <w:right w:val="none" w:sz="0" w:space="0" w:color="auto"/>
          <w:insideV w:val="none" w:sz="0" w:space="0" w:color="auto"/>
        </w:tblBorders>
        <w:tblLook w:val="04A0"/>
      </w:tblPr>
      <w:tblGrid>
        <w:gridCol w:w="1809"/>
        <w:gridCol w:w="1418"/>
        <w:gridCol w:w="1559"/>
        <w:gridCol w:w="1134"/>
      </w:tblGrid>
      <w:tr w:rsidR="00856EAE" w:rsidRPr="00D46517" w:rsidTr="003714D8">
        <w:trPr>
          <w:jc w:val="center"/>
        </w:trPr>
        <w:tc>
          <w:tcPr>
            <w:tcW w:w="1809" w:type="dxa"/>
          </w:tcPr>
          <w:p w:rsidR="00856EAE" w:rsidRPr="00D46517" w:rsidRDefault="00856EAE" w:rsidP="003714D8">
            <w:pPr>
              <w:pStyle w:val="table2"/>
              <w:rPr>
                <w:b/>
              </w:rPr>
            </w:pPr>
          </w:p>
        </w:tc>
        <w:tc>
          <w:tcPr>
            <w:tcW w:w="1418" w:type="dxa"/>
          </w:tcPr>
          <w:p w:rsidR="00856EAE" w:rsidRPr="00D46517" w:rsidRDefault="00856EAE" w:rsidP="003714D8">
            <w:pPr>
              <w:pStyle w:val="table2"/>
              <w:rPr>
                <w:b/>
              </w:rPr>
            </w:pPr>
            <w:r w:rsidRPr="00D46517">
              <w:rPr>
                <w:b/>
              </w:rPr>
              <w:t>Ra-226 total</w:t>
            </w:r>
          </w:p>
        </w:tc>
        <w:tc>
          <w:tcPr>
            <w:tcW w:w="1559" w:type="dxa"/>
          </w:tcPr>
          <w:p w:rsidR="00856EAE" w:rsidRPr="00D46517" w:rsidRDefault="00856EAE" w:rsidP="003714D8">
            <w:pPr>
              <w:pStyle w:val="table2"/>
              <w:rPr>
                <w:b/>
              </w:rPr>
            </w:pPr>
            <w:r w:rsidRPr="00D46517">
              <w:rPr>
                <w:b/>
              </w:rPr>
              <w:t>Ra-226 filtered</w:t>
            </w:r>
          </w:p>
        </w:tc>
        <w:tc>
          <w:tcPr>
            <w:tcW w:w="1134" w:type="dxa"/>
          </w:tcPr>
          <w:p w:rsidR="00856EAE" w:rsidRPr="00D46517" w:rsidRDefault="00856EAE" w:rsidP="003714D8">
            <w:pPr>
              <w:pStyle w:val="table2"/>
              <w:rPr>
                <w:b/>
              </w:rPr>
            </w:pPr>
            <w:r w:rsidRPr="00D46517">
              <w:rPr>
                <w:b/>
              </w:rPr>
              <w:t>total/filtered</w:t>
            </w:r>
          </w:p>
        </w:tc>
      </w:tr>
      <w:tr w:rsidR="00856EAE" w:rsidTr="003714D8">
        <w:trPr>
          <w:jc w:val="center"/>
        </w:trPr>
        <w:tc>
          <w:tcPr>
            <w:tcW w:w="5920" w:type="dxa"/>
            <w:gridSpan w:val="4"/>
          </w:tcPr>
          <w:p w:rsidR="00856EAE" w:rsidRPr="00D46517" w:rsidRDefault="00856EAE" w:rsidP="003714D8">
            <w:pPr>
              <w:pStyle w:val="table2"/>
              <w:rPr>
                <w:b/>
              </w:rPr>
            </w:pPr>
            <w:r w:rsidRPr="00D46517">
              <w:rPr>
                <w:b/>
              </w:rPr>
              <w:t>Mudginberri Billabong</w:t>
            </w:r>
          </w:p>
        </w:tc>
      </w:tr>
      <w:tr w:rsidR="00856EAE" w:rsidTr="003714D8">
        <w:trPr>
          <w:jc w:val="center"/>
        </w:trPr>
        <w:tc>
          <w:tcPr>
            <w:tcW w:w="1809" w:type="dxa"/>
          </w:tcPr>
          <w:p w:rsidR="00856EAE" w:rsidRDefault="00856EAE" w:rsidP="003714D8">
            <w:pPr>
              <w:pStyle w:val="table2"/>
            </w:pPr>
            <w:r>
              <w:t>All data</w:t>
            </w:r>
          </w:p>
        </w:tc>
        <w:tc>
          <w:tcPr>
            <w:tcW w:w="1418" w:type="dxa"/>
          </w:tcPr>
          <w:p w:rsidR="00856EAE" w:rsidRDefault="00856EAE" w:rsidP="003714D8">
            <w:pPr>
              <w:pStyle w:val="table2"/>
              <w:jc w:val="center"/>
            </w:pPr>
            <w:r>
              <w:t>0.0026± 0.0019</w:t>
            </w:r>
          </w:p>
          <w:p w:rsidR="00856EAE" w:rsidRDefault="00856EAE" w:rsidP="003714D8">
            <w:pPr>
              <w:pStyle w:val="table2"/>
              <w:jc w:val="center"/>
            </w:pPr>
            <w:r>
              <w:t>(0.0021)</w:t>
            </w:r>
          </w:p>
        </w:tc>
        <w:tc>
          <w:tcPr>
            <w:tcW w:w="1559" w:type="dxa"/>
          </w:tcPr>
          <w:p w:rsidR="00856EAE" w:rsidRDefault="00856EAE" w:rsidP="003714D8">
            <w:pPr>
              <w:pStyle w:val="table2"/>
              <w:jc w:val="center"/>
            </w:pPr>
            <w:r>
              <w:t>0.0012 ±0.0009</w:t>
            </w:r>
          </w:p>
          <w:p w:rsidR="00856EAE" w:rsidRDefault="00856EAE" w:rsidP="003714D8">
            <w:pPr>
              <w:pStyle w:val="table2"/>
              <w:jc w:val="center"/>
            </w:pPr>
            <w:r>
              <w:t>(0.010)</w:t>
            </w:r>
          </w:p>
        </w:tc>
        <w:tc>
          <w:tcPr>
            <w:tcW w:w="1134" w:type="dxa"/>
          </w:tcPr>
          <w:p w:rsidR="00856EAE" w:rsidRDefault="00856EAE" w:rsidP="003714D8">
            <w:pPr>
              <w:pStyle w:val="table2"/>
              <w:jc w:val="center"/>
            </w:pPr>
            <w:r>
              <w:t>2.1</w:t>
            </w:r>
          </w:p>
          <w:p w:rsidR="00856EAE" w:rsidRDefault="00856EAE" w:rsidP="003714D8">
            <w:pPr>
              <w:pStyle w:val="table2"/>
              <w:jc w:val="center"/>
            </w:pPr>
            <w:r>
              <w:t>(2.1)</w:t>
            </w:r>
          </w:p>
        </w:tc>
      </w:tr>
      <w:tr w:rsidR="00856EAE" w:rsidTr="003714D8">
        <w:trPr>
          <w:jc w:val="center"/>
        </w:trPr>
        <w:tc>
          <w:tcPr>
            <w:tcW w:w="1809" w:type="dxa"/>
          </w:tcPr>
          <w:p w:rsidR="00856EAE" w:rsidRDefault="00856EAE" w:rsidP="003714D8">
            <w:pPr>
              <w:pStyle w:val="table2"/>
            </w:pPr>
            <w:r>
              <w:t>1980s</w:t>
            </w:r>
          </w:p>
        </w:tc>
        <w:tc>
          <w:tcPr>
            <w:tcW w:w="1418" w:type="dxa"/>
          </w:tcPr>
          <w:p w:rsidR="00856EAE" w:rsidRDefault="00856EAE" w:rsidP="003714D8">
            <w:pPr>
              <w:pStyle w:val="table2"/>
              <w:jc w:val="center"/>
            </w:pPr>
            <w:r>
              <w:t>0.0031 ± 0.0023</w:t>
            </w:r>
          </w:p>
          <w:p w:rsidR="00856EAE" w:rsidRDefault="00856EAE" w:rsidP="003714D8">
            <w:pPr>
              <w:pStyle w:val="table2"/>
              <w:jc w:val="center"/>
            </w:pPr>
            <w:r>
              <w:t>(0.025)</w:t>
            </w:r>
          </w:p>
        </w:tc>
        <w:tc>
          <w:tcPr>
            <w:tcW w:w="1559" w:type="dxa"/>
          </w:tcPr>
          <w:p w:rsidR="00856EAE" w:rsidRDefault="00856EAE" w:rsidP="003714D8">
            <w:pPr>
              <w:pStyle w:val="table2"/>
              <w:jc w:val="center"/>
            </w:pPr>
            <w:r>
              <w:t>0.0012 ± 0.0011</w:t>
            </w:r>
          </w:p>
          <w:p w:rsidR="00856EAE" w:rsidRDefault="00856EAE" w:rsidP="003714D8">
            <w:pPr>
              <w:pStyle w:val="table2"/>
              <w:jc w:val="center"/>
            </w:pPr>
            <w:r>
              <w:t>(0.009)</w:t>
            </w:r>
          </w:p>
        </w:tc>
        <w:tc>
          <w:tcPr>
            <w:tcW w:w="1134" w:type="dxa"/>
          </w:tcPr>
          <w:p w:rsidR="00856EAE" w:rsidRDefault="00856EAE" w:rsidP="003714D8">
            <w:pPr>
              <w:pStyle w:val="table2"/>
              <w:jc w:val="center"/>
            </w:pPr>
            <w:r>
              <w:t>2.5</w:t>
            </w:r>
          </w:p>
          <w:p w:rsidR="00856EAE" w:rsidRDefault="00856EAE" w:rsidP="003714D8">
            <w:pPr>
              <w:pStyle w:val="table2"/>
              <w:jc w:val="center"/>
            </w:pPr>
            <w:r>
              <w:t>(2.8)</w:t>
            </w:r>
          </w:p>
        </w:tc>
      </w:tr>
      <w:tr w:rsidR="00856EAE" w:rsidTr="003714D8">
        <w:trPr>
          <w:jc w:val="center"/>
        </w:trPr>
        <w:tc>
          <w:tcPr>
            <w:tcW w:w="1809" w:type="dxa"/>
          </w:tcPr>
          <w:p w:rsidR="00856EAE" w:rsidRDefault="00856EAE" w:rsidP="003714D8">
            <w:pPr>
              <w:pStyle w:val="table2"/>
            </w:pPr>
            <w:r>
              <w:t>Post 2000</w:t>
            </w:r>
          </w:p>
        </w:tc>
        <w:tc>
          <w:tcPr>
            <w:tcW w:w="1418" w:type="dxa"/>
          </w:tcPr>
          <w:p w:rsidR="00856EAE" w:rsidRDefault="00856EAE" w:rsidP="003714D8">
            <w:pPr>
              <w:pStyle w:val="table2"/>
              <w:jc w:val="center"/>
            </w:pPr>
            <w:r>
              <w:t>0.0020 ± 0.0010</w:t>
            </w:r>
          </w:p>
          <w:p w:rsidR="00856EAE" w:rsidRDefault="00856EAE" w:rsidP="003714D8">
            <w:pPr>
              <w:pStyle w:val="table2"/>
              <w:jc w:val="center"/>
            </w:pPr>
            <w:r>
              <w:t>(0.018)</w:t>
            </w:r>
          </w:p>
        </w:tc>
        <w:tc>
          <w:tcPr>
            <w:tcW w:w="1559" w:type="dxa"/>
          </w:tcPr>
          <w:p w:rsidR="00856EAE" w:rsidRDefault="00856EAE" w:rsidP="003714D8">
            <w:pPr>
              <w:pStyle w:val="table2"/>
              <w:jc w:val="center"/>
            </w:pPr>
            <w:r>
              <w:t>0.00012 ± 0.0007</w:t>
            </w:r>
          </w:p>
          <w:p w:rsidR="00856EAE" w:rsidRDefault="00856EAE" w:rsidP="003714D8">
            <w:pPr>
              <w:pStyle w:val="table2"/>
              <w:jc w:val="center"/>
            </w:pPr>
            <w:r>
              <w:t>(0.010)</w:t>
            </w:r>
          </w:p>
        </w:tc>
        <w:tc>
          <w:tcPr>
            <w:tcW w:w="1134" w:type="dxa"/>
          </w:tcPr>
          <w:p w:rsidR="00856EAE" w:rsidRDefault="00856EAE" w:rsidP="003714D8">
            <w:pPr>
              <w:pStyle w:val="table2"/>
              <w:jc w:val="center"/>
            </w:pPr>
            <w:r>
              <w:t>1.6</w:t>
            </w:r>
          </w:p>
          <w:p w:rsidR="00856EAE" w:rsidRDefault="00856EAE" w:rsidP="003714D8">
            <w:pPr>
              <w:pStyle w:val="table2"/>
              <w:jc w:val="center"/>
            </w:pPr>
            <w:r>
              <w:t>(1.6)</w:t>
            </w:r>
          </w:p>
        </w:tc>
      </w:tr>
      <w:tr w:rsidR="00856EAE" w:rsidTr="003714D8">
        <w:trPr>
          <w:jc w:val="center"/>
        </w:trPr>
        <w:tc>
          <w:tcPr>
            <w:tcW w:w="5920" w:type="dxa"/>
            <w:gridSpan w:val="4"/>
          </w:tcPr>
          <w:p w:rsidR="00856EAE" w:rsidRPr="00D46517" w:rsidRDefault="00856EAE" w:rsidP="003714D8">
            <w:pPr>
              <w:pStyle w:val="table2"/>
              <w:rPr>
                <w:b/>
              </w:rPr>
            </w:pPr>
            <w:r w:rsidRPr="00D46517">
              <w:rPr>
                <w:b/>
              </w:rPr>
              <w:t>Magela Creek</w:t>
            </w:r>
          </w:p>
        </w:tc>
      </w:tr>
      <w:tr w:rsidR="00856EAE" w:rsidTr="003714D8">
        <w:trPr>
          <w:jc w:val="center"/>
        </w:trPr>
        <w:tc>
          <w:tcPr>
            <w:tcW w:w="1809" w:type="dxa"/>
          </w:tcPr>
          <w:p w:rsidR="00856EAE" w:rsidRDefault="00856EAE" w:rsidP="003714D8">
            <w:pPr>
              <w:pStyle w:val="table2"/>
            </w:pPr>
            <w:r>
              <w:t>Post 2000</w:t>
            </w:r>
          </w:p>
        </w:tc>
        <w:tc>
          <w:tcPr>
            <w:tcW w:w="1418" w:type="dxa"/>
          </w:tcPr>
          <w:p w:rsidR="00856EAE" w:rsidRDefault="00856EAE" w:rsidP="003714D8">
            <w:pPr>
              <w:pStyle w:val="table2"/>
              <w:jc w:val="center"/>
            </w:pPr>
            <w:r>
              <w:t>0.0021 ± 0.0008</w:t>
            </w:r>
          </w:p>
          <w:p w:rsidR="00856EAE" w:rsidRDefault="00856EAE" w:rsidP="003714D8">
            <w:pPr>
              <w:pStyle w:val="table2"/>
              <w:jc w:val="center"/>
            </w:pPr>
            <w:r>
              <w:t>(0.0020)</w:t>
            </w:r>
          </w:p>
        </w:tc>
        <w:tc>
          <w:tcPr>
            <w:tcW w:w="1559" w:type="dxa"/>
          </w:tcPr>
          <w:p w:rsidR="00856EAE" w:rsidRDefault="00856EAE" w:rsidP="003714D8">
            <w:pPr>
              <w:pStyle w:val="table2"/>
              <w:jc w:val="center"/>
            </w:pPr>
            <w:r>
              <w:t>0.0013 ± 0.0005</w:t>
            </w:r>
          </w:p>
          <w:p w:rsidR="00856EAE" w:rsidRDefault="00856EAE" w:rsidP="003714D8">
            <w:pPr>
              <w:pStyle w:val="table2"/>
              <w:jc w:val="center"/>
            </w:pPr>
            <w:r>
              <w:t>(0.0013)</w:t>
            </w:r>
          </w:p>
        </w:tc>
        <w:tc>
          <w:tcPr>
            <w:tcW w:w="1134" w:type="dxa"/>
          </w:tcPr>
          <w:p w:rsidR="00856EAE" w:rsidRDefault="00856EAE" w:rsidP="003714D8">
            <w:pPr>
              <w:pStyle w:val="table2"/>
              <w:jc w:val="center"/>
            </w:pPr>
            <w:r>
              <w:t>1.6</w:t>
            </w:r>
          </w:p>
          <w:p w:rsidR="00856EAE" w:rsidRDefault="00856EAE" w:rsidP="003714D8">
            <w:pPr>
              <w:pStyle w:val="table2"/>
              <w:jc w:val="center"/>
            </w:pPr>
            <w:r>
              <w:t>(1.6)</w:t>
            </w:r>
          </w:p>
        </w:tc>
      </w:tr>
    </w:tbl>
    <w:p w:rsidR="00856EAE" w:rsidRDefault="00856EAE" w:rsidP="00856EAE"/>
    <w:p w:rsidR="00856EAE" w:rsidRDefault="00856EAE" w:rsidP="00856EAE">
      <w:pPr>
        <w:pStyle w:val="Heading2"/>
      </w:pPr>
      <w:bookmarkStart w:id="64" w:name="_Toc443054598"/>
      <w:proofErr w:type="gramStart"/>
      <w:r>
        <w:t>3.3</w:t>
      </w:r>
      <w:r w:rsidR="000E55B0">
        <w:t xml:space="preserve"> </w:t>
      </w:r>
      <w:r>
        <w:t xml:space="preserve"> Radium</w:t>
      </w:r>
      <w:proofErr w:type="gramEnd"/>
      <w:r>
        <w:t>-226 concentration ratios</w:t>
      </w:r>
      <w:bookmarkEnd w:id="64"/>
    </w:p>
    <w:p w:rsidR="00856EAE" w:rsidRDefault="00856EAE" w:rsidP="00856EAE">
      <w:r>
        <w:t xml:space="preserve">Figure 9 shows a histogram of all </w:t>
      </w:r>
      <w:r w:rsidRPr="006C7140">
        <w:rPr>
          <w:snapToGrid w:val="0"/>
          <w:color w:val="000000"/>
          <w:position w:val="6"/>
          <w:sz w:val="16"/>
          <w:szCs w:val="0"/>
          <w:u w:color="000000"/>
        </w:rPr>
        <w:t>226</w:t>
      </w:r>
      <w:r>
        <w:t>Ra CRs</w:t>
      </w:r>
      <w:r w:rsidR="008E3D10">
        <w:t xml:space="preserve"> (rather than concentrations)</w:t>
      </w:r>
      <w:r>
        <w:t xml:space="preserve"> measured in flesh of age classed freshwater mussels (including 0, 1 and 2 year old mussels), </w:t>
      </w:r>
      <w:r w:rsidRPr="006C7140">
        <w:rPr>
          <w:i/>
        </w:rPr>
        <w:t xml:space="preserve">Velesunio </w:t>
      </w:r>
      <w:r>
        <w:rPr>
          <w:i/>
        </w:rPr>
        <w:t>a</w:t>
      </w:r>
      <w:r w:rsidRPr="006C7140">
        <w:rPr>
          <w:i/>
        </w:rPr>
        <w:t>ngasi</w:t>
      </w:r>
      <w:r>
        <w:t xml:space="preserve">, collected between 2001 and 2013 from Mudginberri Billabong. This dataset was generated by dividing the fresh weight </w:t>
      </w:r>
      <w:r w:rsidRPr="00EA7C6F">
        <w:rPr>
          <w:snapToGrid w:val="0"/>
          <w:color w:val="000000"/>
          <w:position w:val="6"/>
          <w:sz w:val="16"/>
          <w:szCs w:val="0"/>
          <w:u w:color="000000"/>
          <w:lang w:val="en-US"/>
        </w:rPr>
        <w:t>226</w:t>
      </w:r>
      <w:r>
        <w:rPr>
          <w:lang w:val="en-US"/>
        </w:rPr>
        <w:t xml:space="preserve">Ra </w:t>
      </w:r>
      <w:r>
        <w:t>activity concentration in each age-composited mussel sample from each year by the</w:t>
      </w:r>
      <w:r w:rsidRPr="00E05B54">
        <w:t xml:space="preserve"> </w:t>
      </w:r>
      <w:r>
        <w:t xml:space="preserve">arithmetic mean </w:t>
      </w:r>
      <w:r w:rsidRPr="00EA7C6F">
        <w:rPr>
          <w:snapToGrid w:val="0"/>
          <w:color w:val="000000"/>
          <w:position w:val="6"/>
          <w:sz w:val="16"/>
          <w:szCs w:val="0"/>
          <w:u w:color="000000"/>
          <w:lang w:val="en-US"/>
        </w:rPr>
        <w:t>226</w:t>
      </w:r>
      <w:r>
        <w:rPr>
          <w:lang w:val="en-US"/>
        </w:rPr>
        <w:t xml:space="preserve">Ra </w:t>
      </w:r>
      <w:r>
        <w:t>activity concentration in total water of 0.0020 Bq·L</w:t>
      </w:r>
      <w:r w:rsidRPr="006C7140">
        <w:rPr>
          <w:snapToGrid w:val="0"/>
          <w:color w:val="000000"/>
          <w:position w:val="6"/>
          <w:sz w:val="16"/>
          <w:szCs w:val="0"/>
          <w:u w:color="000000"/>
        </w:rPr>
        <w:t>-1</w:t>
      </w:r>
      <w:r>
        <w:t xml:space="preserve"> measured in Mudginberri Billabong post 2000. The average was used to calculate CRs as it was considered to better represent the long-term </w:t>
      </w:r>
      <w:r w:rsidRPr="00EA7C6F">
        <w:rPr>
          <w:snapToGrid w:val="0"/>
          <w:color w:val="000000"/>
          <w:position w:val="6"/>
          <w:sz w:val="16"/>
          <w:szCs w:val="0"/>
          <w:u w:color="000000"/>
          <w:lang w:val="en-US"/>
        </w:rPr>
        <w:t>226</w:t>
      </w:r>
      <w:r>
        <w:rPr>
          <w:lang w:val="en-US"/>
        </w:rPr>
        <w:t xml:space="preserve">Ra </w:t>
      </w:r>
      <w:r>
        <w:t xml:space="preserve">exposure conditions of mussels in Mudginberri Billabong compared to the activity concentration in water on the day of mussel collection. In addition, the CRs were weighted by the number of mussels in each composite age class: when an aged composite sample from a particular collection consisted of </w:t>
      </w:r>
      <w:r w:rsidRPr="006B19B2">
        <w:rPr>
          <w:i/>
        </w:rPr>
        <w:t>i</w:t>
      </w:r>
      <w:r>
        <w:t xml:space="preserve"> mussels, the CR value is represent</w:t>
      </w:r>
      <w:r w:rsidR="00BF0B24">
        <w:t>ed</w:t>
      </w:r>
      <w:r>
        <w:t xml:space="preserve"> </w:t>
      </w:r>
      <w:r w:rsidRPr="006B19B2">
        <w:rPr>
          <w:i/>
        </w:rPr>
        <w:t>i</w:t>
      </w:r>
      <w:r>
        <w:t>-times in Figure 9. Table 3 shows the summary statistics for this dataset.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61"/>
        <w:gridCol w:w="3986"/>
      </w:tblGrid>
      <w:tr w:rsidR="00856EAE" w:rsidTr="003714D8">
        <w:tc>
          <w:tcPr>
            <w:tcW w:w="4361" w:type="dxa"/>
          </w:tcPr>
          <w:p w:rsidR="00856EAE" w:rsidRDefault="00856EAE" w:rsidP="003714D8">
            <w:pPr>
              <w:jc w:val="center"/>
            </w:pPr>
            <w:r w:rsidRPr="00603A14">
              <w:rPr>
                <w:noProof/>
                <w:lang w:eastAsia="en-AU"/>
              </w:rPr>
              <w:drawing>
                <wp:inline distT="0" distB="0" distL="0" distR="0">
                  <wp:extent cx="2739853" cy="1885950"/>
                  <wp:effectExtent l="0" t="0" r="3347" b="0"/>
                  <wp:docPr id="4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srcRect l="2079" t="14092" r="14800"/>
                          <a:stretch>
                            <a:fillRect/>
                          </a:stretch>
                        </pic:blipFill>
                        <pic:spPr bwMode="auto">
                          <a:xfrm>
                            <a:off x="0" y="0"/>
                            <a:ext cx="2739853" cy="1885950"/>
                          </a:xfrm>
                          <a:prstGeom prst="rect">
                            <a:avLst/>
                          </a:prstGeom>
                          <a:noFill/>
                          <a:ln w="9525">
                            <a:noFill/>
                            <a:miter lim="800000"/>
                            <a:headEnd/>
                            <a:tailEnd/>
                          </a:ln>
                        </pic:spPr>
                      </pic:pic>
                    </a:graphicData>
                  </a:graphic>
                </wp:inline>
              </w:drawing>
            </w:r>
          </w:p>
        </w:tc>
        <w:tc>
          <w:tcPr>
            <w:tcW w:w="3986" w:type="dxa"/>
          </w:tcPr>
          <w:p w:rsidR="00856EAE" w:rsidRDefault="00856EAE" w:rsidP="003714D8">
            <w:pPr>
              <w:ind w:left="-120" w:hanging="21"/>
              <w:jc w:val="center"/>
            </w:pPr>
            <w:r>
              <w:rPr>
                <w:noProof/>
                <w:lang w:eastAsia="en-AU"/>
              </w:rPr>
              <w:drawing>
                <wp:inline distT="0" distB="0" distL="0" distR="0">
                  <wp:extent cx="2505075" cy="1866900"/>
                  <wp:effectExtent l="0" t="0" r="9525" b="0"/>
                  <wp:docPr id="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l="1477" t="13234" r="20807"/>
                          <a:stretch>
                            <a:fillRect/>
                          </a:stretch>
                        </pic:blipFill>
                        <pic:spPr bwMode="auto">
                          <a:xfrm>
                            <a:off x="0" y="0"/>
                            <a:ext cx="2505075" cy="1866900"/>
                          </a:xfrm>
                          <a:prstGeom prst="rect">
                            <a:avLst/>
                          </a:prstGeom>
                          <a:noFill/>
                          <a:ln w="9525">
                            <a:noFill/>
                            <a:miter lim="800000"/>
                            <a:headEnd/>
                            <a:tailEnd/>
                          </a:ln>
                        </pic:spPr>
                      </pic:pic>
                    </a:graphicData>
                  </a:graphic>
                </wp:inline>
              </w:drawing>
            </w:r>
          </w:p>
        </w:tc>
      </w:tr>
    </w:tbl>
    <w:p w:rsidR="00856EAE" w:rsidRDefault="00856EAE" w:rsidP="00856EAE">
      <w:pPr>
        <w:pStyle w:val="figurecaption"/>
      </w:pPr>
      <w:bookmarkStart w:id="65" w:name="_Toc433624069"/>
      <w:r w:rsidRPr="000E55B0">
        <w:rPr>
          <w:b/>
        </w:rPr>
        <w:t xml:space="preserve">Figure </w:t>
      </w:r>
      <w:proofErr w:type="gramStart"/>
      <w:r w:rsidRPr="000E55B0">
        <w:rPr>
          <w:b/>
        </w:rPr>
        <w:t>9</w:t>
      </w:r>
      <w:r>
        <w:t xml:space="preserve">  (</w:t>
      </w:r>
      <w:proofErr w:type="gramEnd"/>
      <w:r>
        <w:t>a) Histogram and (b) cumulative probabilities of CRs [L·kg</w:t>
      </w:r>
      <w:r w:rsidRPr="005A74A4">
        <w:rPr>
          <w:snapToGrid w:val="0"/>
          <w:color w:val="000000"/>
          <w:position w:val="4"/>
          <w:sz w:val="12"/>
          <w:szCs w:val="0"/>
          <w:u w:color="000000"/>
        </w:rPr>
        <w:t>-1</w:t>
      </w:r>
      <w:r>
        <w:rPr>
          <w:snapToGrid w:val="0"/>
          <w:color w:val="000000"/>
          <w:position w:val="-6"/>
          <w:sz w:val="16"/>
          <w:szCs w:val="0"/>
          <w:u w:color="000000"/>
        </w:rPr>
        <w:t>wet</w:t>
      </w:r>
      <w:r>
        <w:t>] measured in all mussels collected since 2001 in Mudginberri Billabong. The blue line represents a lognormal fit to the data.</w:t>
      </w:r>
      <w:bookmarkEnd w:id="65"/>
      <w:r>
        <w:t xml:space="preserve">  </w:t>
      </w:r>
    </w:p>
    <w:p w:rsidR="0059586A" w:rsidRDefault="0059586A" w:rsidP="00856EAE">
      <w:pPr>
        <w:pStyle w:val="tablecaption"/>
        <w:jc w:val="center"/>
      </w:pPr>
      <w:bookmarkStart w:id="66" w:name="_Toc433624057"/>
    </w:p>
    <w:p w:rsidR="00856EAE" w:rsidRDefault="00856EAE" w:rsidP="00856EAE">
      <w:pPr>
        <w:pStyle w:val="tablecaption"/>
        <w:jc w:val="center"/>
      </w:pPr>
      <w:r w:rsidRPr="000E55B0">
        <w:rPr>
          <w:b/>
        </w:rPr>
        <w:t xml:space="preserve">Table </w:t>
      </w:r>
      <w:proofErr w:type="gramStart"/>
      <w:r w:rsidRPr="000E55B0">
        <w:rPr>
          <w:b/>
        </w:rPr>
        <w:t>3</w:t>
      </w:r>
      <w:r w:rsidR="000E55B0">
        <w:t xml:space="preserve"> </w:t>
      </w:r>
      <w:r>
        <w:t xml:space="preserve"> </w:t>
      </w:r>
      <w:r w:rsidR="00D62FA2">
        <w:t>Statistical</w:t>
      </w:r>
      <w:proofErr w:type="gramEnd"/>
      <w:r>
        <w:t xml:space="preserve"> summary for the whole CR data-set.</w:t>
      </w:r>
      <w:bookmarkEnd w:id="66"/>
      <w:r w:rsidR="008E3D10">
        <w:t xml:space="preserve"> AM: arithmetic mean; AMSD: arithmetic mean standard deviation; GM: geometric mean; GMSD: geometric mean standard deviation.</w:t>
      </w:r>
    </w:p>
    <w:tbl>
      <w:tblPr>
        <w:tblStyle w:val="TableGrid"/>
        <w:tblpPr w:leftFromText="180" w:rightFromText="180" w:vertAnchor="text" w:tblpXSpec="center" w:tblpY="1"/>
        <w:tblOverlap w:val="never"/>
        <w:tblW w:w="0" w:type="auto"/>
        <w:tblBorders>
          <w:left w:val="none" w:sz="0" w:space="0" w:color="auto"/>
          <w:right w:val="none" w:sz="0" w:space="0" w:color="auto"/>
          <w:insideV w:val="none" w:sz="0" w:space="0" w:color="auto"/>
        </w:tblBorders>
        <w:tblLook w:val="04A0"/>
      </w:tblPr>
      <w:tblGrid>
        <w:gridCol w:w="1809"/>
        <w:gridCol w:w="1418"/>
      </w:tblGrid>
      <w:tr w:rsidR="00856EAE" w:rsidRPr="00D46517" w:rsidTr="003714D8">
        <w:tc>
          <w:tcPr>
            <w:tcW w:w="1809" w:type="dxa"/>
          </w:tcPr>
          <w:p w:rsidR="00856EAE" w:rsidRPr="00D46517" w:rsidRDefault="00856EAE" w:rsidP="003714D8">
            <w:pPr>
              <w:pStyle w:val="table2"/>
              <w:rPr>
                <w:b/>
              </w:rPr>
            </w:pPr>
          </w:p>
        </w:tc>
        <w:tc>
          <w:tcPr>
            <w:tcW w:w="1418" w:type="dxa"/>
          </w:tcPr>
          <w:p w:rsidR="00856EAE" w:rsidRDefault="00856EAE" w:rsidP="003714D8">
            <w:pPr>
              <w:pStyle w:val="table2"/>
              <w:rPr>
                <w:b/>
              </w:rPr>
            </w:pPr>
            <w:r w:rsidRPr="00D46517">
              <w:rPr>
                <w:b/>
              </w:rPr>
              <w:t xml:space="preserve">Ra-226 </w:t>
            </w:r>
            <w:r>
              <w:rPr>
                <w:b/>
              </w:rPr>
              <w:t>CR</w:t>
            </w:r>
          </w:p>
          <w:p w:rsidR="00856EAE" w:rsidRPr="00D46517" w:rsidRDefault="00856EAE" w:rsidP="003714D8">
            <w:pPr>
              <w:pStyle w:val="table2"/>
              <w:rPr>
                <w:b/>
              </w:rPr>
            </w:pPr>
            <w:r>
              <w:rPr>
                <w:b/>
              </w:rPr>
              <w:t>[L</w:t>
            </w:r>
            <w:r>
              <w:t>·</w:t>
            </w:r>
            <w:r>
              <w:rPr>
                <w:b/>
              </w:rPr>
              <w:t>kg</w:t>
            </w:r>
            <w:r w:rsidRPr="005A74A4">
              <w:rPr>
                <w:b/>
                <w:snapToGrid w:val="0"/>
                <w:color w:val="000000"/>
                <w:position w:val="4"/>
                <w:sz w:val="11"/>
                <w:szCs w:val="0"/>
                <w:u w:color="000000"/>
              </w:rPr>
              <w:t>-1</w:t>
            </w:r>
            <w:r w:rsidRPr="006F3713">
              <w:rPr>
                <w:b/>
                <w:snapToGrid w:val="0"/>
                <w:color w:val="000000"/>
                <w:position w:val="-4"/>
                <w:sz w:val="11"/>
                <w:szCs w:val="0"/>
                <w:u w:color="000000"/>
              </w:rPr>
              <w:t>wet</w:t>
            </w:r>
            <w:r>
              <w:rPr>
                <w:b/>
              </w:rPr>
              <w:t>]</w:t>
            </w:r>
          </w:p>
        </w:tc>
      </w:tr>
      <w:tr w:rsidR="00856EAE" w:rsidTr="003714D8">
        <w:tc>
          <w:tcPr>
            <w:tcW w:w="1809" w:type="dxa"/>
          </w:tcPr>
          <w:p w:rsidR="00856EAE" w:rsidRDefault="00856EAE" w:rsidP="003714D8">
            <w:pPr>
              <w:pStyle w:val="table2"/>
            </w:pPr>
            <w:r>
              <w:t>N: number of data</w:t>
            </w:r>
          </w:p>
        </w:tc>
        <w:tc>
          <w:tcPr>
            <w:tcW w:w="1418" w:type="dxa"/>
          </w:tcPr>
          <w:p w:rsidR="00856EAE" w:rsidRDefault="00856EAE" w:rsidP="003714D8">
            <w:pPr>
              <w:pStyle w:val="table2"/>
            </w:pPr>
            <w:r>
              <w:t>1106</w:t>
            </w:r>
          </w:p>
        </w:tc>
      </w:tr>
      <w:tr w:rsidR="00856EAE" w:rsidTr="003714D8">
        <w:tc>
          <w:tcPr>
            <w:tcW w:w="1809" w:type="dxa"/>
          </w:tcPr>
          <w:p w:rsidR="00856EAE" w:rsidRDefault="00856EAE" w:rsidP="003714D8">
            <w:pPr>
              <w:pStyle w:val="table2"/>
            </w:pPr>
            <w:r>
              <w:t xml:space="preserve">AM </w:t>
            </w:r>
            <w:r>
              <w:rPr>
                <w:rFonts w:cs="Arial"/>
              </w:rPr>
              <w:t xml:space="preserve">± </w:t>
            </w:r>
            <w:r>
              <w:t>AMSD</w:t>
            </w:r>
          </w:p>
        </w:tc>
        <w:tc>
          <w:tcPr>
            <w:tcW w:w="1418" w:type="dxa"/>
          </w:tcPr>
          <w:p w:rsidR="00856EAE" w:rsidRDefault="00856EAE" w:rsidP="003714D8">
            <w:pPr>
              <w:pStyle w:val="table2"/>
              <w:jc w:val="center"/>
            </w:pPr>
            <w:r>
              <w:t xml:space="preserve">36,100 </w:t>
            </w:r>
            <w:r>
              <w:rPr>
                <w:rFonts w:cs="Arial"/>
              </w:rPr>
              <w:t>± 23,900</w:t>
            </w:r>
          </w:p>
        </w:tc>
      </w:tr>
      <w:tr w:rsidR="00856EAE" w:rsidTr="003714D8">
        <w:tc>
          <w:tcPr>
            <w:tcW w:w="1809" w:type="dxa"/>
          </w:tcPr>
          <w:p w:rsidR="00856EAE" w:rsidRDefault="00856EAE" w:rsidP="003714D8">
            <w:pPr>
              <w:pStyle w:val="table2"/>
              <w:tabs>
                <w:tab w:val="left" w:pos="1305"/>
              </w:tabs>
            </w:pPr>
            <w:r>
              <w:t xml:space="preserve">GM </w:t>
            </w:r>
            <w:r>
              <w:rPr>
                <w:rFonts w:cs="Arial"/>
              </w:rPr>
              <w:t xml:space="preserve">± </w:t>
            </w:r>
            <w:r>
              <w:t>GMSD</w:t>
            </w:r>
            <w:r>
              <w:tab/>
            </w:r>
          </w:p>
        </w:tc>
        <w:tc>
          <w:tcPr>
            <w:tcW w:w="1418" w:type="dxa"/>
          </w:tcPr>
          <w:p w:rsidR="00856EAE" w:rsidRDefault="00856EAE" w:rsidP="003714D8">
            <w:pPr>
              <w:pStyle w:val="table2"/>
            </w:pPr>
            <w:r>
              <w:t xml:space="preserve">30,000 </w:t>
            </w:r>
            <w:r>
              <w:rPr>
                <w:rFonts w:cs="Arial"/>
              </w:rPr>
              <w:t>± 1.9</w:t>
            </w:r>
          </w:p>
        </w:tc>
      </w:tr>
      <w:tr w:rsidR="00856EAE" w:rsidTr="003714D8">
        <w:tc>
          <w:tcPr>
            <w:tcW w:w="1809" w:type="dxa"/>
          </w:tcPr>
          <w:p w:rsidR="00856EAE" w:rsidRDefault="00856EAE" w:rsidP="003714D8">
            <w:pPr>
              <w:pStyle w:val="table2"/>
              <w:tabs>
                <w:tab w:val="left" w:pos="1305"/>
              </w:tabs>
            </w:pPr>
            <w:r>
              <w:t xml:space="preserve">Median </w:t>
            </w:r>
          </w:p>
          <w:p w:rsidR="00856EAE" w:rsidRDefault="00856EAE" w:rsidP="003714D8">
            <w:pPr>
              <w:pStyle w:val="table2"/>
              <w:tabs>
                <w:tab w:val="left" w:pos="1305"/>
              </w:tabs>
            </w:pPr>
            <w:r>
              <w:t>(25-75 percentile)</w:t>
            </w:r>
          </w:p>
        </w:tc>
        <w:tc>
          <w:tcPr>
            <w:tcW w:w="1418" w:type="dxa"/>
          </w:tcPr>
          <w:p w:rsidR="00856EAE" w:rsidRDefault="00856EAE" w:rsidP="003714D8">
            <w:pPr>
              <w:pStyle w:val="table2"/>
            </w:pPr>
            <w:r>
              <w:t xml:space="preserve">31,200 </w:t>
            </w:r>
          </w:p>
          <w:p w:rsidR="00856EAE" w:rsidRDefault="00856EAE" w:rsidP="003714D8">
            <w:pPr>
              <w:pStyle w:val="table2"/>
            </w:pPr>
            <w:r>
              <w:t>(19,700-44,000)</w:t>
            </w:r>
          </w:p>
        </w:tc>
      </w:tr>
    </w:tbl>
    <w:p w:rsidR="00856EAE" w:rsidRDefault="00856EAE" w:rsidP="00856EAE">
      <w:r>
        <w:br w:type="textWrapping" w:clear="all"/>
      </w:r>
    </w:p>
    <w:p w:rsidR="00856EAE" w:rsidRDefault="00856EAE" w:rsidP="00856EAE">
      <w:r>
        <w:t xml:space="preserve">Figure 10 shows a histogram of all </w:t>
      </w:r>
      <w:r w:rsidRPr="006C7140">
        <w:rPr>
          <w:snapToGrid w:val="0"/>
          <w:color w:val="000000"/>
          <w:position w:val="6"/>
          <w:sz w:val="16"/>
          <w:szCs w:val="0"/>
          <w:u w:color="000000"/>
        </w:rPr>
        <w:t>226</w:t>
      </w:r>
      <w:r>
        <w:t>Ra CRs measured in flesh of age classed freshwater mussels (</w:t>
      </w:r>
      <w:r w:rsidRPr="00FA593B">
        <w:rPr>
          <w:u w:val="single"/>
        </w:rPr>
        <w:t>excluding</w:t>
      </w:r>
      <w:r>
        <w:t xml:space="preserve"> those mussels that are 0, 1 and 2 year old), collected between 2001 and 2013 from </w:t>
      </w:r>
      <w:proofErr w:type="spellStart"/>
      <w:r>
        <w:t>Mudginberri</w:t>
      </w:r>
      <w:proofErr w:type="spellEnd"/>
      <w:r>
        <w:t xml:space="preserve"> Billabong</w:t>
      </w:r>
      <w:r w:rsidR="0059586A">
        <w:t xml:space="preserve"> and</w:t>
      </w:r>
      <w:r>
        <w:t xml:space="preserve"> Table 4 shows the summary statistics</w:t>
      </w:r>
      <w:r w:rsidR="0059586A">
        <w:t xml:space="preserve"> for this data set</w:t>
      </w:r>
      <w:r>
        <w:t xml:space="preserve">. </w:t>
      </w:r>
    </w:p>
    <w:p w:rsidR="0059586A" w:rsidRDefault="0059586A" w:rsidP="00856EAE"/>
    <w:p w:rsidR="00856EAE" w:rsidRDefault="00856EAE" w:rsidP="00856EAE">
      <w:pPr>
        <w:jc w:val="center"/>
      </w:pPr>
      <w:r w:rsidRPr="00F257BD">
        <w:rPr>
          <w:noProof/>
          <w:lang w:eastAsia="en-AU"/>
        </w:rPr>
        <w:drawing>
          <wp:inline distT="0" distB="0" distL="0" distR="0">
            <wp:extent cx="3153146" cy="2113487"/>
            <wp:effectExtent l="0" t="0" r="0" b="0"/>
            <wp:docPr id="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t="13550" r="13899"/>
                    <a:stretch>
                      <a:fillRect/>
                    </a:stretch>
                  </pic:blipFill>
                  <pic:spPr bwMode="auto">
                    <a:xfrm>
                      <a:off x="0" y="0"/>
                      <a:ext cx="3153146" cy="2113487"/>
                    </a:xfrm>
                    <a:prstGeom prst="rect">
                      <a:avLst/>
                    </a:prstGeom>
                    <a:noFill/>
                    <a:ln w="9525">
                      <a:noFill/>
                      <a:miter lim="800000"/>
                      <a:headEnd/>
                      <a:tailEnd/>
                    </a:ln>
                  </pic:spPr>
                </pic:pic>
              </a:graphicData>
            </a:graphic>
          </wp:inline>
        </w:drawing>
      </w:r>
    </w:p>
    <w:p w:rsidR="00856EAE" w:rsidRDefault="00856EAE" w:rsidP="00856EAE">
      <w:pPr>
        <w:pStyle w:val="figurecaption"/>
      </w:pPr>
      <w:bookmarkStart w:id="67" w:name="_Toc433624070"/>
      <w:r w:rsidRPr="000E55B0">
        <w:rPr>
          <w:b/>
        </w:rPr>
        <w:t xml:space="preserve">Figure </w:t>
      </w:r>
      <w:proofErr w:type="gramStart"/>
      <w:r w:rsidRPr="000E55B0">
        <w:rPr>
          <w:b/>
        </w:rPr>
        <w:t>10</w:t>
      </w:r>
      <w:r>
        <w:t xml:space="preserve">  Concentration</w:t>
      </w:r>
      <w:proofErr w:type="gramEnd"/>
      <w:r>
        <w:t xml:space="preserve"> ratios ([L/kg</w:t>
      </w:r>
      <w:r>
        <w:rPr>
          <w:snapToGrid w:val="0"/>
          <w:color w:val="000000"/>
          <w:position w:val="-6"/>
          <w:sz w:val="16"/>
          <w:szCs w:val="0"/>
          <w:u w:color="000000"/>
        </w:rPr>
        <w:t>wet</w:t>
      </w:r>
      <w:r>
        <w:t>] measured in mussels older than 2 years,  collected since 2001 in Mudginberri Billabong. The blue line represents a lognormal fit to the distribution.</w:t>
      </w:r>
      <w:bookmarkEnd w:id="67"/>
      <w:r>
        <w:t xml:space="preserve"> </w:t>
      </w:r>
    </w:p>
    <w:p w:rsidR="0059586A" w:rsidRDefault="0059586A" w:rsidP="0059586A">
      <w:pPr>
        <w:pStyle w:val="tablecaption"/>
        <w:jc w:val="center"/>
      </w:pPr>
      <w:bookmarkStart w:id="68" w:name="_Toc433624058"/>
    </w:p>
    <w:p w:rsidR="00856EAE" w:rsidRDefault="00856EAE" w:rsidP="0059586A">
      <w:pPr>
        <w:pStyle w:val="tablecaption"/>
        <w:jc w:val="center"/>
      </w:pPr>
      <w:proofErr w:type="gramStart"/>
      <w:r w:rsidRPr="000E55B0">
        <w:rPr>
          <w:b/>
        </w:rPr>
        <w:t>Table 4</w:t>
      </w:r>
      <w:r>
        <w:t xml:space="preserve"> </w:t>
      </w:r>
      <w:r w:rsidR="00D62FA2">
        <w:t>Statistical</w:t>
      </w:r>
      <w:r>
        <w:t xml:space="preserve"> summary of the CR data-set excluding 0, 1 and 2 year old mussels.</w:t>
      </w:r>
      <w:bookmarkEnd w:id="68"/>
      <w:proofErr w:type="gramEnd"/>
      <w:r w:rsidR="0059586A">
        <w:t xml:space="preserve"> AM: arithmetic mean; AMSD: arithmetic mean standard deviation; GM: geometric mean; GMSD: geometric mean standard deviation.</w:t>
      </w:r>
    </w:p>
    <w:tbl>
      <w:tblPr>
        <w:tblStyle w:val="TableGrid"/>
        <w:tblpPr w:leftFromText="180" w:rightFromText="180" w:vertAnchor="text" w:tblpXSpec="center" w:tblpY="1"/>
        <w:tblOverlap w:val="never"/>
        <w:tblW w:w="0" w:type="auto"/>
        <w:tblBorders>
          <w:left w:val="none" w:sz="0" w:space="0" w:color="auto"/>
          <w:right w:val="none" w:sz="0" w:space="0" w:color="auto"/>
          <w:insideV w:val="none" w:sz="0" w:space="0" w:color="auto"/>
        </w:tblBorders>
        <w:tblLook w:val="04A0"/>
      </w:tblPr>
      <w:tblGrid>
        <w:gridCol w:w="1809"/>
        <w:gridCol w:w="1418"/>
      </w:tblGrid>
      <w:tr w:rsidR="00856EAE" w:rsidRPr="00D46517" w:rsidTr="003714D8">
        <w:tc>
          <w:tcPr>
            <w:tcW w:w="1809" w:type="dxa"/>
          </w:tcPr>
          <w:p w:rsidR="00856EAE" w:rsidRPr="00D46517" w:rsidRDefault="00856EAE" w:rsidP="003714D8">
            <w:pPr>
              <w:pStyle w:val="table2"/>
              <w:rPr>
                <w:b/>
              </w:rPr>
            </w:pPr>
          </w:p>
        </w:tc>
        <w:tc>
          <w:tcPr>
            <w:tcW w:w="1418" w:type="dxa"/>
          </w:tcPr>
          <w:p w:rsidR="00856EAE" w:rsidRDefault="00856EAE" w:rsidP="003714D8">
            <w:pPr>
              <w:pStyle w:val="table2"/>
              <w:rPr>
                <w:b/>
              </w:rPr>
            </w:pPr>
            <w:r w:rsidRPr="00D46517">
              <w:rPr>
                <w:b/>
              </w:rPr>
              <w:t xml:space="preserve">Ra-226 </w:t>
            </w:r>
            <w:r>
              <w:rPr>
                <w:b/>
              </w:rPr>
              <w:t>CR</w:t>
            </w:r>
          </w:p>
          <w:p w:rsidR="00856EAE" w:rsidRPr="00D46517" w:rsidRDefault="00856EAE" w:rsidP="003714D8">
            <w:pPr>
              <w:pStyle w:val="table2"/>
              <w:rPr>
                <w:b/>
              </w:rPr>
            </w:pPr>
            <w:r>
              <w:rPr>
                <w:b/>
              </w:rPr>
              <w:t>[L</w:t>
            </w:r>
            <w:r>
              <w:t>·</w:t>
            </w:r>
            <w:r>
              <w:rPr>
                <w:b/>
              </w:rPr>
              <w:t>kg</w:t>
            </w:r>
            <w:r w:rsidRPr="005A74A4">
              <w:rPr>
                <w:b/>
                <w:snapToGrid w:val="0"/>
                <w:color w:val="000000"/>
                <w:position w:val="4"/>
                <w:sz w:val="11"/>
                <w:szCs w:val="0"/>
                <w:u w:color="000000"/>
              </w:rPr>
              <w:t>-1</w:t>
            </w:r>
            <w:r w:rsidRPr="006F3713">
              <w:rPr>
                <w:b/>
                <w:snapToGrid w:val="0"/>
                <w:color w:val="000000"/>
                <w:position w:val="-4"/>
                <w:sz w:val="11"/>
                <w:szCs w:val="0"/>
                <w:u w:color="000000"/>
              </w:rPr>
              <w:t>wet</w:t>
            </w:r>
            <w:r>
              <w:rPr>
                <w:b/>
              </w:rPr>
              <w:t>]</w:t>
            </w:r>
          </w:p>
        </w:tc>
      </w:tr>
      <w:tr w:rsidR="00856EAE" w:rsidTr="003714D8">
        <w:tc>
          <w:tcPr>
            <w:tcW w:w="1809" w:type="dxa"/>
          </w:tcPr>
          <w:p w:rsidR="00856EAE" w:rsidRDefault="00856EAE" w:rsidP="003714D8">
            <w:pPr>
              <w:pStyle w:val="table2"/>
            </w:pPr>
            <w:r>
              <w:t>N: number of data</w:t>
            </w:r>
          </w:p>
        </w:tc>
        <w:tc>
          <w:tcPr>
            <w:tcW w:w="1418" w:type="dxa"/>
          </w:tcPr>
          <w:p w:rsidR="00856EAE" w:rsidRDefault="00856EAE" w:rsidP="003714D8">
            <w:pPr>
              <w:pStyle w:val="table2"/>
            </w:pPr>
            <w:r>
              <w:t>774</w:t>
            </w:r>
          </w:p>
        </w:tc>
      </w:tr>
      <w:tr w:rsidR="00856EAE" w:rsidTr="003714D8">
        <w:tc>
          <w:tcPr>
            <w:tcW w:w="1809" w:type="dxa"/>
          </w:tcPr>
          <w:p w:rsidR="00856EAE" w:rsidRDefault="00856EAE" w:rsidP="003714D8">
            <w:pPr>
              <w:pStyle w:val="table2"/>
            </w:pPr>
            <w:r>
              <w:t xml:space="preserve">AM </w:t>
            </w:r>
            <w:r>
              <w:rPr>
                <w:rFonts w:cs="Arial"/>
              </w:rPr>
              <w:t xml:space="preserve">± </w:t>
            </w:r>
            <w:r>
              <w:t>AMSD</w:t>
            </w:r>
          </w:p>
        </w:tc>
        <w:tc>
          <w:tcPr>
            <w:tcW w:w="1418" w:type="dxa"/>
          </w:tcPr>
          <w:p w:rsidR="00856EAE" w:rsidRDefault="00856EAE" w:rsidP="003714D8">
            <w:pPr>
              <w:pStyle w:val="table2"/>
            </w:pPr>
            <w:r>
              <w:t xml:space="preserve">44,100 </w:t>
            </w:r>
            <w:r>
              <w:rPr>
                <w:rFonts w:cs="Arial"/>
              </w:rPr>
              <w:t>± 900</w:t>
            </w:r>
          </w:p>
        </w:tc>
      </w:tr>
      <w:tr w:rsidR="00856EAE" w:rsidTr="003714D8">
        <w:tc>
          <w:tcPr>
            <w:tcW w:w="1809" w:type="dxa"/>
          </w:tcPr>
          <w:p w:rsidR="00856EAE" w:rsidRDefault="00856EAE" w:rsidP="003714D8">
            <w:pPr>
              <w:pStyle w:val="table2"/>
              <w:tabs>
                <w:tab w:val="left" w:pos="1305"/>
              </w:tabs>
            </w:pPr>
            <w:r>
              <w:t xml:space="preserve">GM </w:t>
            </w:r>
            <w:r>
              <w:rPr>
                <w:rFonts w:cs="Arial"/>
              </w:rPr>
              <w:t xml:space="preserve">± </w:t>
            </w:r>
            <w:r>
              <w:t>GMSD</w:t>
            </w:r>
            <w:r>
              <w:tab/>
            </w:r>
          </w:p>
        </w:tc>
        <w:tc>
          <w:tcPr>
            <w:tcW w:w="1418" w:type="dxa"/>
          </w:tcPr>
          <w:p w:rsidR="00856EAE" w:rsidRDefault="00856EAE" w:rsidP="003714D8">
            <w:pPr>
              <w:pStyle w:val="table2"/>
            </w:pPr>
            <w:r>
              <w:t xml:space="preserve">39,500 </w:t>
            </w:r>
            <w:r>
              <w:rPr>
                <w:rFonts w:cs="Arial"/>
              </w:rPr>
              <w:t>± 1.6</w:t>
            </w:r>
          </w:p>
        </w:tc>
      </w:tr>
      <w:tr w:rsidR="00856EAE" w:rsidTr="003714D8">
        <w:tc>
          <w:tcPr>
            <w:tcW w:w="1809" w:type="dxa"/>
          </w:tcPr>
          <w:p w:rsidR="00856EAE" w:rsidRDefault="00856EAE" w:rsidP="003714D8">
            <w:pPr>
              <w:pStyle w:val="table2"/>
              <w:tabs>
                <w:tab w:val="left" w:pos="1305"/>
              </w:tabs>
            </w:pPr>
            <w:r>
              <w:t xml:space="preserve">Median </w:t>
            </w:r>
          </w:p>
          <w:p w:rsidR="00856EAE" w:rsidRDefault="00856EAE" w:rsidP="003714D8">
            <w:pPr>
              <w:pStyle w:val="table2"/>
              <w:tabs>
                <w:tab w:val="left" w:pos="1305"/>
              </w:tabs>
            </w:pPr>
            <w:r>
              <w:t>(25-75 percentile)</w:t>
            </w:r>
          </w:p>
        </w:tc>
        <w:tc>
          <w:tcPr>
            <w:tcW w:w="1418" w:type="dxa"/>
          </w:tcPr>
          <w:p w:rsidR="00856EAE" w:rsidRDefault="00856EAE" w:rsidP="003714D8">
            <w:pPr>
              <w:pStyle w:val="table2"/>
            </w:pPr>
            <w:r>
              <w:t xml:space="preserve">38,500 </w:t>
            </w:r>
          </w:p>
          <w:p w:rsidR="00856EAE" w:rsidRDefault="00856EAE" w:rsidP="003714D8">
            <w:pPr>
              <w:pStyle w:val="table2"/>
            </w:pPr>
            <w:r>
              <w:t>(29,200-54,500)</w:t>
            </w:r>
          </w:p>
        </w:tc>
      </w:tr>
    </w:tbl>
    <w:p w:rsidR="00C96B15" w:rsidRDefault="00856EAE" w:rsidP="00C96B15">
      <w:r>
        <w:br w:type="textWrapping" w:clear="all"/>
      </w:r>
    </w:p>
    <w:p w:rsidR="00856EAE" w:rsidRDefault="00856EAE" w:rsidP="00C96B15">
      <w:pPr>
        <w:pStyle w:val="Heading2"/>
      </w:pPr>
      <w:bookmarkStart w:id="69" w:name="_Toc443054599"/>
      <w:proofErr w:type="gramStart"/>
      <w:r>
        <w:t>3.4  Human</w:t>
      </w:r>
      <w:proofErr w:type="gramEnd"/>
      <w:r>
        <w:t xml:space="preserve"> dose assessment</w:t>
      </w:r>
      <w:bookmarkEnd w:id="69"/>
    </w:p>
    <w:p w:rsidR="00856EAE" w:rsidRDefault="00856EAE" w:rsidP="00856EAE">
      <w:r>
        <w:t>The exposure scenario for humans is based on a 10 year old child consuming 2 kg of mussels (fresh weight) per year from Mudginberri Billabong. A recent review conducted by Energy Resources of Australia Ltd (Garde 2015) has shown that the diet used in Ryan et al (20</w:t>
      </w:r>
      <w:r w:rsidR="00C96B15">
        <w:t>08</w:t>
      </w:r>
      <w:r>
        <w:t>) is most likely “</w:t>
      </w:r>
      <w:r w:rsidRPr="00676E17">
        <w:rPr>
          <w:i/>
        </w:rPr>
        <w:t>still accurate in 2014</w:t>
      </w:r>
      <w:r>
        <w:t xml:space="preserve">”. It has thus been assumed that adults consume 4 kg of mussels (wet weight) per year while a 10 year old child’s consumption is 50% of that. A further assumption is that larger sized mussels (3+ years) were consumed in preference. </w:t>
      </w:r>
    </w:p>
    <w:p w:rsidR="00856EAE" w:rsidRPr="00F257BD" w:rsidRDefault="00856EAE" w:rsidP="00856EAE">
      <w:r>
        <w:t>Using equation 3, with a typical CR of 39,500 (L·kg</w:t>
      </w:r>
      <w:r w:rsidRPr="008275BE">
        <w:rPr>
          <w:snapToGrid w:val="0"/>
          <w:color w:val="000000"/>
          <w:position w:val="-6"/>
          <w:sz w:val="16"/>
          <w:szCs w:val="0"/>
          <w:u w:color="000000"/>
        </w:rPr>
        <w:t>wet</w:t>
      </w:r>
      <w:r w:rsidRPr="00393D69">
        <w:rPr>
          <w:snapToGrid w:val="0"/>
          <w:color w:val="000000"/>
          <w:position w:val="6"/>
          <w:sz w:val="16"/>
          <w:szCs w:val="0"/>
          <w:u w:color="000000"/>
        </w:rPr>
        <w:t>-1</w:t>
      </w:r>
      <w:r>
        <w:t xml:space="preserve">) for </w:t>
      </w:r>
      <w:r w:rsidRPr="008275BE">
        <w:rPr>
          <w:snapToGrid w:val="0"/>
          <w:color w:val="000000"/>
          <w:position w:val="6"/>
          <w:sz w:val="16"/>
          <w:szCs w:val="0"/>
          <w:u w:color="000000"/>
        </w:rPr>
        <w:t>226</w:t>
      </w:r>
      <w:r>
        <w:t xml:space="preserve">Ra in mussels (Table 4) and the </w:t>
      </w:r>
      <w:r w:rsidRPr="00393D69">
        <w:rPr>
          <w:snapToGrid w:val="0"/>
          <w:color w:val="000000"/>
          <w:position w:val="6"/>
          <w:sz w:val="16"/>
          <w:szCs w:val="0"/>
          <w:u w:color="000000"/>
        </w:rPr>
        <w:t>226</w:t>
      </w:r>
      <w:r w:rsidRPr="007E5FE1">
        <w:t>Ra ingestion dose coefficient for a 10 year old child (8.0</w:t>
      </w:r>
      <w:r w:rsidR="00C96B15">
        <w:t>·</w:t>
      </w:r>
      <w:r w:rsidRPr="007E5FE1">
        <w:t>10</w:t>
      </w:r>
      <w:r w:rsidRPr="00393D69">
        <w:rPr>
          <w:snapToGrid w:val="0"/>
          <w:color w:val="000000"/>
          <w:position w:val="6"/>
          <w:sz w:val="16"/>
          <w:szCs w:val="0"/>
          <w:u w:color="000000"/>
        </w:rPr>
        <w:t>-7</w:t>
      </w:r>
      <w:r w:rsidRPr="007E5FE1">
        <w:t xml:space="preserve"> </w:t>
      </w:r>
      <w:proofErr w:type="spellStart"/>
      <w:r w:rsidRPr="007E5FE1">
        <w:t>mSv</w:t>
      </w:r>
      <w:r>
        <w:t>·</w:t>
      </w:r>
      <w:r w:rsidRPr="007E5FE1">
        <w:t>mBq</w:t>
      </w:r>
      <w:proofErr w:type="spellEnd"/>
      <w:r w:rsidRPr="00393D69">
        <w:rPr>
          <w:snapToGrid w:val="0"/>
          <w:color w:val="000000"/>
          <w:position w:val="6"/>
          <w:sz w:val="16"/>
          <w:szCs w:val="0"/>
          <w:u w:color="000000"/>
        </w:rPr>
        <w:t>-1</w:t>
      </w:r>
      <w:r>
        <w:t xml:space="preserve"> from</w:t>
      </w:r>
      <w:r w:rsidR="004E7A5E">
        <w:t xml:space="preserve"> ICRP </w:t>
      </w:r>
      <w:r w:rsidRPr="007E5FE1">
        <w:t>1996)</w:t>
      </w:r>
      <w:r>
        <w:t xml:space="preserve">, the average above background total water </w:t>
      </w:r>
      <w:r w:rsidRPr="008275BE">
        <w:rPr>
          <w:snapToGrid w:val="0"/>
          <w:color w:val="000000"/>
          <w:position w:val="6"/>
          <w:sz w:val="16"/>
          <w:szCs w:val="0"/>
          <w:u w:color="000000"/>
        </w:rPr>
        <w:t>226</w:t>
      </w:r>
      <w:r>
        <w:t>Ra activity concentration in Magela Creek should be less than 3.2 mBq·L</w:t>
      </w:r>
      <w:r w:rsidRPr="008275BE">
        <w:rPr>
          <w:snapToGrid w:val="0"/>
          <w:color w:val="000000"/>
          <w:position w:val="6"/>
          <w:sz w:val="16"/>
          <w:szCs w:val="0"/>
          <w:u w:color="000000"/>
        </w:rPr>
        <w:t>-1</w:t>
      </w:r>
      <w:r>
        <w:t xml:space="preserve"> to stay below a dose constraint of 0.2 mSv per year. Choosing a limit for the difference between the downstream and upstream water </w:t>
      </w:r>
      <w:r w:rsidRPr="008275BE">
        <w:rPr>
          <w:snapToGrid w:val="0"/>
          <w:color w:val="000000"/>
          <w:position w:val="6"/>
          <w:sz w:val="16"/>
          <w:szCs w:val="0"/>
          <w:u w:color="000000"/>
        </w:rPr>
        <w:t>226</w:t>
      </w:r>
      <w:r>
        <w:t>Ra activity concentration of 3 mBq·L</w:t>
      </w:r>
      <w:r w:rsidRPr="008275BE">
        <w:rPr>
          <w:snapToGrid w:val="0"/>
          <w:color w:val="000000"/>
          <w:position w:val="6"/>
          <w:sz w:val="16"/>
          <w:szCs w:val="0"/>
          <w:u w:color="000000"/>
        </w:rPr>
        <w:t>-1</w:t>
      </w:r>
      <w:r>
        <w:t xml:space="preserve"> will ensure that doses will remain below the 0.2 mSv per year benchmark for radiation exposure of humans from the consumption of freshwater mussels downstream of RUM.</w:t>
      </w:r>
    </w:p>
    <w:p w:rsidR="000E55B0" w:rsidRDefault="000E55B0">
      <w:pPr>
        <w:spacing w:after="0" w:line="240" w:lineRule="auto"/>
        <w:jc w:val="left"/>
        <w:rPr>
          <w:rFonts w:ascii="Arial" w:hAnsi="Arial"/>
          <w:b/>
          <w:sz w:val="28"/>
        </w:rPr>
      </w:pPr>
      <w:r>
        <w:br w:type="page"/>
      </w:r>
    </w:p>
    <w:p w:rsidR="00856EAE" w:rsidRDefault="00856EAE" w:rsidP="00856EAE">
      <w:pPr>
        <w:pStyle w:val="Heading2"/>
      </w:pPr>
      <w:bookmarkStart w:id="70" w:name="_Toc443054600"/>
      <w:proofErr w:type="gramStart"/>
      <w:r>
        <w:t>3.5  Environmental</w:t>
      </w:r>
      <w:proofErr w:type="gramEnd"/>
      <w:r>
        <w:t xml:space="preserve"> dose assessment</w:t>
      </w:r>
      <w:bookmarkEnd w:id="70"/>
    </w:p>
    <w:p w:rsidR="00856EAE" w:rsidRDefault="00856EAE" w:rsidP="00856EAE">
      <w:r w:rsidRPr="002C2263">
        <w:t xml:space="preserve">Table </w:t>
      </w:r>
      <w:r>
        <w:t>5</w:t>
      </w:r>
      <w:r w:rsidRPr="002C2263">
        <w:t xml:space="preserve"> gives the input parameter values used</w:t>
      </w:r>
      <w:r>
        <w:t xml:space="preserve"> for the ERICA assessment</w:t>
      </w:r>
      <w:r w:rsidRPr="002C2263">
        <w:t xml:space="preserve">. </w:t>
      </w:r>
    </w:p>
    <w:p w:rsidR="004E7A5E" w:rsidRDefault="004E7A5E" w:rsidP="004E7A5E">
      <w:r>
        <w:t xml:space="preserve">Figure 11 shows the distributions of internal and external dose rates for an ERICA Tier 3 assessment for the freshwater mussel, </w:t>
      </w:r>
      <w:proofErr w:type="spellStart"/>
      <w:r w:rsidRPr="006B19B2">
        <w:rPr>
          <w:i/>
        </w:rPr>
        <w:t>Velesunio</w:t>
      </w:r>
      <w:proofErr w:type="spellEnd"/>
      <w:r w:rsidRPr="006B19B2">
        <w:rPr>
          <w:i/>
        </w:rPr>
        <w:t xml:space="preserve"> </w:t>
      </w:r>
      <w:proofErr w:type="spellStart"/>
      <w:r>
        <w:rPr>
          <w:i/>
        </w:rPr>
        <w:t>a</w:t>
      </w:r>
      <w:r w:rsidRPr="006B19B2">
        <w:rPr>
          <w:i/>
        </w:rPr>
        <w:t>ngasi</w:t>
      </w:r>
      <w:proofErr w:type="spellEnd"/>
      <w:r>
        <w:t xml:space="preserve">, from an assumed water </w:t>
      </w:r>
      <w:r w:rsidRPr="008275BE">
        <w:rPr>
          <w:snapToGrid w:val="0"/>
          <w:color w:val="000000"/>
          <w:position w:val="6"/>
          <w:sz w:val="16"/>
          <w:szCs w:val="0"/>
          <w:u w:color="000000"/>
        </w:rPr>
        <w:t>226</w:t>
      </w:r>
      <w:r>
        <w:t xml:space="preserve">Ra activity concentration of 1 </w:t>
      </w:r>
      <w:proofErr w:type="spellStart"/>
      <w:r>
        <w:t>Bq·L</w:t>
      </w:r>
      <w:proofErr w:type="spellEnd"/>
      <w:r w:rsidRPr="008275BE">
        <w:rPr>
          <w:snapToGrid w:val="0"/>
          <w:color w:val="000000"/>
          <w:position w:val="6"/>
          <w:sz w:val="16"/>
          <w:szCs w:val="0"/>
          <w:u w:color="000000"/>
        </w:rPr>
        <w:t>-1</w:t>
      </w:r>
      <w:r>
        <w:t xml:space="preserve"> and using parameters in Table 5.  Only around 1% of the dose rate to the mussels is from external gamma radiation.</w:t>
      </w:r>
    </w:p>
    <w:p w:rsidR="004E7A5E" w:rsidRPr="00DB6C8A" w:rsidRDefault="004E7A5E" w:rsidP="00856EAE">
      <w:r w:rsidRPr="002C2263">
        <w:t>The 9</w:t>
      </w:r>
      <w:r>
        <w:t>9</w:t>
      </w:r>
      <w:r w:rsidRPr="00E539AB">
        <w:rPr>
          <w:vertAlign w:val="superscript"/>
        </w:rPr>
        <w:t>th</w:t>
      </w:r>
      <w:r>
        <w:t xml:space="preserve"> </w:t>
      </w:r>
      <w:r w:rsidRPr="002C2263">
        <w:t xml:space="preserve">percentile of the output probability distribution </w:t>
      </w:r>
      <w:r>
        <w:t xml:space="preserve">of the total dose rate </w:t>
      </w:r>
      <w:r w:rsidRPr="002C2263">
        <w:t>was chosen to represent</w:t>
      </w:r>
      <w:r>
        <w:t xml:space="preserve"> the maximum dose rate to</w:t>
      </w:r>
      <w:r w:rsidRPr="002C2263">
        <w:t xml:space="preserve"> ‘</w:t>
      </w:r>
      <w:r>
        <w:t>a small proportion of individuals</w:t>
      </w:r>
      <w:r w:rsidRPr="002C2263">
        <w:t xml:space="preserve">’ </w:t>
      </w:r>
      <w:r>
        <w:t xml:space="preserve">in the mussel population </w:t>
      </w:r>
      <w:r w:rsidRPr="002C2263">
        <w:t xml:space="preserve">and was subsequently used </w:t>
      </w:r>
      <w:r>
        <w:t>to back-calculate the guideline value from the 4</w:t>
      </w:r>
      <w:r w:rsidRPr="002C2263">
        <w:t>00 µ</w:t>
      </w:r>
      <w:proofErr w:type="spellStart"/>
      <w:r w:rsidRPr="002C2263">
        <w:t>Gy</w:t>
      </w:r>
      <w:r>
        <w:t>·</w:t>
      </w:r>
      <w:r w:rsidRPr="002C2263">
        <w:t>h</w:t>
      </w:r>
      <w:proofErr w:type="spellEnd"/>
      <w:r w:rsidRPr="00B44179">
        <w:rPr>
          <w:snapToGrid w:val="0"/>
          <w:color w:val="000000"/>
          <w:position w:val="6"/>
          <w:sz w:val="16"/>
          <w:szCs w:val="0"/>
          <w:u w:color="000000"/>
        </w:rPr>
        <w:t>-1</w:t>
      </w:r>
      <w:r w:rsidRPr="002C2263">
        <w:t xml:space="preserve"> benchmark dose </w:t>
      </w:r>
      <w:r>
        <w:t>rate adopted from UNSCEAR (1996, 2008).</w:t>
      </w:r>
      <w:r w:rsidRPr="00472A51">
        <w:t xml:space="preserve"> </w:t>
      </w:r>
      <w:r>
        <w:t xml:space="preserve">The total water activity concentration of </w:t>
      </w:r>
      <w:r w:rsidRPr="00472A51">
        <w:rPr>
          <w:snapToGrid w:val="0"/>
          <w:color w:val="000000"/>
          <w:position w:val="6"/>
          <w:sz w:val="16"/>
          <w:szCs w:val="0"/>
          <w:u w:color="000000"/>
        </w:rPr>
        <w:t>226</w:t>
      </w:r>
      <w:r>
        <w:t>Ra leading to an exposure of 4</w:t>
      </w:r>
      <w:r w:rsidRPr="002C2263">
        <w:t>00 µ</w:t>
      </w:r>
      <w:proofErr w:type="spellStart"/>
      <w:r w:rsidRPr="002C2263">
        <w:t>Gy</w:t>
      </w:r>
      <w:r>
        <w:t>·</w:t>
      </w:r>
      <w:r w:rsidRPr="002C2263">
        <w:t>h</w:t>
      </w:r>
      <w:proofErr w:type="spellEnd"/>
      <w:r w:rsidRPr="00B44179">
        <w:rPr>
          <w:snapToGrid w:val="0"/>
          <w:color w:val="000000"/>
          <w:position w:val="6"/>
          <w:sz w:val="16"/>
          <w:szCs w:val="0"/>
          <w:u w:color="000000"/>
        </w:rPr>
        <w:t>-1</w:t>
      </w:r>
      <w:r w:rsidRPr="002C2263">
        <w:t xml:space="preserve"> </w:t>
      </w:r>
      <w:r>
        <w:t xml:space="preserve">to 1 per cent of the mussel population was calculated to be 24 </w:t>
      </w:r>
      <w:proofErr w:type="spellStart"/>
      <w:r>
        <w:t>mBq·L</w:t>
      </w:r>
      <w:proofErr w:type="spellEnd"/>
      <w:r w:rsidRPr="008275BE">
        <w:rPr>
          <w:snapToGrid w:val="0"/>
          <w:color w:val="000000"/>
          <w:position w:val="6"/>
          <w:sz w:val="16"/>
          <w:szCs w:val="0"/>
          <w:u w:color="000000"/>
        </w:rPr>
        <w:t>-1</w:t>
      </w:r>
      <w:r>
        <w:t xml:space="preserve">. </w:t>
      </w:r>
    </w:p>
    <w:p w:rsidR="00856EAE" w:rsidRPr="004873C1" w:rsidRDefault="00856EAE" w:rsidP="00856EAE">
      <w:pPr>
        <w:pStyle w:val="tablecaption"/>
      </w:pPr>
      <w:bookmarkStart w:id="71" w:name="_Toc433624059"/>
      <w:r w:rsidRPr="000E55B0">
        <w:rPr>
          <w:b/>
        </w:rPr>
        <w:t xml:space="preserve">Table </w:t>
      </w:r>
      <w:proofErr w:type="gramStart"/>
      <w:r w:rsidRPr="000E55B0">
        <w:rPr>
          <w:b/>
        </w:rPr>
        <w:t>5</w:t>
      </w:r>
      <w:r w:rsidRPr="004873C1">
        <w:t xml:space="preserve">  Input</w:t>
      </w:r>
      <w:proofErr w:type="gramEnd"/>
      <w:r w:rsidRPr="004873C1">
        <w:t xml:space="preserve"> parameter values used in the tier 3 assessment module of the ERICA Tool 1.2 to calculate the absorbed dose rate to mussels per unit activity concentration of </w:t>
      </w:r>
      <w:r w:rsidRPr="004873C1">
        <w:rPr>
          <w:szCs w:val="0"/>
          <w:u w:color="000000"/>
        </w:rPr>
        <w:t>226</w:t>
      </w:r>
      <w:r w:rsidRPr="004873C1">
        <w:t>Ra in water.</w:t>
      </w:r>
      <w:bookmarkEnd w:id="71"/>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235"/>
        <w:gridCol w:w="6287"/>
      </w:tblGrid>
      <w:tr w:rsidR="00856EAE" w:rsidTr="003714D8">
        <w:tc>
          <w:tcPr>
            <w:tcW w:w="2235" w:type="dxa"/>
            <w:tcBorders>
              <w:top w:val="single" w:sz="4" w:space="0" w:color="auto"/>
              <w:bottom w:val="single" w:sz="4" w:space="0" w:color="auto"/>
            </w:tcBorders>
          </w:tcPr>
          <w:p w:rsidR="00856EAE" w:rsidRDefault="00D62FA2" w:rsidP="003714D8">
            <w:pPr>
              <w:pStyle w:val="table1"/>
            </w:pPr>
            <w:r>
              <w:t>Parameter</w:t>
            </w:r>
          </w:p>
        </w:tc>
        <w:tc>
          <w:tcPr>
            <w:tcW w:w="6287" w:type="dxa"/>
            <w:tcBorders>
              <w:top w:val="single" w:sz="4" w:space="0" w:color="auto"/>
              <w:bottom w:val="single" w:sz="4" w:space="0" w:color="auto"/>
            </w:tcBorders>
          </w:tcPr>
          <w:p w:rsidR="00856EAE" w:rsidRDefault="00856EAE" w:rsidP="003714D8">
            <w:pPr>
              <w:pStyle w:val="table1"/>
            </w:pPr>
            <w:r>
              <w:t>Value</w:t>
            </w:r>
          </w:p>
        </w:tc>
      </w:tr>
      <w:tr w:rsidR="00856EAE" w:rsidTr="003714D8">
        <w:tc>
          <w:tcPr>
            <w:tcW w:w="2235" w:type="dxa"/>
            <w:tcBorders>
              <w:top w:val="single" w:sz="4" w:space="0" w:color="auto"/>
            </w:tcBorders>
          </w:tcPr>
          <w:p w:rsidR="00856EAE" w:rsidRDefault="00856EAE" w:rsidP="003714D8">
            <w:pPr>
              <w:pStyle w:val="table1"/>
            </w:pPr>
            <w:r>
              <w:t>Radionuclides</w:t>
            </w:r>
          </w:p>
        </w:tc>
        <w:tc>
          <w:tcPr>
            <w:tcW w:w="6287" w:type="dxa"/>
            <w:tcBorders>
              <w:top w:val="single" w:sz="4" w:space="0" w:color="auto"/>
            </w:tcBorders>
          </w:tcPr>
          <w:p w:rsidR="00856EAE" w:rsidRDefault="00856EAE" w:rsidP="003714D8">
            <w:pPr>
              <w:pStyle w:val="table1"/>
            </w:pPr>
            <w:r w:rsidRPr="00083C22">
              <w:rPr>
                <w:snapToGrid w:val="0"/>
                <w:color w:val="000000"/>
                <w:position w:val="4"/>
                <w:sz w:val="11"/>
                <w:szCs w:val="0"/>
                <w:u w:color="000000"/>
              </w:rPr>
              <w:t>226</w:t>
            </w:r>
            <w:r>
              <w:t>Ra</w:t>
            </w:r>
          </w:p>
        </w:tc>
      </w:tr>
      <w:tr w:rsidR="00856EAE" w:rsidTr="003714D8">
        <w:tc>
          <w:tcPr>
            <w:tcW w:w="2235" w:type="dxa"/>
          </w:tcPr>
          <w:p w:rsidR="00856EAE" w:rsidRDefault="00856EAE" w:rsidP="003714D8">
            <w:pPr>
              <w:pStyle w:val="table1"/>
              <w:spacing w:before="0"/>
            </w:pPr>
            <w:r>
              <w:t>Organisms</w:t>
            </w:r>
          </w:p>
        </w:tc>
        <w:tc>
          <w:tcPr>
            <w:tcW w:w="6287" w:type="dxa"/>
          </w:tcPr>
          <w:p w:rsidR="00856EAE" w:rsidRDefault="00856EAE" w:rsidP="003714D8">
            <w:pPr>
              <w:pStyle w:val="table1"/>
              <w:spacing w:before="0"/>
            </w:pPr>
            <w:r>
              <w:t>Mollusc - bivalve</w:t>
            </w:r>
          </w:p>
        </w:tc>
      </w:tr>
      <w:tr w:rsidR="00856EAE" w:rsidTr="003714D8">
        <w:tc>
          <w:tcPr>
            <w:tcW w:w="2235" w:type="dxa"/>
          </w:tcPr>
          <w:p w:rsidR="00856EAE" w:rsidRDefault="00856EAE" w:rsidP="003714D8">
            <w:pPr>
              <w:pStyle w:val="table1"/>
              <w:spacing w:before="0"/>
            </w:pPr>
            <w:r>
              <w:t>CR</w:t>
            </w:r>
          </w:p>
        </w:tc>
        <w:tc>
          <w:tcPr>
            <w:tcW w:w="6287" w:type="dxa"/>
          </w:tcPr>
          <w:p w:rsidR="00856EAE" w:rsidRDefault="00856EAE" w:rsidP="003714D8">
            <w:pPr>
              <w:pStyle w:val="table1"/>
              <w:spacing w:before="0"/>
            </w:pPr>
            <w:r>
              <w:t>The arithmetic mean (36,100) and standard deviation (23,900) of the total mussel population were entered as a lognormal distribution with a lower bound of zero and an upper bound of infinity.</w:t>
            </w:r>
          </w:p>
        </w:tc>
      </w:tr>
      <w:tr w:rsidR="00856EAE" w:rsidTr="003714D8">
        <w:tc>
          <w:tcPr>
            <w:tcW w:w="2235" w:type="dxa"/>
          </w:tcPr>
          <w:p w:rsidR="00856EAE" w:rsidRDefault="00856EAE" w:rsidP="003714D8">
            <w:pPr>
              <w:pStyle w:val="table1"/>
              <w:spacing w:before="0"/>
            </w:pPr>
            <w:r>
              <w:t>Kd</w:t>
            </w:r>
          </w:p>
        </w:tc>
        <w:tc>
          <w:tcPr>
            <w:tcW w:w="6287" w:type="dxa"/>
          </w:tcPr>
          <w:p w:rsidR="00856EAE" w:rsidRDefault="00856EAE" w:rsidP="00A6465F">
            <w:pPr>
              <w:pStyle w:val="table1"/>
              <w:spacing w:before="0"/>
            </w:pPr>
            <w:r>
              <w:t xml:space="preserve">The arithmetic mean (227,500) and standard deviation (47,170) of values presented in </w:t>
            </w:r>
            <w:r w:rsidR="00A6465F">
              <w:t>Humphrey and Simpson (1985)</w:t>
            </w:r>
            <w:r>
              <w:t xml:space="preserve"> for </w:t>
            </w:r>
            <w:r w:rsidRPr="008C1E66">
              <w:rPr>
                <w:snapToGrid w:val="0"/>
                <w:color w:val="000000"/>
                <w:position w:val="4"/>
                <w:sz w:val="11"/>
                <w:szCs w:val="0"/>
                <w:u w:color="000000"/>
              </w:rPr>
              <w:t>226</w:t>
            </w:r>
            <w:r>
              <w:t>Ra in Magela Creek were entered as a lognormal distribution with a lower bound of zero and an upper bound of infinity.</w:t>
            </w:r>
          </w:p>
        </w:tc>
      </w:tr>
      <w:tr w:rsidR="00856EAE" w:rsidTr="003714D8">
        <w:tc>
          <w:tcPr>
            <w:tcW w:w="2235" w:type="dxa"/>
          </w:tcPr>
          <w:p w:rsidR="00856EAE" w:rsidRDefault="00856EAE" w:rsidP="003714D8">
            <w:pPr>
              <w:pStyle w:val="table1"/>
              <w:spacing w:before="0"/>
            </w:pPr>
            <w:r>
              <w:t>Occupancy factor</w:t>
            </w:r>
          </w:p>
        </w:tc>
        <w:tc>
          <w:tcPr>
            <w:tcW w:w="6287" w:type="dxa"/>
          </w:tcPr>
          <w:p w:rsidR="00856EAE" w:rsidRDefault="00856EAE" w:rsidP="003714D8">
            <w:pPr>
              <w:pStyle w:val="table1"/>
              <w:spacing w:before="0"/>
            </w:pPr>
            <w:r>
              <w:t>100% at sediment-surface</w:t>
            </w:r>
          </w:p>
        </w:tc>
      </w:tr>
      <w:tr w:rsidR="00856EAE" w:rsidTr="003714D8">
        <w:tc>
          <w:tcPr>
            <w:tcW w:w="2235" w:type="dxa"/>
          </w:tcPr>
          <w:p w:rsidR="00856EAE" w:rsidRDefault="00856EAE" w:rsidP="003714D8">
            <w:pPr>
              <w:pStyle w:val="table1"/>
              <w:spacing w:before="0"/>
            </w:pPr>
            <w:r>
              <w:t>Radiation weighting factors</w:t>
            </w:r>
            <w:r>
              <w:rPr>
                <w:snapToGrid w:val="0"/>
                <w:color w:val="000000"/>
                <w:position w:val="4"/>
                <w:sz w:val="11"/>
                <w:szCs w:val="0"/>
                <w:u w:color="000000"/>
              </w:rPr>
              <w:t>a</w:t>
            </w:r>
          </w:p>
        </w:tc>
        <w:tc>
          <w:tcPr>
            <w:tcW w:w="6287" w:type="dxa"/>
          </w:tcPr>
          <w:p w:rsidR="00856EAE" w:rsidRDefault="00856EAE" w:rsidP="003714D8">
            <w:pPr>
              <w:pStyle w:val="table1"/>
              <w:spacing w:before="0"/>
            </w:pPr>
            <w:r>
              <w:t>10 for alpha, 1 for gamma/beta and 3 for low energy beta</w:t>
            </w:r>
          </w:p>
        </w:tc>
      </w:tr>
      <w:tr w:rsidR="00856EAE" w:rsidTr="003714D8">
        <w:tc>
          <w:tcPr>
            <w:tcW w:w="2235" w:type="dxa"/>
          </w:tcPr>
          <w:p w:rsidR="00856EAE" w:rsidRDefault="00856EAE" w:rsidP="003714D8">
            <w:pPr>
              <w:pStyle w:val="table1"/>
              <w:spacing w:before="0"/>
            </w:pPr>
            <w:r>
              <w:t>Water activity concentration</w:t>
            </w:r>
          </w:p>
        </w:tc>
        <w:tc>
          <w:tcPr>
            <w:tcW w:w="6287" w:type="dxa"/>
          </w:tcPr>
          <w:p w:rsidR="00856EAE" w:rsidRDefault="00856EAE" w:rsidP="00C96B15">
            <w:pPr>
              <w:pStyle w:val="table1"/>
              <w:spacing w:before="0"/>
            </w:pPr>
            <w:r>
              <w:t xml:space="preserve">1 </w:t>
            </w:r>
            <w:proofErr w:type="spellStart"/>
            <w:r>
              <w:t>Bq</w:t>
            </w:r>
            <w:r w:rsidR="00C96B15">
              <w:rPr>
                <w:rFonts w:cs="Arial"/>
              </w:rPr>
              <w:t>·</w:t>
            </w:r>
            <w:r w:rsidR="00D62FA2">
              <w:t>L</w:t>
            </w:r>
            <w:proofErr w:type="spellEnd"/>
            <w:r w:rsidRPr="007B6304">
              <w:rPr>
                <w:snapToGrid w:val="0"/>
                <w:color w:val="000000"/>
                <w:position w:val="4"/>
                <w:sz w:val="11"/>
                <w:szCs w:val="0"/>
                <w:u w:color="000000"/>
              </w:rPr>
              <w:t>-1</w:t>
            </w:r>
          </w:p>
        </w:tc>
      </w:tr>
      <w:tr w:rsidR="00856EAE" w:rsidTr="003714D8">
        <w:tc>
          <w:tcPr>
            <w:tcW w:w="2235" w:type="dxa"/>
          </w:tcPr>
          <w:p w:rsidR="00856EAE" w:rsidRDefault="00856EAE" w:rsidP="003714D8">
            <w:pPr>
              <w:pStyle w:val="table1"/>
              <w:spacing w:before="0"/>
            </w:pPr>
            <w:r>
              <w:t>Simulations</w:t>
            </w:r>
          </w:p>
        </w:tc>
        <w:tc>
          <w:tcPr>
            <w:tcW w:w="6287" w:type="dxa"/>
          </w:tcPr>
          <w:p w:rsidR="00856EAE" w:rsidRDefault="00856EAE" w:rsidP="003714D8">
            <w:pPr>
              <w:pStyle w:val="table1"/>
              <w:spacing w:before="0"/>
            </w:pPr>
            <w:r>
              <w:t>10000</w:t>
            </w:r>
          </w:p>
        </w:tc>
      </w:tr>
      <w:tr w:rsidR="00856EAE" w:rsidTr="003714D8">
        <w:tc>
          <w:tcPr>
            <w:tcW w:w="2235" w:type="dxa"/>
          </w:tcPr>
          <w:p w:rsidR="00856EAE" w:rsidRDefault="00856EAE" w:rsidP="003714D8">
            <w:pPr>
              <w:pStyle w:val="table1"/>
              <w:spacing w:before="0"/>
            </w:pPr>
            <w:r>
              <w:t>Seed</w:t>
            </w:r>
          </w:p>
        </w:tc>
        <w:tc>
          <w:tcPr>
            <w:tcW w:w="6287" w:type="dxa"/>
          </w:tcPr>
          <w:p w:rsidR="00856EAE" w:rsidRDefault="00856EAE" w:rsidP="003714D8">
            <w:pPr>
              <w:pStyle w:val="table1"/>
              <w:spacing w:before="0"/>
            </w:pPr>
            <w:r w:rsidRPr="00C73B5E">
              <w:t>0</w:t>
            </w:r>
          </w:p>
        </w:tc>
      </w:tr>
    </w:tbl>
    <w:p w:rsidR="00856EAE" w:rsidRDefault="00856EAE" w:rsidP="00856EAE">
      <w:pPr>
        <w:pStyle w:val="tablenote"/>
      </w:pPr>
      <w:r>
        <w:rPr>
          <w:snapToGrid w:val="0"/>
          <w:color w:val="000000"/>
          <w:position w:val="3"/>
          <w:sz w:val="9"/>
          <w:szCs w:val="0"/>
          <w:u w:color="000000"/>
        </w:rPr>
        <w:t>a</w:t>
      </w:r>
      <w:r w:rsidRPr="004949A0">
        <w:t xml:space="preserve">The </w:t>
      </w:r>
      <w:r>
        <w:t>UNSCEAR</w:t>
      </w:r>
      <w:r w:rsidRPr="004949A0">
        <w:t xml:space="preserve"> </w:t>
      </w:r>
      <w:r>
        <w:t xml:space="preserve">dose rate of 400 </w:t>
      </w:r>
      <w:r w:rsidRPr="00F822DB">
        <w:rPr>
          <w:rFonts w:cs="Arial"/>
        </w:rPr>
        <w:t>µGy h</w:t>
      </w:r>
      <w:r w:rsidRPr="00F822DB">
        <w:rPr>
          <w:snapToGrid w:val="0"/>
          <w:color w:val="000000"/>
          <w:position w:val="3"/>
          <w:sz w:val="9"/>
          <w:szCs w:val="0"/>
          <w:u w:color="000000"/>
        </w:rPr>
        <w:t>-1</w:t>
      </w:r>
      <w:r>
        <w:t xml:space="preserve"> </w:t>
      </w:r>
      <w:r w:rsidRPr="004949A0">
        <w:t>refer</w:t>
      </w:r>
      <w:r>
        <w:t>s</w:t>
      </w:r>
      <w:r w:rsidRPr="004949A0">
        <w:t xml:space="preserve"> to the effects of exposure to low-LET radiation</w:t>
      </w:r>
      <w:r>
        <w:t>. W</w:t>
      </w:r>
      <w:r w:rsidRPr="004949A0">
        <w:t xml:space="preserve">here a significant part of the incremental radiation exposure comes from high-LET radiation (alpha particles), </w:t>
      </w:r>
      <w:r>
        <w:t>i</w:t>
      </w:r>
      <w:r w:rsidRPr="004949A0">
        <w:t xml:space="preserve">t </w:t>
      </w:r>
      <w:r>
        <w:t xml:space="preserve">is </w:t>
      </w:r>
      <w:r w:rsidRPr="004949A0">
        <w:t>necessary to take account of the different relative biological effectiveness of the radiation.</w:t>
      </w:r>
    </w:p>
    <w:p w:rsidR="00856EAE" w:rsidRDefault="00856EAE" w:rsidP="00856EA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856EAE" w:rsidTr="003714D8">
        <w:trPr>
          <w:jc w:val="center"/>
        </w:trPr>
        <w:tc>
          <w:tcPr>
            <w:tcW w:w="8522" w:type="dxa"/>
          </w:tcPr>
          <w:p w:rsidR="00856EAE" w:rsidRDefault="00856EAE" w:rsidP="003714D8">
            <w:pPr>
              <w:jc w:val="center"/>
            </w:pPr>
            <w:r>
              <w:rPr>
                <w:noProof/>
                <w:lang w:eastAsia="en-AU"/>
              </w:rPr>
              <w:drawing>
                <wp:inline distT="0" distB="0" distL="0" distR="0">
                  <wp:extent cx="4497134" cy="2207609"/>
                  <wp:effectExtent l="19050" t="0" r="0" b="0"/>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4497134" cy="2207609"/>
                          </a:xfrm>
                          <a:prstGeom prst="rect">
                            <a:avLst/>
                          </a:prstGeom>
                          <a:noFill/>
                          <a:ln w="9525">
                            <a:noFill/>
                            <a:miter lim="800000"/>
                            <a:headEnd/>
                            <a:tailEnd/>
                          </a:ln>
                        </pic:spPr>
                      </pic:pic>
                    </a:graphicData>
                  </a:graphic>
                </wp:inline>
              </w:drawing>
            </w:r>
          </w:p>
        </w:tc>
      </w:tr>
      <w:tr w:rsidR="00856EAE" w:rsidTr="003714D8">
        <w:trPr>
          <w:jc w:val="center"/>
        </w:trPr>
        <w:tc>
          <w:tcPr>
            <w:tcW w:w="8522" w:type="dxa"/>
          </w:tcPr>
          <w:p w:rsidR="00856EAE" w:rsidRDefault="00856EAE" w:rsidP="003714D8">
            <w:pPr>
              <w:jc w:val="center"/>
            </w:pPr>
            <w:r>
              <w:rPr>
                <w:noProof/>
                <w:lang w:eastAsia="en-AU"/>
              </w:rPr>
              <w:drawing>
                <wp:inline distT="0" distB="0" distL="0" distR="0">
                  <wp:extent cx="4501229" cy="2203514"/>
                  <wp:effectExtent l="19050" t="0" r="0"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4501229" cy="2203514"/>
                          </a:xfrm>
                          <a:prstGeom prst="rect">
                            <a:avLst/>
                          </a:prstGeom>
                          <a:noFill/>
                          <a:ln w="9525">
                            <a:noFill/>
                            <a:miter lim="800000"/>
                            <a:headEnd/>
                            <a:tailEnd/>
                          </a:ln>
                        </pic:spPr>
                      </pic:pic>
                    </a:graphicData>
                  </a:graphic>
                </wp:inline>
              </w:drawing>
            </w:r>
          </w:p>
        </w:tc>
      </w:tr>
    </w:tbl>
    <w:p w:rsidR="00856EAE" w:rsidRDefault="00856EAE" w:rsidP="00856EAE">
      <w:pPr>
        <w:pStyle w:val="figurecaption"/>
      </w:pPr>
      <w:bookmarkStart w:id="72" w:name="_Toc433624071"/>
      <w:r w:rsidRPr="001026D3">
        <w:rPr>
          <w:b/>
        </w:rPr>
        <w:t>Figure 11</w:t>
      </w:r>
      <w:r>
        <w:t xml:space="preserve"> Distributions of internal and external an/d dose rates modelled for freshwater mussels, </w:t>
      </w:r>
      <w:r w:rsidRPr="004D4DC1">
        <w:rPr>
          <w:i/>
        </w:rPr>
        <w:t xml:space="preserve">Velesunio </w:t>
      </w:r>
      <w:r>
        <w:rPr>
          <w:i/>
        </w:rPr>
        <w:t>a</w:t>
      </w:r>
      <w:r w:rsidRPr="004D4DC1">
        <w:rPr>
          <w:i/>
        </w:rPr>
        <w:t>ngasi</w:t>
      </w:r>
      <w:r>
        <w:t xml:space="preserve">, from an assumed water </w:t>
      </w:r>
      <w:r w:rsidRPr="006B19B2">
        <w:rPr>
          <w:snapToGrid w:val="0"/>
          <w:color w:val="000000"/>
          <w:position w:val="4"/>
          <w:sz w:val="12"/>
          <w:szCs w:val="0"/>
          <w:u w:color="000000"/>
        </w:rPr>
        <w:t>226</w:t>
      </w:r>
      <w:r>
        <w:t>Ra</w:t>
      </w:r>
      <w:r w:rsidR="00D62FA2">
        <w:t xml:space="preserve"> activity concentration of 1 </w:t>
      </w:r>
      <w:proofErr w:type="spellStart"/>
      <w:r w:rsidR="00D62FA2">
        <w:t>Bq</w:t>
      </w:r>
      <w:r w:rsidR="004E7A5E">
        <w:rPr>
          <w:rFonts w:cs="Arial"/>
        </w:rPr>
        <w:t>·</w:t>
      </w:r>
      <w:r>
        <w:t>L</w:t>
      </w:r>
      <w:proofErr w:type="spellEnd"/>
      <w:r w:rsidRPr="006B19B2">
        <w:rPr>
          <w:snapToGrid w:val="0"/>
          <w:color w:val="000000"/>
          <w:position w:val="4"/>
          <w:sz w:val="12"/>
          <w:szCs w:val="0"/>
          <w:u w:color="000000"/>
        </w:rPr>
        <w:t>-1</w:t>
      </w:r>
      <w:bookmarkEnd w:id="72"/>
    </w:p>
    <w:p w:rsidR="00856EAE" w:rsidRDefault="00856EAE" w:rsidP="00856EAE"/>
    <w:p w:rsidR="001026D3" w:rsidRDefault="001026D3">
      <w:pPr>
        <w:spacing w:after="0" w:line="240" w:lineRule="auto"/>
        <w:jc w:val="left"/>
        <w:rPr>
          <w:rFonts w:ascii="Arial" w:hAnsi="Arial"/>
          <w:b/>
          <w:sz w:val="36"/>
        </w:rPr>
      </w:pPr>
      <w:r>
        <w:br w:type="page"/>
      </w:r>
    </w:p>
    <w:p w:rsidR="00856EAE" w:rsidRDefault="001026D3" w:rsidP="001026D3">
      <w:pPr>
        <w:pStyle w:val="Heading1"/>
      </w:pPr>
      <w:bookmarkStart w:id="73" w:name="_Toc443054601"/>
      <w:proofErr w:type="gramStart"/>
      <w:r>
        <w:t>4  Summary</w:t>
      </w:r>
      <w:proofErr w:type="gramEnd"/>
      <w:r>
        <w:t xml:space="preserve"> and c</w:t>
      </w:r>
      <w:r w:rsidR="00856EAE">
        <w:t>onclusions</w:t>
      </w:r>
      <w:bookmarkEnd w:id="73"/>
    </w:p>
    <w:p w:rsidR="00856EAE" w:rsidRDefault="00856EAE" w:rsidP="00856EAE">
      <w:r>
        <w:t xml:space="preserve">Doses to humans and the environment arising from </w:t>
      </w:r>
      <w:r w:rsidRPr="00510166">
        <w:rPr>
          <w:snapToGrid w:val="0"/>
          <w:color w:val="000000"/>
          <w:position w:val="6"/>
          <w:sz w:val="16"/>
          <w:szCs w:val="0"/>
          <w:u w:color="000000"/>
        </w:rPr>
        <w:t>226</w:t>
      </w:r>
      <w:r>
        <w:t xml:space="preserve">Ra in Magela Creek water have been assessed. As it has previously been shown (Martin et al 1998; Martin 2000; Johnston et al 2005) that for a potential release of mine water from </w:t>
      </w:r>
      <w:r>
        <w:rPr>
          <w:lang w:val="en-US"/>
        </w:rPr>
        <w:t xml:space="preserve">Ranger mine, </w:t>
      </w:r>
      <w:r w:rsidRPr="00510166">
        <w:rPr>
          <w:snapToGrid w:val="0"/>
          <w:color w:val="000000"/>
          <w:position w:val="6"/>
          <w:sz w:val="16"/>
          <w:szCs w:val="0"/>
          <w:u w:color="000000"/>
        </w:rPr>
        <w:t>226</w:t>
      </w:r>
      <w:r>
        <w:t xml:space="preserve">Ra in mussels will be the most important contributor to radiation doses to both humans and the environment, the assessment presented here focussed on </w:t>
      </w:r>
      <w:r w:rsidRPr="00555B74">
        <w:rPr>
          <w:snapToGrid w:val="0"/>
          <w:color w:val="000000"/>
          <w:position w:val="6"/>
          <w:sz w:val="16"/>
          <w:szCs w:val="0"/>
          <w:u w:color="000000"/>
        </w:rPr>
        <w:t>226</w:t>
      </w:r>
      <w:r>
        <w:t xml:space="preserve">Ra in water only. </w:t>
      </w:r>
    </w:p>
    <w:p w:rsidR="00856EAE" w:rsidRDefault="00856EAE" w:rsidP="00856EAE">
      <w:r>
        <w:t xml:space="preserve">Our assessment of ingestion doses to humans and internal and external doses to mussels from </w:t>
      </w:r>
      <w:r w:rsidRPr="007167C0">
        <w:rPr>
          <w:snapToGrid w:val="0"/>
          <w:color w:val="000000"/>
          <w:position w:val="6"/>
          <w:sz w:val="16"/>
          <w:szCs w:val="0"/>
          <w:u w:color="000000"/>
        </w:rPr>
        <w:t>226</w:t>
      </w:r>
      <w:r>
        <w:t>Ra has shown that human radiological protection is more limiting than</w:t>
      </w:r>
      <w:r w:rsidRPr="00BF425D">
        <w:t xml:space="preserve"> </w:t>
      </w:r>
      <w:r>
        <w:t>considerations for radiation protection of the environment. The assessment is based on the above background</w:t>
      </w:r>
      <w:r w:rsidRPr="009B77C6">
        <w:t xml:space="preserve"> </w:t>
      </w:r>
      <w:r>
        <w:t xml:space="preserve">total water </w:t>
      </w:r>
      <w:r w:rsidRPr="009B77C6">
        <w:rPr>
          <w:snapToGrid w:val="0"/>
          <w:color w:val="000000"/>
          <w:position w:val="6"/>
          <w:sz w:val="16"/>
          <w:szCs w:val="0"/>
          <w:u w:color="000000"/>
        </w:rPr>
        <w:t>226</w:t>
      </w:r>
      <w:r>
        <w:t xml:space="preserve">Ra activity concentration in Magela Creek </w:t>
      </w:r>
      <w:r w:rsidR="00A6465F">
        <w:t xml:space="preserve">downstream of RUM </w:t>
      </w:r>
      <w:r>
        <w:t xml:space="preserve">and by assuming that a 10 year old child consumes 2 kg (wet weight) of large mussels per year. Using a typical CR for </w:t>
      </w:r>
      <w:r w:rsidRPr="007167C0">
        <w:rPr>
          <w:snapToGrid w:val="0"/>
          <w:color w:val="000000"/>
          <w:position w:val="6"/>
          <w:sz w:val="16"/>
          <w:szCs w:val="0"/>
          <w:u w:color="000000"/>
        </w:rPr>
        <w:t>226</w:t>
      </w:r>
      <w:r>
        <w:t xml:space="preserve">Ra in 3+ year old mussels from Mudginberi Billabong collected between 2001 and 2013 we have shown that a mine derived increase in total water </w:t>
      </w:r>
      <w:r w:rsidRPr="007167C0">
        <w:rPr>
          <w:snapToGrid w:val="0"/>
          <w:color w:val="000000"/>
          <w:position w:val="6"/>
          <w:sz w:val="16"/>
          <w:szCs w:val="0"/>
          <w:u w:color="000000"/>
        </w:rPr>
        <w:t>226</w:t>
      </w:r>
      <w:r>
        <w:t>Ra activity concentration of less than 3</w:t>
      </w:r>
      <w:r w:rsidRPr="009B77C6">
        <w:t xml:space="preserve"> </w:t>
      </w:r>
      <w:r>
        <w:t>mBq·L</w:t>
      </w:r>
      <w:r w:rsidRPr="008275BE">
        <w:rPr>
          <w:snapToGrid w:val="0"/>
          <w:color w:val="000000"/>
          <w:position w:val="6"/>
          <w:sz w:val="16"/>
          <w:szCs w:val="0"/>
          <w:u w:color="000000"/>
        </w:rPr>
        <w:t>-1</w:t>
      </w:r>
      <w:r>
        <w:t xml:space="preserve">, will lead to a mine origin ingestion dose to humans of less than 0.2 mSv per year. The same increase in total water </w:t>
      </w:r>
      <w:r w:rsidRPr="007167C0">
        <w:rPr>
          <w:snapToGrid w:val="0"/>
          <w:color w:val="000000"/>
          <w:position w:val="6"/>
          <w:sz w:val="16"/>
          <w:szCs w:val="0"/>
          <w:u w:color="000000"/>
        </w:rPr>
        <w:t>226</w:t>
      </w:r>
      <w:r>
        <w:t>Ra activity concentration of 3</w:t>
      </w:r>
      <w:r w:rsidRPr="009B77C6">
        <w:t xml:space="preserve"> </w:t>
      </w:r>
      <w:r>
        <w:t>mBq·L</w:t>
      </w:r>
      <w:r w:rsidRPr="008275BE">
        <w:rPr>
          <w:snapToGrid w:val="0"/>
          <w:color w:val="000000"/>
          <w:position w:val="6"/>
          <w:sz w:val="16"/>
          <w:szCs w:val="0"/>
          <w:u w:color="000000"/>
        </w:rPr>
        <w:t>-1</w:t>
      </w:r>
      <w:r>
        <w:t xml:space="preserve">, will lead to a maximum additional dose rate to a small number of mussels (1%) of 50 </w:t>
      </w:r>
      <w:r w:rsidRPr="002C2263">
        <w:t>µGy</w:t>
      </w:r>
      <w:r>
        <w:t>·</w:t>
      </w:r>
      <w:r w:rsidRPr="002C2263">
        <w:t>h</w:t>
      </w:r>
      <w:r w:rsidRPr="00B44179">
        <w:rPr>
          <w:snapToGrid w:val="0"/>
          <w:color w:val="000000"/>
          <w:position w:val="6"/>
          <w:sz w:val="16"/>
          <w:szCs w:val="0"/>
          <w:u w:color="000000"/>
        </w:rPr>
        <w:t>-1</w:t>
      </w:r>
      <w:r>
        <w:t>.</w:t>
      </w:r>
    </w:p>
    <w:p w:rsidR="00856EAE" w:rsidRDefault="00856EAE" w:rsidP="00856EAE">
      <w:r>
        <w:t xml:space="preserve">Total water </w:t>
      </w:r>
      <w:r w:rsidRPr="00B8284A">
        <w:rPr>
          <w:snapToGrid w:val="0"/>
          <w:color w:val="000000"/>
          <w:position w:val="6"/>
          <w:sz w:val="16"/>
          <w:szCs w:val="0"/>
          <w:u w:color="000000"/>
        </w:rPr>
        <w:t>226</w:t>
      </w:r>
      <w:r>
        <w:t xml:space="preserve">Ra activity concentrations in Magela Creek are log-normally distributed, thus the revised operational water quality objective for </w:t>
      </w:r>
      <w:r w:rsidRPr="006B19B2">
        <w:rPr>
          <w:snapToGrid w:val="0"/>
          <w:color w:val="000000"/>
          <w:position w:val="6"/>
          <w:sz w:val="16"/>
          <w:szCs w:val="0"/>
          <w:u w:color="000000"/>
        </w:rPr>
        <w:t>226</w:t>
      </w:r>
      <w:r>
        <w:t>Ra in Magela Creek should be: “</w:t>
      </w:r>
      <w:r w:rsidRPr="004E7B72">
        <w:rPr>
          <w:i/>
        </w:rPr>
        <w:t xml:space="preserve">The </w:t>
      </w:r>
      <w:r>
        <w:rPr>
          <w:i/>
        </w:rPr>
        <w:t>geometric mean of the</w:t>
      </w:r>
      <w:r w:rsidRPr="004E7B72">
        <w:rPr>
          <w:i/>
        </w:rPr>
        <w:t xml:space="preserve"> total </w:t>
      </w:r>
      <w:r w:rsidRPr="004E7B72">
        <w:rPr>
          <w:i/>
          <w:snapToGrid w:val="0"/>
          <w:color w:val="000000"/>
          <w:position w:val="6"/>
          <w:sz w:val="16"/>
          <w:szCs w:val="0"/>
          <w:u w:color="000000"/>
        </w:rPr>
        <w:t>226</w:t>
      </w:r>
      <w:r w:rsidRPr="004E7B72">
        <w:rPr>
          <w:i/>
        </w:rPr>
        <w:t xml:space="preserve">Ra activity concentration for the wet season at the downstream site will not be more than </w:t>
      </w:r>
      <w:r>
        <w:rPr>
          <w:i/>
        </w:rPr>
        <w:t>3</w:t>
      </w:r>
      <w:r w:rsidRPr="004E7B72">
        <w:rPr>
          <w:i/>
        </w:rPr>
        <w:t xml:space="preserve"> mBq/L greater than that at the upstream site</w:t>
      </w:r>
      <w:r>
        <w:t xml:space="preserve">”. </w:t>
      </w:r>
    </w:p>
    <w:p w:rsidR="00856EAE" w:rsidRPr="007167C0" w:rsidRDefault="00856EAE" w:rsidP="00856EAE">
      <w:r>
        <w:t xml:space="preserve">This will ensure that doses to humans from the ingestion of mussels will be below 0.2 mSv, and that the radiological impact from </w:t>
      </w:r>
      <w:r w:rsidRPr="005A252F">
        <w:rPr>
          <w:snapToGrid w:val="0"/>
          <w:color w:val="000000"/>
          <w:position w:val="6"/>
          <w:sz w:val="16"/>
          <w:szCs w:val="0"/>
          <w:u w:color="000000"/>
        </w:rPr>
        <w:t>226</w:t>
      </w:r>
      <w:r>
        <w:t xml:space="preserve">Ra in the water column to the aquatic environment in Magela Creek will be negligible. </w:t>
      </w:r>
    </w:p>
    <w:p w:rsidR="00856EAE" w:rsidRDefault="00856EAE" w:rsidP="00856EAE">
      <w:pPr>
        <w:spacing w:after="0" w:line="240" w:lineRule="auto"/>
        <w:jc w:val="left"/>
        <w:rPr>
          <w:rFonts w:ascii="Arial" w:hAnsi="Arial"/>
          <w:b/>
          <w:sz w:val="36"/>
        </w:rPr>
      </w:pPr>
      <w:r>
        <w:br w:type="page"/>
      </w:r>
    </w:p>
    <w:p w:rsidR="00856EAE" w:rsidRDefault="00856EAE" w:rsidP="00856EAE">
      <w:pPr>
        <w:pStyle w:val="Heading1"/>
      </w:pPr>
      <w:bookmarkStart w:id="74" w:name="_Toc443054602"/>
      <w:r>
        <w:t>References</w:t>
      </w:r>
      <w:bookmarkEnd w:id="74"/>
    </w:p>
    <w:p w:rsidR="00856EAE" w:rsidRPr="009B465A" w:rsidRDefault="00856EAE" w:rsidP="00856EAE">
      <w:pPr>
        <w:pStyle w:val="Bibliography"/>
      </w:pPr>
      <w:r w:rsidRPr="009B465A">
        <w:t xml:space="preserve">Alam </w:t>
      </w:r>
      <w:r>
        <w:t xml:space="preserve">L </w:t>
      </w:r>
      <w:r w:rsidRPr="009B465A">
        <w:t xml:space="preserve">&amp; Mohamed </w:t>
      </w:r>
      <w:r>
        <w:t xml:space="preserve">CAR </w:t>
      </w:r>
      <w:r w:rsidRPr="009B465A">
        <w:t>2010</w:t>
      </w:r>
      <w:r>
        <w:t>. Polonium. In: Atwood, DA (Editor). Radionuclides in the Environment,. John Wiley &amp; Sons Ltd.</w:t>
      </w:r>
    </w:p>
    <w:p w:rsidR="00856EAE" w:rsidRDefault="002860DE" w:rsidP="00856EAE">
      <w:pPr>
        <w:pStyle w:val="Bibliography"/>
      </w:pPr>
      <w:r w:rsidRPr="004E7A5E">
        <w:t>ARPANSA</w:t>
      </w:r>
      <w:r w:rsidR="00121100">
        <w:t xml:space="preserve"> </w:t>
      </w:r>
      <w:r w:rsidRPr="004E7A5E">
        <w:t xml:space="preserve">2014a. National Directory for Radiation Protection. Republished February 2014, including amendments 1–6. Radiation Protection Series no. 6. Available from: </w:t>
      </w:r>
      <w:hyperlink r:id="rId40" w:history="1">
        <w:r w:rsidR="000B5B55">
          <w:rPr>
            <w:rStyle w:val="Hyperlink"/>
          </w:rPr>
          <w:t>www.arpansa.gov.au/pubs/rps/rps6.pdf</w:t>
        </w:r>
      </w:hyperlink>
      <w:r w:rsidR="009A5E71" w:rsidRPr="009A5E71">
        <w:t>.</w:t>
      </w:r>
    </w:p>
    <w:p w:rsidR="00856EAE" w:rsidRDefault="00856EAE" w:rsidP="00856EAE">
      <w:pPr>
        <w:pStyle w:val="Bibliography"/>
      </w:pPr>
      <w:r>
        <w:t xml:space="preserve">ARPANSA 2014b. Protection against Ionising Radiation. Radiation Protection Series F-1. Available from: </w:t>
      </w:r>
      <w:hyperlink r:id="rId41" w:history="1">
        <w:r w:rsidRPr="000C01F3">
          <w:rPr>
            <w:rStyle w:val="Hyperlink"/>
          </w:rPr>
          <w:t>www.arpansa.gov.au/pubs/rps/rpsF-1.pdf</w:t>
        </w:r>
      </w:hyperlink>
      <w:r>
        <w:t>.</w:t>
      </w:r>
    </w:p>
    <w:p w:rsidR="00856EAE" w:rsidRPr="009B465A" w:rsidRDefault="00856EAE" w:rsidP="00856EAE">
      <w:pPr>
        <w:pStyle w:val="Bibliography"/>
      </w:pPr>
      <w:r w:rsidRPr="009B465A">
        <w:t>Bollhöfer</w:t>
      </w:r>
      <w:r>
        <w:t>, A</w:t>
      </w:r>
      <w:r w:rsidRPr="009B465A">
        <w:t xml:space="preserve"> 2012</w:t>
      </w:r>
      <w:r>
        <w:t xml:space="preserve">. Stable lead isotope ratios and metals in freshwater mussels from a uranium mining environment in Australia’s wet-dry tropics. </w:t>
      </w:r>
      <w:r w:rsidRPr="009B465A">
        <w:t>Applied Geochemistry 27</w:t>
      </w:r>
      <w:r>
        <w:t>,</w:t>
      </w:r>
      <w:r w:rsidRPr="009B465A">
        <w:t xml:space="preserve"> 171–185</w:t>
      </w:r>
      <w:r>
        <w:t>.</w:t>
      </w:r>
    </w:p>
    <w:p w:rsidR="00856EAE" w:rsidRDefault="00856EAE" w:rsidP="00856EAE">
      <w:pPr>
        <w:pStyle w:val="Bibliography"/>
      </w:pPr>
      <w:r>
        <w:t>Bollhöfer</w:t>
      </w:r>
      <w:r w:rsidR="00121100">
        <w:t xml:space="preserve"> A</w:t>
      </w:r>
      <w:r>
        <w:t>, Brazier J, Ryan B, Humphrey C, Esparon A, 2011. A study of radium bioaccumulation in freshwater mussels, Velesunio angasi, in the Magela Creek catchment, Northern Territory, Australia. J. Environ. Radioact. 102, 964–974.</w:t>
      </w:r>
    </w:p>
    <w:p w:rsidR="00856EAE" w:rsidRDefault="00856EAE" w:rsidP="00856EAE">
      <w:pPr>
        <w:pStyle w:val="Bibliography"/>
      </w:pPr>
      <w:r w:rsidRPr="002529C0">
        <w:t xml:space="preserve">BoM, 2015. Australian Bureau of Meteorology. Accessed January 2015. </w:t>
      </w:r>
      <w:hyperlink r:id="rId42" w:history="1">
        <w:r w:rsidRPr="002674F9">
          <w:rPr>
            <w:rStyle w:val="Hyperlink"/>
          </w:rPr>
          <w:t>http://www.bom.gov.au/climate/averages/tables/cw_014198.shtml</w:t>
        </w:r>
      </w:hyperlink>
    </w:p>
    <w:p w:rsidR="00856EAE" w:rsidRDefault="00856EAE" w:rsidP="00856EAE">
      <w:pPr>
        <w:pStyle w:val="Bibliography"/>
      </w:pPr>
      <w:r>
        <w:t>Brenner M, Smoak JM, Leeper DA, Streubert M, Baker SM, 2007. Radium-226 accumulation in Florida freshwater mussels. Limnol. Oceanog. 52, 1614–1623.</w:t>
      </w:r>
    </w:p>
    <w:p w:rsidR="00856EAE" w:rsidRDefault="00856EAE" w:rsidP="00856EAE">
      <w:pPr>
        <w:pStyle w:val="Bibliography"/>
      </w:pPr>
      <w:r>
        <w:t>Brown JE, Alfonso B, Avila R, Beresford NA, Copplestone D, Pröhl G, Ulanovsky A, 2008. The ERICA Tool. Journal of Environmental Radioactivity 99, 1371–1383.</w:t>
      </w:r>
    </w:p>
    <w:p w:rsidR="00856EAE" w:rsidRDefault="00856EAE" w:rsidP="00856EAE">
      <w:pPr>
        <w:pStyle w:val="Bibliography"/>
      </w:pPr>
      <w:r>
        <w:t>Copplestone D, Bielby S, Jones SR, Patton D, Daniel P &amp; Gize I 2001.  Impact assessment of ionising radiation on wildlife. R&amp;D Publication 128. Environment Agency, Bristol, UK.</w:t>
      </w:r>
    </w:p>
    <w:p w:rsidR="00856EAE" w:rsidRPr="009B465A" w:rsidRDefault="00856EAE" w:rsidP="00856EAE">
      <w:pPr>
        <w:pStyle w:val="Bibliography"/>
      </w:pPr>
      <w:r w:rsidRPr="009B465A">
        <w:t xml:space="preserve">Curie </w:t>
      </w:r>
      <w:r>
        <w:t xml:space="preserve">M, Curie P, Bemont G </w:t>
      </w:r>
      <w:r w:rsidRPr="009B465A">
        <w:t>1898</w:t>
      </w:r>
      <w:r>
        <w:t>. Another new radio-active element, C.R. 127, 1215-1217.</w:t>
      </w:r>
    </w:p>
    <w:p w:rsidR="00856EAE" w:rsidRDefault="002860DE" w:rsidP="00856EAE">
      <w:pPr>
        <w:pStyle w:val="Bibliography"/>
      </w:pPr>
      <w:r w:rsidRPr="00B65876">
        <w:t>Doering C 2010. Environmental protection: Development of an Australian approach for assessing effects of ionising radiation on non-human species, ARPANSA Technical Report No. 154.</w:t>
      </w:r>
    </w:p>
    <w:p w:rsidR="00856EAE" w:rsidRDefault="00856EAE" w:rsidP="00856EAE">
      <w:pPr>
        <w:pStyle w:val="referencelist1"/>
      </w:pPr>
      <w:r>
        <w:t>Doering C 2013. The BRUCE tool. Internal Report 619, Supervising Scientist Division, Canberra. Unpublished paper.</w:t>
      </w:r>
    </w:p>
    <w:p w:rsidR="00033855" w:rsidRDefault="00033855" w:rsidP="00033855">
      <w:pPr>
        <w:ind w:left="357" w:hanging="357"/>
        <w:rPr>
          <w:szCs w:val="24"/>
        </w:rPr>
      </w:pPr>
      <w:r w:rsidRPr="00DB3369">
        <w:rPr>
          <w:szCs w:val="24"/>
        </w:rPr>
        <w:t xml:space="preserve">Doering C, </w:t>
      </w:r>
      <w:proofErr w:type="spellStart"/>
      <w:r w:rsidRPr="00DB3369">
        <w:rPr>
          <w:szCs w:val="24"/>
        </w:rPr>
        <w:t>Bollh</w:t>
      </w:r>
      <w:r>
        <w:rPr>
          <w:szCs w:val="24"/>
        </w:rPr>
        <w:t>ö</w:t>
      </w:r>
      <w:r w:rsidRPr="00DB3369">
        <w:rPr>
          <w:szCs w:val="24"/>
        </w:rPr>
        <w:t>fer</w:t>
      </w:r>
      <w:proofErr w:type="spellEnd"/>
      <w:r w:rsidRPr="00DB3369">
        <w:rPr>
          <w:szCs w:val="24"/>
        </w:rPr>
        <w:t xml:space="preserve"> A,</w:t>
      </w:r>
      <w:r>
        <w:rPr>
          <w:szCs w:val="24"/>
        </w:rPr>
        <w:t xml:space="preserve"> 2015.</w:t>
      </w:r>
      <w:r w:rsidRPr="00DB3369">
        <w:rPr>
          <w:szCs w:val="24"/>
        </w:rPr>
        <w:t xml:space="preserve"> A soil radiological quality guideline value for wildlife-based</w:t>
      </w:r>
      <w:r>
        <w:rPr>
          <w:szCs w:val="24"/>
        </w:rPr>
        <w:t xml:space="preserve"> </w:t>
      </w:r>
      <w:r w:rsidRPr="00DB3369">
        <w:rPr>
          <w:szCs w:val="24"/>
        </w:rPr>
        <w:t>protection in uranium</w:t>
      </w:r>
      <w:r>
        <w:rPr>
          <w:szCs w:val="24"/>
        </w:rPr>
        <w:t xml:space="preserve"> </w:t>
      </w:r>
      <w:r w:rsidRPr="00DB3369">
        <w:rPr>
          <w:szCs w:val="24"/>
        </w:rPr>
        <w:t>mine rehabilitation, Journal of Environmental Radioactivity, http://dx.doi.org/10.1016/j.jenvrad.2015.08.020</w:t>
      </w:r>
    </w:p>
    <w:p w:rsidR="00196FEF" w:rsidRDefault="00196FEF" w:rsidP="00196FEF">
      <w:pPr>
        <w:pStyle w:val="Bibliography"/>
      </w:pPr>
      <w:r>
        <w:t>Ellis WR, Jeffree RA, 1982. Determination of the distribution of alpha emitters in the tissue of the freshwater mussel Velesunio angasi using the alpha track etch method. In: Fowler, P.H., Clapham, V.M. (Eds.), Proceedings of the 11th International Conference on Solid State Nuclear Track Detectors, Bristol, September 1981. Pergamon Press, Oxford, pp. 683e689.</w:t>
      </w:r>
    </w:p>
    <w:p w:rsidR="00856EAE" w:rsidRDefault="00856EAE" w:rsidP="00856EAE">
      <w:pPr>
        <w:pStyle w:val="Bibliography"/>
      </w:pPr>
      <w:r>
        <w:t>ERA 2014. Energy Resources of Australia Ltd. Radiation Protection Program (Revision 1.14.1). Ranger Operations Radiation Management Plan. January 2014.</w:t>
      </w:r>
    </w:p>
    <w:p w:rsidR="00683AC0" w:rsidRDefault="00683AC0" w:rsidP="00856EAE">
      <w:pPr>
        <w:pStyle w:val="referencelist1"/>
      </w:pPr>
      <w:r>
        <w:t xml:space="preserve">Fisher NS, Teyssie JL, Krishnaswami S, Baskaran M 1987. Accumulation of Th, Pb, U and Ra in marine phytoplankton and its geochemical significance. </w:t>
      </w:r>
      <w:proofErr w:type="spellStart"/>
      <w:r w:rsidRPr="00683AC0">
        <w:t>Limnol</w:t>
      </w:r>
      <w:proofErr w:type="spellEnd"/>
      <w:r w:rsidRPr="00683AC0">
        <w:t xml:space="preserve">. </w:t>
      </w:r>
      <w:proofErr w:type="spellStart"/>
      <w:r w:rsidRPr="00683AC0">
        <w:t>Oceanogr</w:t>
      </w:r>
      <w:proofErr w:type="spellEnd"/>
      <w:r w:rsidRPr="00683AC0">
        <w:t>., 32(l), 131-142</w:t>
      </w:r>
      <w:r>
        <w:t>.</w:t>
      </w:r>
    </w:p>
    <w:p w:rsidR="00856EAE" w:rsidRDefault="00856EAE" w:rsidP="00856EAE">
      <w:pPr>
        <w:pStyle w:val="referencelist1"/>
      </w:pPr>
      <w:r w:rsidRPr="00896B12">
        <w:t>Garde M 2015</w:t>
      </w:r>
      <w:r>
        <w:t>.</w:t>
      </w:r>
      <w:r w:rsidRPr="00896B12">
        <w:t xml:space="preserve"> Closure Criteria Development - Cultural. ERA Ranger Integrated Tailings Water &amp; Closure, April 2015, p 160.</w:t>
      </w:r>
    </w:p>
    <w:p w:rsidR="00E143F6" w:rsidRDefault="00E143F6" w:rsidP="00E143F6">
      <w:pPr>
        <w:spacing w:line="240" w:lineRule="atLeast"/>
        <w:ind w:left="720" w:hanging="720"/>
      </w:pPr>
      <w:bookmarkStart w:id="75" w:name="_ENREF_1"/>
      <w:r>
        <w:t>Harford A, Trenfield M, Cheng K &amp; Van Dam</w:t>
      </w:r>
      <w:proofErr w:type="gramStart"/>
      <w:r>
        <w:t>  R</w:t>
      </w:r>
      <w:proofErr w:type="gramEnd"/>
      <w:r>
        <w:t xml:space="preserve"> 2014. </w:t>
      </w:r>
      <w:proofErr w:type="spellStart"/>
      <w:proofErr w:type="gramStart"/>
      <w:r>
        <w:t>Ecotoxicological</w:t>
      </w:r>
      <w:proofErr w:type="spellEnd"/>
      <w:r>
        <w:t xml:space="preserve"> assessment of manganese.</w:t>
      </w:r>
      <w:proofErr w:type="gramEnd"/>
      <w:r>
        <w:t xml:space="preserve"> Internal report</w:t>
      </w:r>
      <w:r w:rsidR="000B5DA6">
        <w:t xml:space="preserve"> </w:t>
      </w:r>
      <w:r w:rsidR="00584BC8">
        <w:t>630</w:t>
      </w:r>
      <w:r>
        <w:t>, Supervising Scientist, Darwin NT. Unpublished paper</w:t>
      </w:r>
      <w:bookmarkEnd w:id="75"/>
    </w:p>
    <w:p w:rsidR="00856EAE" w:rsidRDefault="00856EAE" w:rsidP="00856EAE">
      <w:pPr>
        <w:pStyle w:val="referencelist1"/>
        <w:rPr>
          <w:lang w:val="en-US"/>
        </w:rPr>
      </w:pPr>
      <w:r>
        <w:t xml:space="preserve">Hogan AC, van Dam RA, </w:t>
      </w:r>
      <w:proofErr w:type="spellStart"/>
      <w:r>
        <w:t>Markich</w:t>
      </w:r>
      <w:proofErr w:type="spellEnd"/>
      <w:r>
        <w:t xml:space="preserve"> SJ &amp; </w:t>
      </w:r>
      <w:proofErr w:type="spellStart"/>
      <w:r>
        <w:t>Camilleri</w:t>
      </w:r>
      <w:proofErr w:type="spellEnd"/>
      <w:r>
        <w:t xml:space="preserve"> C 2003. Chronic toxicity of uranium to the tropical green alga Chlorella sp. for the derivation of a site specific Trigger Value for Magela Creek. Internal Report 412, December, Supervising Scientist, Darwin. Unpublished paper.</w:t>
      </w:r>
    </w:p>
    <w:p w:rsidR="00DC080F" w:rsidRDefault="00DC080F" w:rsidP="00DC080F">
      <w:pPr>
        <w:pStyle w:val="referencelist1"/>
      </w:pPr>
      <w:proofErr w:type="gramStart"/>
      <w:r>
        <w:t>Humphrey CL &amp; Simpson RD 1985.</w:t>
      </w:r>
      <w:proofErr w:type="gramEnd"/>
      <w:r>
        <w:t xml:space="preserve"> The biology and ecology of </w:t>
      </w:r>
      <w:proofErr w:type="spellStart"/>
      <w:r>
        <w:rPr>
          <w:i/>
        </w:rPr>
        <w:t>Velesunio</w:t>
      </w:r>
      <w:proofErr w:type="spellEnd"/>
      <w:r>
        <w:rPr>
          <w:i/>
        </w:rPr>
        <w:t xml:space="preserve"> </w:t>
      </w:r>
      <w:proofErr w:type="spellStart"/>
      <w:r>
        <w:rPr>
          <w:i/>
        </w:rPr>
        <w:t>angasi</w:t>
      </w:r>
      <w:proofErr w:type="spellEnd"/>
      <w:r>
        <w:t xml:space="preserve"> (</w:t>
      </w:r>
      <w:proofErr w:type="spellStart"/>
      <w:r>
        <w:t>Bivalvia</w:t>
      </w:r>
      <w:proofErr w:type="spellEnd"/>
      <w:r>
        <w:t xml:space="preserve">: </w:t>
      </w:r>
      <w:proofErr w:type="spellStart"/>
      <w:r>
        <w:t>Hydiidae</w:t>
      </w:r>
      <w:proofErr w:type="spellEnd"/>
      <w:r>
        <w:t>) in the Magela Creek, Northern Territory (4 parts). Open file record 38, Supervising Scientist for the Alligator Rivers Region, Canberra. Unpublished paper.</w:t>
      </w:r>
    </w:p>
    <w:p w:rsidR="00856EAE" w:rsidRPr="009B465A" w:rsidRDefault="00856EAE" w:rsidP="00856EAE">
      <w:pPr>
        <w:pStyle w:val="Bibliography"/>
      </w:pPr>
      <w:r w:rsidRPr="009B465A">
        <w:t>IAEA 1990</w:t>
      </w:r>
      <w:r>
        <w:t>. The Environmental Behaviour of Radium. International Atomic Energy Agency Technical Report Series No 30. IAEA, Vienna.</w:t>
      </w:r>
    </w:p>
    <w:p w:rsidR="00856EAE" w:rsidRPr="009B465A" w:rsidRDefault="00856EAE" w:rsidP="00856EAE">
      <w:pPr>
        <w:pStyle w:val="Bibliography"/>
      </w:pPr>
      <w:r w:rsidRPr="009B465A">
        <w:t>IAEA 2014</w:t>
      </w:r>
      <w:r>
        <w:t>. Radiation Protection and Safety of Radiation Sources: International Basic Safety Standards. General Safety Requirements. International Atomic Energy Agency Safety Standards Series GSR Part 3. IAEA, Vienna.</w:t>
      </w:r>
    </w:p>
    <w:p w:rsidR="00856EAE" w:rsidRDefault="00856EAE" w:rsidP="00856EAE">
      <w:pPr>
        <w:pStyle w:val="Bibliography"/>
      </w:pPr>
      <w:r>
        <w:t>ICRP 1996. Age-dependent Doses to Members of the Public from the Intake of Radionuclides: Part 5. Compilation of Ingestion and Inhalation Dose Coefficients. In: ICRP Publication 72.</w:t>
      </w:r>
    </w:p>
    <w:p w:rsidR="00856EAE" w:rsidRDefault="00856EAE" w:rsidP="00856EAE">
      <w:pPr>
        <w:pStyle w:val="Bibliography"/>
      </w:pPr>
      <w:r w:rsidRPr="007128B9">
        <w:t>ICRP 2007. The 2007 recommendations of the International Commission on</w:t>
      </w:r>
      <w:r>
        <w:t xml:space="preserve"> </w:t>
      </w:r>
      <w:r w:rsidRPr="007128B9">
        <w:t>Radiological Protection. ICRP Publication 103, Annals of the ICRP 37(2–4).</w:t>
      </w:r>
    </w:p>
    <w:p w:rsidR="00856EAE" w:rsidRDefault="00856EAE" w:rsidP="00856EAE">
      <w:pPr>
        <w:pStyle w:val="Bibliography"/>
      </w:pPr>
      <w:r>
        <w:t xml:space="preserve">ICRP 2008. Environmental protection: the concept and use of reference animals and plants. ICRP Publication 108, </w:t>
      </w:r>
      <w:r w:rsidRPr="00C16A51">
        <w:t>Annals of the ICRP 38(4–6).</w:t>
      </w:r>
    </w:p>
    <w:p w:rsidR="00856EAE" w:rsidRDefault="00856EAE" w:rsidP="00856EAE">
      <w:pPr>
        <w:pStyle w:val="referencelist1"/>
        <w:rPr>
          <w:lang w:val="en-US"/>
        </w:rPr>
      </w:pPr>
      <w:r>
        <w:rPr>
          <w:lang w:val="en-US"/>
        </w:rPr>
        <w:t>Iles M 2004. Water quality objectives for Magela Creek – revised November 2004. Internal Report 489, December, Supervising Scientist, Darwin. Unpublished paper.</w:t>
      </w:r>
    </w:p>
    <w:p w:rsidR="0081644C" w:rsidRDefault="00756A05" w:rsidP="00856EAE">
      <w:pPr>
        <w:pStyle w:val="Bibliography"/>
      </w:pPr>
      <w:r>
        <w:t>Ivanovic</w:t>
      </w:r>
      <w:r w:rsidR="0081644C">
        <w:t>h</w:t>
      </w:r>
      <w:r>
        <w:t xml:space="preserve"> </w:t>
      </w:r>
      <w:r w:rsidR="0081644C">
        <w:t>M, Harmon RS 198</w:t>
      </w:r>
      <w:r>
        <w:t>2</w:t>
      </w:r>
      <w:r w:rsidR="0081644C">
        <w:t xml:space="preserve">. </w:t>
      </w:r>
      <w:r w:rsidR="0081644C" w:rsidRPr="0081644C">
        <w:t>Uranium series disequilibrium: applications to environmental problems</w:t>
      </w:r>
      <w:r>
        <w:t xml:space="preserve">. </w:t>
      </w:r>
      <w:r w:rsidRPr="00756A05">
        <w:t>Clarendon Press</w:t>
      </w:r>
      <w:r>
        <w:t>, Oxford.</w:t>
      </w:r>
    </w:p>
    <w:p w:rsidR="00856EAE" w:rsidRDefault="00856EAE" w:rsidP="00856EAE">
      <w:pPr>
        <w:pStyle w:val="Bibliography"/>
      </w:pPr>
      <w:r>
        <w:t xml:space="preserve">Johnston A, Humphrey C, Martin P 2005. Protection of the environment from the effects of ionizing radiation associated with uranium mining. In: Protection of the Environment from the Effects of Ionizing Radiation. Proceedings of an International Conference Stockholm, 6–10 October 2003. International Atomic Energy Agency, Vienna. </w:t>
      </w:r>
    </w:p>
    <w:p w:rsidR="00856EAE" w:rsidRDefault="00856EAE" w:rsidP="00856EAE">
      <w:pPr>
        <w:pStyle w:val="Bibliography"/>
      </w:pPr>
      <w:r>
        <w:t>Johnston A, 1987. Radiation Exposure of Members of the Public Resulting from Operation of the Ranger Uranium Mine. Technical Memorandum 20. Supervising Scientist for the Alligator Rivers Region, AGPS, Canberra.</w:t>
      </w:r>
    </w:p>
    <w:p w:rsidR="00856EAE" w:rsidRDefault="00856EAE" w:rsidP="00856EAE">
      <w:pPr>
        <w:pStyle w:val="Bibliography"/>
      </w:pPr>
      <w:r>
        <w:t>Johnston A, Murray A, Marten R, Martin P, Pettersson H, 1984. Uranium series radionuclide concentrations in significant Aboriginal foods. In: Alligator Rivers Region Research Institute, Research Report for 1983-84. Supervising Scientist for the Alligator Rivers Region. Australian Government Publishing Service, Canberra.</w:t>
      </w:r>
    </w:p>
    <w:p w:rsidR="00856EAE" w:rsidRDefault="00856EAE" w:rsidP="00856EAE">
      <w:pPr>
        <w:pStyle w:val="Bibliography"/>
      </w:pPr>
      <w:r>
        <w:t>Johnston A, Murray AS, Marten R, Martin P, Petterson H, 1987. Bioaccumulation of Radionuclides and Stable Metals in the Freshwater Mussel, Velesunio angasi.  Alligator Rivers Region Research Institute Annual Research Summary 1986-87. Supervising Scientist for the Alligator Rivers Region, AGPS, Canberra, pp. 69-74.</w:t>
      </w:r>
    </w:p>
    <w:p w:rsidR="00856EAE" w:rsidRDefault="00856EAE" w:rsidP="00856EAE">
      <w:pPr>
        <w:pStyle w:val="referencelist1"/>
      </w:pPr>
      <w:proofErr w:type="gramStart"/>
      <w:r w:rsidRPr="00973C74">
        <w:t>Kendall GM, Smith TJ, 2002.</w:t>
      </w:r>
      <w:proofErr w:type="gramEnd"/>
      <w:r w:rsidRPr="00973C74">
        <w:t xml:space="preserve"> Doses to organs and tissues from radon and its decay products. J </w:t>
      </w:r>
      <w:proofErr w:type="spellStart"/>
      <w:r w:rsidRPr="00973C74">
        <w:t>Radiol</w:t>
      </w:r>
      <w:proofErr w:type="spellEnd"/>
      <w:r w:rsidRPr="00973C74">
        <w:t xml:space="preserve"> Prot. 22(4), 389–406.</w:t>
      </w:r>
    </w:p>
    <w:p w:rsidR="00856EAE" w:rsidRDefault="00856EAE" w:rsidP="00856EAE">
      <w:pPr>
        <w:pStyle w:val="referencelist1"/>
      </w:pPr>
      <w:r>
        <w:t xml:space="preserve">Klessa D 2001a. Water quality in Magela Creek upstream and downstream of Ranger: A summary of findings for the 1999–2000 Wet season. Internal Report 360, Supervising Scientist, Darwin. Unpublished paper. </w:t>
      </w:r>
    </w:p>
    <w:p w:rsidR="00856EAE" w:rsidRDefault="00856EAE" w:rsidP="00856EAE">
      <w:pPr>
        <w:pStyle w:val="referencelist1"/>
        <w:rPr>
          <w:snapToGrid w:val="0"/>
        </w:rPr>
      </w:pPr>
      <w:r>
        <w:t xml:space="preserve">Klessa D 2001b. Water quality in Magela Creek upstream and downstream of Ranger: A summary of performance for 2000–2001 and derived triggers and limits for 2001–2002. </w:t>
      </w:r>
      <w:r>
        <w:rPr>
          <w:snapToGrid w:val="0"/>
        </w:rPr>
        <w:t xml:space="preserve">Internal Report 380, Supervising Scientist, Darwin. Unpublished paper. </w:t>
      </w:r>
    </w:p>
    <w:p w:rsidR="00856EAE" w:rsidRDefault="00856EAE" w:rsidP="00856EAE">
      <w:pPr>
        <w:pStyle w:val="Bibliography"/>
      </w:pPr>
      <w:r>
        <w:t xml:space="preserve">Kum DK, Jun I, Choi YH, Lim KM, 2010 K-BIOTA V 1.0 User's Manual. Korea Atomic Energy Research Institute (KAERI ) Technical Report 4230. </w:t>
      </w:r>
    </w:p>
    <w:p w:rsidR="00030CF3" w:rsidRDefault="00030CF3" w:rsidP="00856EAE">
      <w:pPr>
        <w:pStyle w:val="Bibliography"/>
      </w:pPr>
      <w:r>
        <w:t xml:space="preserve">Martin P 2000. </w:t>
      </w:r>
      <w:r w:rsidRPr="00DC33C0">
        <w:t>Radiological impact assessment of uranium mining and milling. PhD thesis. Queensland University of Technology, Brisbane.</w:t>
      </w:r>
    </w:p>
    <w:p w:rsidR="00856EAE" w:rsidRDefault="00856EAE" w:rsidP="00856EAE">
      <w:pPr>
        <w:pStyle w:val="Bibliography"/>
      </w:pPr>
      <w:r>
        <w:t>Martin P, Hancock GJ, Johnston A, Murray AS, 1998. Natural-series radionuclides in traditional north Australian Aboriginal foods. J. Environ. Radioact. 40, 37-58.</w:t>
      </w:r>
    </w:p>
    <w:p w:rsidR="0081644C" w:rsidRPr="003E5BD0" w:rsidRDefault="0081644C" w:rsidP="0081644C">
      <w:pPr>
        <w:pStyle w:val="referencelist1"/>
        <w:rPr>
          <w:szCs w:val="24"/>
        </w:rPr>
      </w:pPr>
      <w:proofErr w:type="gramStart"/>
      <w:r w:rsidRPr="003E5BD0">
        <w:rPr>
          <w:szCs w:val="24"/>
        </w:rPr>
        <w:t xml:space="preserve">Medley P, </w:t>
      </w:r>
      <w:proofErr w:type="spellStart"/>
      <w:r w:rsidRPr="003E5BD0">
        <w:rPr>
          <w:szCs w:val="24"/>
        </w:rPr>
        <w:t>Bollhöfer</w:t>
      </w:r>
      <w:proofErr w:type="spellEnd"/>
      <w:r w:rsidRPr="003E5BD0">
        <w:rPr>
          <w:szCs w:val="24"/>
        </w:rPr>
        <w:t xml:space="preserve"> A, Parry D &amp; Martin P 2013.</w:t>
      </w:r>
      <w:proofErr w:type="gramEnd"/>
      <w:r w:rsidRPr="003E5BD0">
        <w:rPr>
          <w:szCs w:val="24"/>
        </w:rPr>
        <w:t xml:space="preserve"> Radium concentration factors in passionfruit (</w:t>
      </w:r>
      <w:proofErr w:type="spellStart"/>
      <w:r w:rsidRPr="003E5BD0">
        <w:rPr>
          <w:szCs w:val="24"/>
        </w:rPr>
        <w:t>Passiflora</w:t>
      </w:r>
      <w:proofErr w:type="spellEnd"/>
      <w:r w:rsidRPr="003E5BD0">
        <w:rPr>
          <w:szCs w:val="24"/>
        </w:rPr>
        <w:t xml:space="preserve"> </w:t>
      </w:r>
      <w:proofErr w:type="spellStart"/>
      <w:r w:rsidRPr="003E5BD0">
        <w:rPr>
          <w:szCs w:val="24"/>
        </w:rPr>
        <w:t>foetida</w:t>
      </w:r>
      <w:proofErr w:type="spellEnd"/>
      <w:r w:rsidRPr="003E5BD0">
        <w:rPr>
          <w:szCs w:val="24"/>
        </w:rPr>
        <w:t xml:space="preserve">) from the Alligator Rivers Region, Northern Territory, </w:t>
      </w:r>
      <w:proofErr w:type="gramStart"/>
      <w:r w:rsidRPr="003E5BD0">
        <w:rPr>
          <w:szCs w:val="24"/>
        </w:rPr>
        <w:t>Australia</w:t>
      </w:r>
      <w:proofErr w:type="gramEnd"/>
      <w:r w:rsidRPr="003E5BD0">
        <w:rPr>
          <w:szCs w:val="24"/>
        </w:rPr>
        <w:t xml:space="preserve">. </w:t>
      </w:r>
      <w:r w:rsidRPr="003E5BD0">
        <w:rPr>
          <w:i/>
          <w:szCs w:val="24"/>
        </w:rPr>
        <w:t>Journal of Environmental Radioactivity</w:t>
      </w:r>
      <w:r w:rsidRPr="003E5BD0">
        <w:rPr>
          <w:szCs w:val="24"/>
        </w:rPr>
        <w:t xml:space="preserve"> 126, 137-146.</w:t>
      </w:r>
    </w:p>
    <w:p w:rsidR="0081644C" w:rsidRDefault="0081644C" w:rsidP="0081644C">
      <w:pPr>
        <w:pStyle w:val="referencelist1"/>
        <w:rPr>
          <w:szCs w:val="24"/>
        </w:rPr>
      </w:pPr>
      <w:proofErr w:type="gramStart"/>
      <w:r>
        <w:rPr>
          <w:szCs w:val="24"/>
        </w:rPr>
        <w:t xml:space="preserve">Medley P, </w:t>
      </w:r>
      <w:proofErr w:type="spellStart"/>
      <w:r w:rsidRPr="003E5BD0">
        <w:rPr>
          <w:szCs w:val="24"/>
        </w:rPr>
        <w:t>Bollhöfer</w:t>
      </w:r>
      <w:proofErr w:type="spellEnd"/>
      <w:r w:rsidRPr="003E5BD0">
        <w:rPr>
          <w:szCs w:val="24"/>
        </w:rPr>
        <w:t xml:space="preserve"> A</w:t>
      </w:r>
      <w:r>
        <w:rPr>
          <w:szCs w:val="24"/>
        </w:rPr>
        <w:t xml:space="preserve"> 2015.</w:t>
      </w:r>
      <w:proofErr w:type="gramEnd"/>
      <w:r>
        <w:rPr>
          <w:szCs w:val="24"/>
        </w:rPr>
        <w:t xml:space="preserve"> </w:t>
      </w:r>
      <w:r w:rsidRPr="00404C68">
        <w:rPr>
          <w:szCs w:val="24"/>
        </w:rPr>
        <w:t>Influence of group II metals on Radium-226 concentration ratios in the native Green Plum (</w:t>
      </w:r>
      <w:proofErr w:type="spellStart"/>
      <w:r w:rsidRPr="00404C68">
        <w:rPr>
          <w:szCs w:val="24"/>
        </w:rPr>
        <w:t>Buchanania</w:t>
      </w:r>
      <w:proofErr w:type="spellEnd"/>
      <w:r w:rsidRPr="00404C68">
        <w:rPr>
          <w:szCs w:val="24"/>
        </w:rPr>
        <w:t xml:space="preserve"> </w:t>
      </w:r>
      <w:proofErr w:type="spellStart"/>
      <w:r w:rsidRPr="00404C68">
        <w:rPr>
          <w:szCs w:val="24"/>
        </w:rPr>
        <w:t>obovata</w:t>
      </w:r>
      <w:proofErr w:type="spellEnd"/>
      <w:r w:rsidRPr="00404C68">
        <w:rPr>
          <w:szCs w:val="24"/>
        </w:rPr>
        <w:t xml:space="preserve">) from the Alligator Rivers Region, Northern Territory, </w:t>
      </w:r>
      <w:proofErr w:type="gramStart"/>
      <w:r w:rsidRPr="00404C68">
        <w:rPr>
          <w:szCs w:val="24"/>
        </w:rPr>
        <w:t>Australia</w:t>
      </w:r>
      <w:proofErr w:type="gramEnd"/>
      <w:r>
        <w:rPr>
          <w:szCs w:val="24"/>
        </w:rPr>
        <w:t xml:space="preserve">. </w:t>
      </w:r>
      <w:proofErr w:type="gramStart"/>
      <w:r w:rsidRPr="002F728A">
        <w:rPr>
          <w:i/>
        </w:rPr>
        <w:t>Journal of Environmental Radioactivity</w:t>
      </w:r>
      <w:r>
        <w:rPr>
          <w:i/>
        </w:rPr>
        <w:t xml:space="preserve"> </w:t>
      </w:r>
      <w:r w:rsidRPr="00404C68">
        <w:t>(in press).</w:t>
      </w:r>
      <w:proofErr w:type="gramEnd"/>
      <w:r>
        <w:t xml:space="preserve"> </w:t>
      </w:r>
      <w:r w:rsidR="00033855" w:rsidRPr="00DB3369">
        <w:rPr>
          <w:szCs w:val="24"/>
        </w:rPr>
        <w:t>http://dx.</w:t>
      </w:r>
      <w:r w:rsidRPr="0081644C">
        <w:t>doi</w:t>
      </w:r>
      <w:r w:rsidR="00033855">
        <w:t>.org/</w:t>
      </w:r>
      <w:r w:rsidRPr="0081644C">
        <w:t>10.1016/j.jenvrad.2015.07.013</w:t>
      </w:r>
    </w:p>
    <w:p w:rsidR="00856EAE" w:rsidRPr="009B465A" w:rsidRDefault="00856EAE" w:rsidP="00856EAE">
      <w:pPr>
        <w:pStyle w:val="Bibliography"/>
      </w:pPr>
      <w:r w:rsidRPr="009B465A">
        <w:t xml:space="preserve">National Research Council (US) Committee on the Biological Effects of Ionizing Radiations. Health Risks of Radon and Other Internally Deposited Alpha-Emitters: Beir IV. Washington (DC): National Academies Press (US); 1988. 4, Radium. Available from: </w:t>
      </w:r>
      <w:hyperlink r:id="rId43" w:history="1">
        <w:r w:rsidRPr="009B465A">
          <w:rPr>
            <w:rStyle w:val="Hyperlink"/>
            <w:color w:val="auto"/>
            <w:u w:val="none"/>
          </w:rPr>
          <w:t>http://www.ncbi.nlm.nih.gov/books/NBK218126/</w:t>
        </w:r>
      </w:hyperlink>
    </w:p>
    <w:p w:rsidR="00E24C30" w:rsidRDefault="00E24C30" w:rsidP="00856EAE">
      <w:pPr>
        <w:pStyle w:val="Bibliography"/>
      </w:pPr>
      <w:r>
        <w:t xml:space="preserve">Riisgård HU, Egede PP, Saavedra IB, 2011. </w:t>
      </w:r>
      <w:r w:rsidRPr="00E24C30">
        <w:t>Feeding Behaviour of the Mussel, Mytilus edulis: New Observations, with a Minireview of Current Knowledge</w:t>
      </w:r>
      <w:r>
        <w:t xml:space="preserve">. </w:t>
      </w:r>
      <w:r w:rsidRPr="00E24C30">
        <w:t>Journal of Marine Biology, Article ID 312459, 13 pages</w:t>
      </w:r>
      <w:r>
        <w:t xml:space="preserve">. </w:t>
      </w:r>
    </w:p>
    <w:p w:rsidR="004E7A5E" w:rsidRPr="00857F28" w:rsidRDefault="004E7A5E" w:rsidP="004E7A5E">
      <w:pPr>
        <w:pStyle w:val="referencelist1"/>
      </w:pPr>
      <w:r>
        <w:t xml:space="preserve">Ryan B, Martin P, Humphrey C, </w:t>
      </w:r>
      <w:proofErr w:type="spellStart"/>
      <w:r>
        <w:t>Pidgeon</w:t>
      </w:r>
      <w:proofErr w:type="spellEnd"/>
      <w:r>
        <w:t xml:space="preserve"> R, </w:t>
      </w:r>
      <w:proofErr w:type="spellStart"/>
      <w:r>
        <w:t>Bollh</w:t>
      </w:r>
      <w:r>
        <w:rPr>
          <w:rFonts w:cs="Arial"/>
        </w:rPr>
        <w:t>ö</w:t>
      </w:r>
      <w:r>
        <w:t>fer</w:t>
      </w:r>
      <w:proofErr w:type="spellEnd"/>
      <w:r>
        <w:t xml:space="preserve"> A, Fox T &amp; Medley P 2005. </w:t>
      </w:r>
      <w:proofErr w:type="spellStart"/>
      <w:proofErr w:type="gramStart"/>
      <w:r>
        <w:t>Radionuclides</w:t>
      </w:r>
      <w:proofErr w:type="spellEnd"/>
      <w:r>
        <w:t xml:space="preserve"> and metals in fish and freshwater mussels from </w:t>
      </w:r>
      <w:proofErr w:type="spellStart"/>
      <w:r>
        <w:t>Mudginberri</w:t>
      </w:r>
      <w:proofErr w:type="spellEnd"/>
      <w:r>
        <w:t xml:space="preserve"> and Sandy Billabongs, Alligator Rivers Region, 2000–2003.</w:t>
      </w:r>
      <w:proofErr w:type="gramEnd"/>
      <w:r w:rsidRPr="00B75FFE">
        <w:rPr>
          <w:lang w:val="en-US"/>
        </w:rPr>
        <w:t xml:space="preserve"> </w:t>
      </w:r>
      <w:r>
        <w:rPr>
          <w:lang w:val="en-US"/>
        </w:rPr>
        <w:t xml:space="preserve">Internal Report 498, November, </w:t>
      </w:r>
      <w:r>
        <w:t xml:space="preserve">Supervising Scientist, Darwin. </w:t>
      </w:r>
      <w:proofErr w:type="gramStart"/>
      <w:r>
        <w:t>Unpublished paper.</w:t>
      </w:r>
      <w:proofErr w:type="gramEnd"/>
    </w:p>
    <w:p w:rsidR="00856EAE" w:rsidRPr="0059586A" w:rsidRDefault="002860DE" w:rsidP="00856EAE">
      <w:pPr>
        <w:pStyle w:val="Bibliography"/>
      </w:pPr>
      <w:r w:rsidRPr="0059586A">
        <w:t>Ryan B, Medley P, Bollhöfer A, 2008. Bioaccumulation of radionuclides in terrestrial plants on rehabilitated landforms. In: eriss research summary 2006</w:t>
      </w:r>
      <w:r w:rsidRPr="0059586A">
        <w:rPr>
          <w:snapToGrid w:val="0"/>
          <w:lang w:val="en-US"/>
        </w:rPr>
        <w:t>–</w:t>
      </w:r>
      <w:r w:rsidRPr="0059586A">
        <w:t>2007, eds Jones, D.R., Humphrey, C., van Dam, R., Webb, A., Supervising Scientist Report 196, Supervising Scientist, Darwin NT, 99–103.</w:t>
      </w:r>
    </w:p>
    <w:p w:rsidR="00856EAE" w:rsidRDefault="00856EAE" w:rsidP="00856EAE">
      <w:pPr>
        <w:pStyle w:val="Bibliography"/>
      </w:pPr>
      <w:r w:rsidRPr="00973C74">
        <w:t>Saito K, Jacob P, 1995. Gamma ray fields in the air due to sources in the ground. Radiation Protection Dosimetry 58 (1), 29–45.</w:t>
      </w:r>
    </w:p>
    <w:p w:rsidR="00856EAE" w:rsidRDefault="00856EAE" w:rsidP="00856EAE">
      <w:pPr>
        <w:pStyle w:val="Bibliography"/>
      </w:pPr>
      <w:r>
        <w:t>Sauerland C, Martin P, Humphrey C, 2005. Radium 226 in Magela creek, northern Australia: application of protection limits from radiation for humans and biota. Radioprotection 40 (Suppl. 1), S451eS456.</w:t>
      </w:r>
    </w:p>
    <w:p w:rsidR="00E143F6" w:rsidRDefault="00E143F6" w:rsidP="00E143F6">
      <w:pPr>
        <w:pStyle w:val="referencelist1"/>
      </w:pPr>
      <w:r>
        <w:t xml:space="preserve">Sinclair A, Tayler K, van Dam R &amp; Hogan </w:t>
      </w:r>
      <w:proofErr w:type="gramStart"/>
      <w:r>
        <w:t>A</w:t>
      </w:r>
      <w:proofErr w:type="gramEnd"/>
      <w:r>
        <w:t xml:space="preserve"> 2013. Site-specific water quality guidelines: 2. Development of a water quality regulation framework for pulse exposures of mine water discharges at </w:t>
      </w:r>
      <w:proofErr w:type="gramStart"/>
      <w:r>
        <w:t>a uranium</w:t>
      </w:r>
      <w:proofErr w:type="gramEnd"/>
      <w:r>
        <w:t xml:space="preserve"> mine in northern Australia. </w:t>
      </w:r>
      <w:proofErr w:type="gramStart"/>
      <w:r>
        <w:rPr>
          <w:i/>
          <w:iCs/>
        </w:rPr>
        <w:t>Environmental Science and Pollution Research.</w:t>
      </w:r>
      <w:proofErr w:type="gramEnd"/>
      <w:r>
        <w:t xml:space="preserve"> </w:t>
      </w:r>
      <w:proofErr w:type="gramStart"/>
      <w:r>
        <w:t>DOI 10.1007/s11356-013-1922-4.</w:t>
      </w:r>
      <w:proofErr w:type="gramEnd"/>
    </w:p>
    <w:p w:rsidR="00856EAE" w:rsidRDefault="00856EAE" w:rsidP="00856EAE">
      <w:pPr>
        <w:pStyle w:val="Bibliography"/>
      </w:pPr>
      <w:r w:rsidRPr="00D44A27">
        <w:t>Strebl F, Ehlken S, Gerzabek MH, Kirchner G, 2007. Series: Radioactivity in the Environment, Year: 2007, Volume 10, Page 19. DOI: 10.1016/S1569-4860(06)10002-9</w:t>
      </w:r>
    </w:p>
    <w:p w:rsidR="00856EAE" w:rsidRPr="009B465A" w:rsidRDefault="00856EAE" w:rsidP="00856EAE">
      <w:pPr>
        <w:pStyle w:val="Bibliography"/>
      </w:pPr>
      <w:r w:rsidRPr="009B465A">
        <w:t>Supervising Scientist, 2008</w:t>
      </w:r>
      <w:r>
        <w:t>. Annual Report 2007–2008. Supervising Scientist, Darwin.</w:t>
      </w:r>
    </w:p>
    <w:p w:rsidR="00856EAE" w:rsidRPr="009B465A" w:rsidRDefault="00856EAE" w:rsidP="00856EAE">
      <w:pPr>
        <w:pStyle w:val="Bibliography"/>
      </w:pPr>
      <w:r w:rsidRPr="009B465A">
        <w:t>Supervising Scientist, 200</w:t>
      </w:r>
      <w:r>
        <w:t>9. Annual Report 2008–2009. Supervising Scientist, Darwin.</w:t>
      </w:r>
    </w:p>
    <w:p w:rsidR="00DA31CB" w:rsidRDefault="00DA31CB" w:rsidP="00856EAE">
      <w:pPr>
        <w:pStyle w:val="Bibliography"/>
      </w:pPr>
      <w:r w:rsidRPr="00DA31CB">
        <w:t xml:space="preserve">Supervising Scientist, 2014. Annual Report 2013–14, </w:t>
      </w:r>
      <w:r>
        <w:t>Supervising Scientist, Darwin.</w:t>
      </w:r>
    </w:p>
    <w:p w:rsidR="00856EAE" w:rsidRPr="009B465A" w:rsidRDefault="00856EAE" w:rsidP="00856EAE">
      <w:pPr>
        <w:pStyle w:val="Bibliography"/>
      </w:pPr>
      <w:r w:rsidRPr="009B465A">
        <w:t>Supervising Scientist 2015</w:t>
      </w:r>
      <w:r>
        <w:t>. Annual Report 2014–2015. Supervising Scientist, Darwin.</w:t>
      </w:r>
    </w:p>
    <w:p w:rsidR="00856EAE" w:rsidRPr="009B465A" w:rsidRDefault="00856EAE" w:rsidP="00856EAE">
      <w:pPr>
        <w:pStyle w:val="Bibliography"/>
      </w:pPr>
      <w:r w:rsidRPr="009B465A">
        <w:t>Suradi M, Fourie A, Beckett C, Buzzi O</w:t>
      </w:r>
      <w:r w:rsidR="00121100">
        <w:t>,</w:t>
      </w:r>
      <w:r w:rsidRPr="009B465A">
        <w:t xml:space="preserve"> 2014. Rainfall induced landslides: development of a simple screening tool based in rainfall data and unsaturated soil mechanics principles. In: Unsaturated Soils: Research &amp; Applications (Eds. Khalili N., Russell, A., Khoshghalb A.). Taylor &amp; Francis Group, London.</w:t>
      </w:r>
    </w:p>
    <w:p w:rsidR="00856EAE" w:rsidRPr="009B465A" w:rsidRDefault="00856EAE" w:rsidP="00856EAE">
      <w:pPr>
        <w:pStyle w:val="Bibliography"/>
      </w:pPr>
      <w:r w:rsidRPr="009B465A">
        <w:t xml:space="preserve">Tsivoglou </w:t>
      </w:r>
      <w:r>
        <w:t>EC, Bartsch AF, Rushing DE, Holaday DA, 1958. Effects of uranium ore refinery wastes on receiving waters. Sewage Industrial Wastes 30, 1012-1027.</w:t>
      </w:r>
    </w:p>
    <w:p w:rsidR="00856EAE" w:rsidRDefault="00121100" w:rsidP="00856EAE">
      <w:pPr>
        <w:pStyle w:val="Bibliography"/>
      </w:pPr>
      <w:r>
        <w:t>UNSCEAR</w:t>
      </w:r>
      <w:r w:rsidR="00856EAE" w:rsidRPr="009B465A">
        <w:t xml:space="preserve"> 1996</w:t>
      </w:r>
      <w:r w:rsidR="00856EAE">
        <w:t>.</w:t>
      </w:r>
      <w:r w:rsidR="00856EAE" w:rsidRPr="00F5327E">
        <w:t xml:space="preserve"> </w:t>
      </w:r>
      <w:r w:rsidR="00856EAE">
        <w:t>Sources and Effects of Ionizing Radiation. Report to the General Assembly with Scientific Annexes. United Nations, New York.</w:t>
      </w:r>
    </w:p>
    <w:p w:rsidR="00856EAE" w:rsidRDefault="00121100" w:rsidP="00856EAE">
      <w:pPr>
        <w:pStyle w:val="Bibliography"/>
      </w:pPr>
      <w:r>
        <w:t>UNSCEAR</w:t>
      </w:r>
      <w:r w:rsidR="00856EAE">
        <w:t xml:space="preserve"> 2008. Sources and Effects of Ionizing Radiation. Report to the General Assembly with Scientific Annexes. United Nations, New York (published 2011).</w:t>
      </w:r>
    </w:p>
    <w:p w:rsidR="00856EAE" w:rsidRDefault="00856EAE" w:rsidP="00856EAE">
      <w:pPr>
        <w:pStyle w:val="referencelist1"/>
      </w:pPr>
      <w:r>
        <w:t>United States Department of Energy (USDOE) 2004. RESRAD-BIOTA: A tool for implementing a graded approach to biota dose evaluation. DOE/EH-0676, National Technical Information Service, Springfield.</w:t>
      </w:r>
    </w:p>
    <w:p w:rsidR="00856EAE" w:rsidRPr="009B465A" w:rsidRDefault="00856EAE" w:rsidP="00856EAE">
      <w:pPr>
        <w:pStyle w:val="Bibliography"/>
      </w:pPr>
      <w:r w:rsidRPr="009B465A">
        <w:t xml:space="preserve">Vandenhove </w:t>
      </w:r>
      <w:r>
        <w:t>H,</w:t>
      </w:r>
      <w:r w:rsidRPr="009B465A">
        <w:t xml:space="preserve"> Verezzen </w:t>
      </w:r>
      <w:r>
        <w:t xml:space="preserve">F, Landa ER </w:t>
      </w:r>
      <w:r w:rsidRPr="009B465A">
        <w:t>2010</w:t>
      </w:r>
      <w:r>
        <w:t xml:space="preserve">. Radium. In: Atwood, DA (Editor). Radionuclides in the Environment,. John Wiley &amp; Sons Ltd. </w:t>
      </w:r>
    </w:p>
    <w:p w:rsidR="00856EAE" w:rsidRPr="009B465A" w:rsidRDefault="00856EAE" w:rsidP="00856EAE">
      <w:pPr>
        <w:pStyle w:val="Bibliography"/>
      </w:pPr>
      <w:r w:rsidRPr="009B465A">
        <w:t>Walker TD, Tyler PA, 1982. Chemical characteristics and nutrient status of</w:t>
      </w:r>
      <w:r>
        <w:t xml:space="preserve"> </w:t>
      </w:r>
      <w:r w:rsidRPr="009B465A">
        <w:t>billabongs of the Alligator Rivers Region, Northern Territory. Open File Record</w:t>
      </w:r>
      <w:r>
        <w:t xml:space="preserve"> </w:t>
      </w:r>
      <w:r w:rsidRPr="009B465A">
        <w:t>27, Supervising Scientist for the Alligator Rivers Region, Canberra.</w:t>
      </w:r>
    </w:p>
    <w:p w:rsidR="00856EAE" w:rsidRPr="00EC47D5" w:rsidRDefault="00856EAE" w:rsidP="00856EAE">
      <w:pPr>
        <w:pStyle w:val="Bibliography"/>
      </w:pPr>
      <w:r w:rsidRPr="00BF1AEA">
        <w:t>Yu</w:t>
      </w:r>
      <w:r>
        <w:t xml:space="preserve"> C</w:t>
      </w:r>
      <w:r w:rsidRPr="00BF1AEA">
        <w:t xml:space="preserve">, LePoire </w:t>
      </w:r>
      <w:r>
        <w:t>D</w:t>
      </w:r>
      <w:r w:rsidRPr="00BF1AEA">
        <w:t>, Arnish</w:t>
      </w:r>
      <w:r>
        <w:t xml:space="preserve"> J</w:t>
      </w:r>
      <w:r w:rsidRPr="00BF1AEA">
        <w:t xml:space="preserve">, Cheng </w:t>
      </w:r>
      <w:r>
        <w:t>JJ</w:t>
      </w:r>
      <w:r w:rsidRPr="00BF1AEA">
        <w:t>, Hlohowskij</w:t>
      </w:r>
      <w:r>
        <w:t xml:space="preserve"> I</w:t>
      </w:r>
      <w:r w:rsidRPr="00BF1AEA">
        <w:t>, Kamboj</w:t>
      </w:r>
      <w:r>
        <w:t xml:space="preserve"> S</w:t>
      </w:r>
      <w:r w:rsidRPr="00BF1AEA">
        <w:t>, Klett</w:t>
      </w:r>
      <w:r>
        <w:t xml:space="preserve"> T</w:t>
      </w:r>
      <w:r w:rsidRPr="00BF1AEA">
        <w:t>,</w:t>
      </w:r>
      <w:r>
        <w:t xml:space="preserve"> </w:t>
      </w:r>
      <w:r w:rsidRPr="00BF1AEA">
        <w:t>Domotor</w:t>
      </w:r>
      <w:r>
        <w:t xml:space="preserve"> S</w:t>
      </w:r>
      <w:r w:rsidRPr="00BF1AEA">
        <w:t>, Higley</w:t>
      </w:r>
      <w:r>
        <w:t xml:space="preserve"> K</w:t>
      </w:r>
      <w:r w:rsidRPr="00BF1AEA">
        <w:t>, Graham</w:t>
      </w:r>
      <w:r>
        <w:t xml:space="preserve"> R</w:t>
      </w:r>
      <w:r w:rsidRPr="00BF1AEA">
        <w:t>, Newkirk</w:t>
      </w:r>
      <w:r>
        <w:t xml:space="preserve"> P</w:t>
      </w:r>
      <w:r w:rsidRPr="00BF1AEA">
        <w:t>, Harris</w:t>
      </w:r>
      <w:r>
        <w:t xml:space="preserve"> T 2002. </w:t>
      </w:r>
      <w:r w:rsidRPr="00782113">
        <w:t>The RESRAD-BIOTA Code for Application in Biota Dose Evaluation:</w:t>
      </w:r>
      <w:r>
        <w:t xml:space="preserve"> </w:t>
      </w:r>
      <w:r w:rsidRPr="00782113">
        <w:t>Providing Screening and Organism -Specific Assessment Capabilities for</w:t>
      </w:r>
      <w:r>
        <w:t xml:space="preserve"> </w:t>
      </w:r>
      <w:r w:rsidRPr="00782113">
        <w:t>Use Within an Environmental Protection Framework</w:t>
      </w:r>
      <w:r>
        <w:t xml:space="preserve">. In: </w:t>
      </w:r>
      <w:r w:rsidRPr="00782113">
        <w:t>International Atomic Energy Agency</w:t>
      </w:r>
      <w:r>
        <w:t>.</w:t>
      </w:r>
    </w:p>
    <w:p w:rsidR="00EC47D5" w:rsidRPr="00856EAE" w:rsidRDefault="00EC47D5" w:rsidP="00856EAE"/>
    <w:sectPr w:rsidR="00EC47D5" w:rsidRPr="00856EAE" w:rsidSect="00EC47D5">
      <w:headerReference w:type="even" r:id="rId44"/>
      <w:footerReference w:type="even" r:id="rId45"/>
      <w:footerReference w:type="default" r:id="rId46"/>
      <w:headerReference w:type="first" r:id="rId47"/>
      <w:footerReference w:type="first" r:id="rId48"/>
      <w:pgSz w:w="11906" w:h="16838" w:code="9"/>
      <w:pgMar w:top="1440" w:right="1800" w:bottom="1440" w:left="1800" w:header="1080" w:footer="835" w:gutter="0"/>
      <w:cols w:space="360"/>
      <w:noEndnote/>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96EA71" w15:done="0"/>
  <w15:commentEx w15:paraId="760F3CAE" w15:done="0"/>
  <w15:commentEx w15:paraId="4197C56A" w15:done="0"/>
  <w15:commentEx w15:paraId="767D440D" w15:done="0"/>
  <w15:commentEx w15:paraId="3EA8B10A" w15:done="0"/>
  <w15:commentEx w15:paraId="689CB275" w15:done="0"/>
  <w15:commentEx w15:paraId="5E772CEF" w15:done="0"/>
  <w15:commentEx w15:paraId="1D03C563" w15:done="0"/>
  <w15:commentEx w15:paraId="34B82468" w15:done="0"/>
  <w15:commentEx w15:paraId="17598186" w15:done="0"/>
  <w15:commentEx w15:paraId="5FCAC00E" w15:done="0"/>
  <w15:commentEx w15:paraId="0036B2C8" w15:done="0"/>
  <w15:commentEx w15:paraId="4D754007" w15:done="0"/>
  <w15:commentEx w15:paraId="26262E2E" w15:done="0"/>
  <w15:commentEx w15:paraId="21C65036" w15:done="0"/>
  <w15:commentEx w15:paraId="4FFFF59E" w15:done="0"/>
  <w15:commentEx w15:paraId="297E8B9C" w15:done="0"/>
  <w15:commentEx w15:paraId="7D99A2C3" w15:done="0"/>
  <w15:commentEx w15:paraId="119923FB" w15:done="0"/>
  <w15:commentEx w15:paraId="66C7B32B" w15:done="0"/>
  <w15:commentEx w15:paraId="4454A9A4" w15:done="0"/>
  <w15:commentEx w15:paraId="3AA97D21" w15:done="0"/>
  <w15:commentEx w15:paraId="6C226C55" w15:done="0"/>
  <w15:commentEx w15:paraId="3E401D9D" w15:done="0"/>
  <w15:commentEx w15:paraId="351D711A" w15:done="0"/>
  <w15:commentEx w15:paraId="28EC7571" w15:done="0"/>
  <w15:commentEx w15:paraId="1C08DF18" w15:done="0"/>
  <w15:commentEx w15:paraId="1789C663" w15:done="0"/>
  <w15:commentEx w15:paraId="6C7993FE" w15:done="0"/>
  <w15:commentEx w15:paraId="336149AB" w15:done="0"/>
  <w15:commentEx w15:paraId="31EE9F12" w15:done="0"/>
  <w15:commentEx w15:paraId="5D6A6D00" w15:done="0"/>
  <w15:commentEx w15:paraId="60796FA4" w15:done="0"/>
  <w15:commentEx w15:paraId="1664E2A6" w15:done="0"/>
  <w15:commentEx w15:paraId="223F7DB2" w15:done="0"/>
  <w15:commentEx w15:paraId="158AE1D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A91" w:rsidRDefault="00043A91">
      <w:r>
        <w:separator/>
      </w:r>
    </w:p>
  </w:endnote>
  <w:endnote w:type="continuationSeparator" w:id="0">
    <w:p w:rsidR="00043A91" w:rsidRDefault="00043A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5B0" w:rsidRDefault="00464059">
    <w:pPr>
      <w:pStyle w:val="Footer"/>
    </w:pPr>
    <w:fldSimple w:instr="PAGE">
      <w:r w:rsidR="000E55B0">
        <w:rPr>
          <w:noProof/>
        </w:rPr>
        <w:t>iv</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5B0" w:rsidRDefault="000E55B0">
    <w:pPr>
      <w:pStyle w:val="Footer"/>
    </w:pPr>
    <w:bookmarkStart w:id="3" w:name="_Toc513964624"/>
    <w:bookmarkEnd w:id="3"/>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5B0" w:rsidRDefault="00464059">
    <w:pPr>
      <w:pStyle w:val="Footer"/>
    </w:pPr>
    <w:fldSimple w:instr="PAGE">
      <w:r w:rsidR="000E55B0">
        <w:rPr>
          <w:noProof/>
        </w:rPr>
        <w:t>ii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5B0" w:rsidRDefault="00464059">
    <w:pPr>
      <w:pStyle w:val="Footer"/>
    </w:pPr>
    <w:fldSimple w:instr="PAGE">
      <w:r w:rsidR="00ED0F9E">
        <w:rPr>
          <w:noProof/>
        </w:rPr>
        <w:t>iii</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5B0" w:rsidRDefault="00464059">
    <w:pPr>
      <w:pStyle w:val="Footer"/>
    </w:pPr>
    <w:fldSimple w:instr="PAGE">
      <w:r w:rsidR="000E55B0">
        <w:t>1</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5B0" w:rsidRDefault="00464059">
    <w:pPr>
      <w:pStyle w:val="Footer"/>
    </w:pPr>
    <w:fldSimple w:instr="PAGE">
      <w:r w:rsidR="00ED0F9E">
        <w:rPr>
          <w:noProof/>
        </w:rPr>
        <w:t>7</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5B0" w:rsidRDefault="00464059">
    <w:pPr>
      <w:pStyle w:val="Footer"/>
    </w:pPr>
    <w:fldSimple w:instr="PAGE">
      <w:r w:rsidR="000E55B0">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A91" w:rsidRDefault="00043A91">
      <w:r>
        <w:separator/>
      </w:r>
    </w:p>
  </w:footnote>
  <w:footnote w:type="continuationSeparator" w:id="0">
    <w:p w:rsidR="00043A91" w:rsidRDefault="00043A91">
      <w:r>
        <w:continuationSeparator/>
      </w:r>
    </w:p>
  </w:footnote>
  <w:footnote w:id="1">
    <w:p w:rsidR="000E55B0" w:rsidRPr="00957FFE" w:rsidRDefault="000E55B0" w:rsidP="00856EAE">
      <w:pPr>
        <w:rPr>
          <w:rStyle w:val="FootnoteReference"/>
        </w:rPr>
      </w:pPr>
      <w:r>
        <w:rPr>
          <w:rStyle w:val="FootnoteReference"/>
        </w:rPr>
        <w:footnoteRef/>
      </w:r>
      <w:r>
        <w:t xml:space="preserve"> </w:t>
      </w:r>
      <w:r w:rsidRPr="006B19B2">
        <w:rPr>
          <w:rStyle w:val="FootnoteReference"/>
        </w:rPr>
        <w:t xml:space="preserve">This is assuming that 2 kg of wet </w:t>
      </w:r>
      <w:proofErr w:type="spellStart"/>
      <w:r w:rsidRPr="006B19B2">
        <w:rPr>
          <w:rStyle w:val="FootnoteReference"/>
        </w:rPr>
        <w:t>mussel</w:t>
      </w:r>
      <w:proofErr w:type="spellEnd"/>
      <w:r w:rsidRPr="006B19B2">
        <w:rPr>
          <w:rStyle w:val="FootnoteReference"/>
        </w:rPr>
        <w:t xml:space="preserve"> tissue is consumed by a 10 year old child per year. </w:t>
      </w:r>
    </w:p>
    <w:p w:rsidR="000E55B0" w:rsidRDefault="000E55B0" w:rsidP="00856EAE">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5B0" w:rsidRDefault="000E55B0">
    <w:pPr>
      <w:pStyle w:val="Header"/>
      <w:jc w:val="right"/>
      <w:rPr>
        <w:smallCaps/>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5B0" w:rsidRDefault="000E55B0">
    <w:pPr>
      <w:pStyle w:val="Header"/>
      <w:jc w:val="right"/>
      <w:rPr>
        <w:smallCaps/>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5B0" w:rsidRDefault="00464059">
    <w:pPr>
      <w:pStyle w:val="Header"/>
      <w:jc w:val="right"/>
      <w:rPr>
        <w:rFonts w:ascii="Arial" w:hAnsi="Arial"/>
        <w:sz w:val="14"/>
      </w:rPr>
    </w:pPr>
    <w:fldSimple w:instr=" FILENAME \* Lower\p  \* MERGEFORMAT ">
      <w:r w:rsidR="000E55B0" w:rsidRPr="009A5E71">
        <w:rPr>
          <w:rFonts w:ascii="Arial" w:hAnsi="Arial"/>
          <w:noProof/>
          <w:sz w:val="14"/>
        </w:rPr>
        <w:t>http</w:t>
      </w:r>
      <w:r w:rsidR="000E55B0">
        <w:rPr>
          <w:noProof/>
        </w:rPr>
        <w:t>://spire.nt.environment.gov.au/spire/886642/900741/559887/661/revision of radium-226 in magela creek water quality guideline/ir ra226 limit.docx</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B8C0573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B8E63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DAEA40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F38AE5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1F2B376"/>
    <w:lvl w:ilvl="0">
      <w:start w:val="1"/>
      <w:numFmt w:val="decimal"/>
      <w:pStyle w:val="ListNumber"/>
      <w:lvlText w:val="%1."/>
      <w:lvlJc w:val="left"/>
      <w:pPr>
        <w:tabs>
          <w:tab w:val="num" w:pos="360"/>
        </w:tabs>
        <w:ind w:left="360" w:hanging="360"/>
      </w:pPr>
    </w:lvl>
  </w:abstractNum>
  <w:abstractNum w:abstractNumId="9">
    <w:nsid w:val="FFFFFF89"/>
    <w:multiLevelType w:val="singleLevel"/>
    <w:tmpl w:val="1DFA5540"/>
    <w:lvl w:ilvl="0">
      <w:start w:val="1"/>
      <w:numFmt w:val="bullet"/>
      <w:lvlText w:val=""/>
      <w:lvlJc w:val="left"/>
      <w:pPr>
        <w:tabs>
          <w:tab w:val="num" w:pos="360"/>
        </w:tabs>
        <w:ind w:left="360" w:hanging="360"/>
      </w:pPr>
      <w:rPr>
        <w:rFonts w:ascii="Symbol" w:hAnsi="Symbol" w:hint="default"/>
      </w:rPr>
    </w:lvl>
  </w:abstractNum>
  <w:abstractNum w:abstractNumId="10">
    <w:nsid w:val="09EA1366"/>
    <w:multiLevelType w:val="hybridMultilevel"/>
    <w:tmpl w:val="DD86F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E0170D0"/>
    <w:multiLevelType w:val="hybridMultilevel"/>
    <w:tmpl w:val="7C4037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4140A2B"/>
    <w:multiLevelType w:val="multilevel"/>
    <w:tmpl w:val="7EE4708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05240CA"/>
    <w:multiLevelType w:val="multilevel"/>
    <w:tmpl w:val="7C6CA352"/>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45063C53"/>
    <w:multiLevelType w:val="hybridMultilevel"/>
    <w:tmpl w:val="E81E65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40935BD"/>
    <w:multiLevelType w:val="hybridMultilevel"/>
    <w:tmpl w:val="C02AA668"/>
    <w:lvl w:ilvl="0" w:tplc="0C09000F">
      <w:start w:val="1"/>
      <w:numFmt w:val="decimal"/>
      <w:lvlText w:val="%1."/>
      <w:lvlJc w:val="lef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17">
    <w:nsid w:val="58BB3BE1"/>
    <w:multiLevelType w:val="hybridMultilevel"/>
    <w:tmpl w:val="CBB6965A"/>
    <w:lvl w:ilvl="0" w:tplc="484628F6">
      <w:start w:val="2002"/>
      <w:numFmt w:val="bullet"/>
      <w:lvlText w:val="-"/>
      <w:lvlJc w:val="left"/>
      <w:pPr>
        <w:ind w:left="720" w:hanging="36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9FF4860"/>
    <w:multiLevelType w:val="hybridMultilevel"/>
    <w:tmpl w:val="7B529D14"/>
    <w:lvl w:ilvl="0" w:tplc="0C09000F">
      <w:start w:val="1"/>
      <w:numFmt w:val="decimal"/>
      <w:lvlText w:val="%1."/>
      <w:lvlJc w:val="left"/>
      <w:pPr>
        <w:ind w:left="1680" w:hanging="360"/>
      </w:pPr>
    </w:lvl>
    <w:lvl w:ilvl="1" w:tplc="0C090019" w:tentative="1">
      <w:start w:val="1"/>
      <w:numFmt w:val="lowerLetter"/>
      <w:lvlText w:val="%2."/>
      <w:lvlJc w:val="left"/>
      <w:pPr>
        <w:ind w:left="2400" w:hanging="360"/>
      </w:pPr>
    </w:lvl>
    <w:lvl w:ilvl="2" w:tplc="0C09001B" w:tentative="1">
      <w:start w:val="1"/>
      <w:numFmt w:val="lowerRoman"/>
      <w:lvlText w:val="%3."/>
      <w:lvlJc w:val="right"/>
      <w:pPr>
        <w:ind w:left="3120" w:hanging="180"/>
      </w:pPr>
    </w:lvl>
    <w:lvl w:ilvl="3" w:tplc="0C09000F" w:tentative="1">
      <w:start w:val="1"/>
      <w:numFmt w:val="decimal"/>
      <w:lvlText w:val="%4."/>
      <w:lvlJc w:val="left"/>
      <w:pPr>
        <w:ind w:left="3840" w:hanging="360"/>
      </w:pPr>
    </w:lvl>
    <w:lvl w:ilvl="4" w:tplc="0C090019" w:tentative="1">
      <w:start w:val="1"/>
      <w:numFmt w:val="lowerLetter"/>
      <w:lvlText w:val="%5."/>
      <w:lvlJc w:val="left"/>
      <w:pPr>
        <w:ind w:left="4560" w:hanging="360"/>
      </w:pPr>
    </w:lvl>
    <w:lvl w:ilvl="5" w:tplc="0C09001B" w:tentative="1">
      <w:start w:val="1"/>
      <w:numFmt w:val="lowerRoman"/>
      <w:lvlText w:val="%6."/>
      <w:lvlJc w:val="right"/>
      <w:pPr>
        <w:ind w:left="5280" w:hanging="180"/>
      </w:pPr>
    </w:lvl>
    <w:lvl w:ilvl="6" w:tplc="0C09000F" w:tentative="1">
      <w:start w:val="1"/>
      <w:numFmt w:val="decimal"/>
      <w:lvlText w:val="%7."/>
      <w:lvlJc w:val="left"/>
      <w:pPr>
        <w:ind w:left="6000" w:hanging="360"/>
      </w:pPr>
    </w:lvl>
    <w:lvl w:ilvl="7" w:tplc="0C090019" w:tentative="1">
      <w:start w:val="1"/>
      <w:numFmt w:val="lowerLetter"/>
      <w:lvlText w:val="%8."/>
      <w:lvlJc w:val="left"/>
      <w:pPr>
        <w:ind w:left="6720" w:hanging="360"/>
      </w:pPr>
    </w:lvl>
    <w:lvl w:ilvl="8" w:tplc="0C09001B" w:tentative="1">
      <w:start w:val="1"/>
      <w:numFmt w:val="lowerRoman"/>
      <w:lvlText w:val="%9."/>
      <w:lvlJc w:val="right"/>
      <w:pPr>
        <w:ind w:left="7440" w:hanging="180"/>
      </w:pPr>
    </w:lvl>
  </w:abstractNum>
  <w:abstractNum w:abstractNumId="19">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B5B03"/>
    <w:multiLevelType w:val="hybridMultilevel"/>
    <w:tmpl w:val="EA161008"/>
    <w:lvl w:ilvl="0" w:tplc="3FF880CE">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19"/>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14"/>
  </w:num>
  <w:num w:numId="16">
    <w:abstractNumId w:val="11"/>
  </w:num>
  <w:num w:numId="17">
    <w:abstractNumId w:val="16"/>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12"/>
  </w:num>
  <w:num w:numId="24">
    <w:abstractNumId w:val="10"/>
  </w:num>
  <w:num w:numId="25">
    <w:abstractNumId w:val="13"/>
  </w:num>
  <w:num w:numId="26">
    <w:abstractNumId w:val="17"/>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e Turner">
    <w15:presenceInfo w15:providerId="Windows Live" w15:userId="70202c865b36f65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removePersonalInformation/>
  <w:removeDateAndTime/>
  <w:printFractionalCharacterWidth/>
  <w:hideSpellingErrors/>
  <w:hideGrammaticalErrors/>
  <w:proofState w:spelling="clean" w:grammar="clean"/>
  <w:stylePaneFormatFilter w:val="3F01"/>
  <w:defaultTabStop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Arial&lt;/FontName&gt;&lt;FontSize&gt;18&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5tr0azwtzzxxeeprfr5zvrnt9xw05weefv0&quot;&gt;SSD Publications&lt;record-ids&gt;&lt;item&gt;4651&lt;/item&gt;&lt;/record-ids&gt;&lt;/item&gt;&lt;/Libraries&gt;"/>
  </w:docVars>
  <w:rsids>
    <w:rsidRoot w:val="00596F0F"/>
    <w:rsid w:val="000057ED"/>
    <w:rsid w:val="00006451"/>
    <w:rsid w:val="000130D0"/>
    <w:rsid w:val="0001712E"/>
    <w:rsid w:val="00021839"/>
    <w:rsid w:val="00030003"/>
    <w:rsid w:val="00030CF3"/>
    <w:rsid w:val="00033278"/>
    <w:rsid w:val="00033855"/>
    <w:rsid w:val="00040CA5"/>
    <w:rsid w:val="00040CCD"/>
    <w:rsid w:val="00043A91"/>
    <w:rsid w:val="00052FB9"/>
    <w:rsid w:val="00056298"/>
    <w:rsid w:val="000739D8"/>
    <w:rsid w:val="00074A02"/>
    <w:rsid w:val="0007576F"/>
    <w:rsid w:val="000832C7"/>
    <w:rsid w:val="000963AC"/>
    <w:rsid w:val="00097578"/>
    <w:rsid w:val="000B3ECA"/>
    <w:rsid w:val="000B5B55"/>
    <w:rsid w:val="000B5DA6"/>
    <w:rsid w:val="000C691C"/>
    <w:rsid w:val="000D43ED"/>
    <w:rsid w:val="000D5674"/>
    <w:rsid w:val="000D7EC2"/>
    <w:rsid w:val="000E2326"/>
    <w:rsid w:val="000E3712"/>
    <w:rsid w:val="000E55B0"/>
    <w:rsid w:val="000E665C"/>
    <w:rsid w:val="000F2EB1"/>
    <w:rsid w:val="000F7A62"/>
    <w:rsid w:val="001026D3"/>
    <w:rsid w:val="001060E9"/>
    <w:rsid w:val="001074B1"/>
    <w:rsid w:val="001156CD"/>
    <w:rsid w:val="0011663F"/>
    <w:rsid w:val="00121100"/>
    <w:rsid w:val="00124613"/>
    <w:rsid w:val="00125006"/>
    <w:rsid w:val="00131397"/>
    <w:rsid w:val="001314D8"/>
    <w:rsid w:val="00131FDE"/>
    <w:rsid w:val="00137328"/>
    <w:rsid w:val="00142F51"/>
    <w:rsid w:val="0014482E"/>
    <w:rsid w:val="00147F16"/>
    <w:rsid w:val="001500CF"/>
    <w:rsid w:val="0015498E"/>
    <w:rsid w:val="00162052"/>
    <w:rsid w:val="0016457F"/>
    <w:rsid w:val="001709ED"/>
    <w:rsid w:val="001738BB"/>
    <w:rsid w:val="0018592C"/>
    <w:rsid w:val="0018651B"/>
    <w:rsid w:val="001923AC"/>
    <w:rsid w:val="00192889"/>
    <w:rsid w:val="00193259"/>
    <w:rsid w:val="0019604E"/>
    <w:rsid w:val="00196FEF"/>
    <w:rsid w:val="001A4E2F"/>
    <w:rsid w:val="001A644E"/>
    <w:rsid w:val="001B1894"/>
    <w:rsid w:val="001B5B96"/>
    <w:rsid w:val="001B7CA8"/>
    <w:rsid w:val="001C191E"/>
    <w:rsid w:val="001C3FD2"/>
    <w:rsid w:val="001C5D97"/>
    <w:rsid w:val="001D04A1"/>
    <w:rsid w:val="001F0372"/>
    <w:rsid w:val="001F0C5B"/>
    <w:rsid w:val="001F51CD"/>
    <w:rsid w:val="0020072E"/>
    <w:rsid w:val="0020597A"/>
    <w:rsid w:val="00211A9F"/>
    <w:rsid w:val="00233210"/>
    <w:rsid w:val="002529C0"/>
    <w:rsid w:val="00264E3C"/>
    <w:rsid w:val="00272898"/>
    <w:rsid w:val="00283593"/>
    <w:rsid w:val="002860DE"/>
    <w:rsid w:val="0029016D"/>
    <w:rsid w:val="002A1DD7"/>
    <w:rsid w:val="002B54F9"/>
    <w:rsid w:val="002C00AF"/>
    <w:rsid w:val="002C30D5"/>
    <w:rsid w:val="002C4796"/>
    <w:rsid w:val="002E168F"/>
    <w:rsid w:val="002F2726"/>
    <w:rsid w:val="002F794E"/>
    <w:rsid w:val="003137B0"/>
    <w:rsid w:val="00320E2F"/>
    <w:rsid w:val="00322A6B"/>
    <w:rsid w:val="00326A88"/>
    <w:rsid w:val="003322A3"/>
    <w:rsid w:val="00332343"/>
    <w:rsid w:val="003451A1"/>
    <w:rsid w:val="00352C37"/>
    <w:rsid w:val="003535B5"/>
    <w:rsid w:val="00354C94"/>
    <w:rsid w:val="00357E1A"/>
    <w:rsid w:val="003714D8"/>
    <w:rsid w:val="00371D2F"/>
    <w:rsid w:val="00375AFA"/>
    <w:rsid w:val="003805A9"/>
    <w:rsid w:val="00381717"/>
    <w:rsid w:val="00393272"/>
    <w:rsid w:val="00393D69"/>
    <w:rsid w:val="003A0618"/>
    <w:rsid w:val="003B3E0F"/>
    <w:rsid w:val="003B5DA8"/>
    <w:rsid w:val="003B752E"/>
    <w:rsid w:val="003C3838"/>
    <w:rsid w:val="003C43F0"/>
    <w:rsid w:val="003C5925"/>
    <w:rsid w:val="003D301A"/>
    <w:rsid w:val="003E02D2"/>
    <w:rsid w:val="003E036C"/>
    <w:rsid w:val="003E380F"/>
    <w:rsid w:val="003E6219"/>
    <w:rsid w:val="003F298D"/>
    <w:rsid w:val="003F6691"/>
    <w:rsid w:val="003F6BDF"/>
    <w:rsid w:val="004143CA"/>
    <w:rsid w:val="00415A10"/>
    <w:rsid w:val="00430498"/>
    <w:rsid w:val="00437C22"/>
    <w:rsid w:val="00446AF8"/>
    <w:rsid w:val="004535DC"/>
    <w:rsid w:val="00464059"/>
    <w:rsid w:val="00464214"/>
    <w:rsid w:val="0046624D"/>
    <w:rsid w:val="00467AFE"/>
    <w:rsid w:val="00471A18"/>
    <w:rsid w:val="00472A51"/>
    <w:rsid w:val="00473CFD"/>
    <w:rsid w:val="00476153"/>
    <w:rsid w:val="004770E5"/>
    <w:rsid w:val="00480623"/>
    <w:rsid w:val="0048138E"/>
    <w:rsid w:val="00483504"/>
    <w:rsid w:val="004873C1"/>
    <w:rsid w:val="00491071"/>
    <w:rsid w:val="004917B0"/>
    <w:rsid w:val="004920FD"/>
    <w:rsid w:val="004A043B"/>
    <w:rsid w:val="004A422F"/>
    <w:rsid w:val="004A4A92"/>
    <w:rsid w:val="004A611F"/>
    <w:rsid w:val="004B2165"/>
    <w:rsid w:val="004C5D4B"/>
    <w:rsid w:val="004C5D7C"/>
    <w:rsid w:val="004C792C"/>
    <w:rsid w:val="004D4DC1"/>
    <w:rsid w:val="004E3326"/>
    <w:rsid w:val="004E6A3C"/>
    <w:rsid w:val="004E7A5E"/>
    <w:rsid w:val="004E7B72"/>
    <w:rsid w:val="004F3D3B"/>
    <w:rsid w:val="00510166"/>
    <w:rsid w:val="00514ED9"/>
    <w:rsid w:val="00524BFE"/>
    <w:rsid w:val="00524E70"/>
    <w:rsid w:val="00527304"/>
    <w:rsid w:val="00527F8A"/>
    <w:rsid w:val="00533490"/>
    <w:rsid w:val="0053406A"/>
    <w:rsid w:val="00541378"/>
    <w:rsid w:val="0055245E"/>
    <w:rsid w:val="00555B74"/>
    <w:rsid w:val="0056177A"/>
    <w:rsid w:val="005619DC"/>
    <w:rsid w:val="00564DF5"/>
    <w:rsid w:val="00572C32"/>
    <w:rsid w:val="00573812"/>
    <w:rsid w:val="005803C5"/>
    <w:rsid w:val="00581EDE"/>
    <w:rsid w:val="00584BC8"/>
    <w:rsid w:val="00587A41"/>
    <w:rsid w:val="005955C9"/>
    <w:rsid w:val="0059586A"/>
    <w:rsid w:val="00596F0F"/>
    <w:rsid w:val="00597AFE"/>
    <w:rsid w:val="005A12DF"/>
    <w:rsid w:val="005A252F"/>
    <w:rsid w:val="005A319F"/>
    <w:rsid w:val="005A73B9"/>
    <w:rsid w:val="005A74A4"/>
    <w:rsid w:val="005B2DA5"/>
    <w:rsid w:val="005D2023"/>
    <w:rsid w:val="005D2C55"/>
    <w:rsid w:val="005E184C"/>
    <w:rsid w:val="005E2043"/>
    <w:rsid w:val="005E522D"/>
    <w:rsid w:val="005F0815"/>
    <w:rsid w:val="00602247"/>
    <w:rsid w:val="00603A14"/>
    <w:rsid w:val="006065DA"/>
    <w:rsid w:val="00614CAF"/>
    <w:rsid w:val="006178B1"/>
    <w:rsid w:val="006178B6"/>
    <w:rsid w:val="00623D54"/>
    <w:rsid w:val="00623F8B"/>
    <w:rsid w:val="0062474C"/>
    <w:rsid w:val="00627E87"/>
    <w:rsid w:val="006355E3"/>
    <w:rsid w:val="006400FF"/>
    <w:rsid w:val="00641C15"/>
    <w:rsid w:val="00643F53"/>
    <w:rsid w:val="006516DE"/>
    <w:rsid w:val="00663EE0"/>
    <w:rsid w:val="00673F3E"/>
    <w:rsid w:val="00674241"/>
    <w:rsid w:val="00676E17"/>
    <w:rsid w:val="00677A79"/>
    <w:rsid w:val="00683AC0"/>
    <w:rsid w:val="00683BBC"/>
    <w:rsid w:val="00690CAE"/>
    <w:rsid w:val="00692730"/>
    <w:rsid w:val="00695F36"/>
    <w:rsid w:val="006B0659"/>
    <w:rsid w:val="006B0C98"/>
    <w:rsid w:val="006B19B2"/>
    <w:rsid w:val="006C2009"/>
    <w:rsid w:val="006C7140"/>
    <w:rsid w:val="006D0329"/>
    <w:rsid w:val="006D08D4"/>
    <w:rsid w:val="006F3713"/>
    <w:rsid w:val="006F5BD6"/>
    <w:rsid w:val="006F622A"/>
    <w:rsid w:val="00700DE8"/>
    <w:rsid w:val="00701843"/>
    <w:rsid w:val="00701F83"/>
    <w:rsid w:val="0070624C"/>
    <w:rsid w:val="007143E7"/>
    <w:rsid w:val="007167C0"/>
    <w:rsid w:val="0071733B"/>
    <w:rsid w:val="007258CB"/>
    <w:rsid w:val="00732264"/>
    <w:rsid w:val="007324DF"/>
    <w:rsid w:val="00737EC5"/>
    <w:rsid w:val="00741629"/>
    <w:rsid w:val="00742AE6"/>
    <w:rsid w:val="00743088"/>
    <w:rsid w:val="007437C3"/>
    <w:rsid w:val="00756A05"/>
    <w:rsid w:val="00770AAD"/>
    <w:rsid w:val="00776070"/>
    <w:rsid w:val="0077660D"/>
    <w:rsid w:val="007814D8"/>
    <w:rsid w:val="00782113"/>
    <w:rsid w:val="007844FE"/>
    <w:rsid w:val="0078489B"/>
    <w:rsid w:val="00784C81"/>
    <w:rsid w:val="00790008"/>
    <w:rsid w:val="0079182B"/>
    <w:rsid w:val="0079433E"/>
    <w:rsid w:val="007977EC"/>
    <w:rsid w:val="007A0D30"/>
    <w:rsid w:val="007A4E86"/>
    <w:rsid w:val="007A56E1"/>
    <w:rsid w:val="007B07B7"/>
    <w:rsid w:val="007B3EE1"/>
    <w:rsid w:val="007C46B8"/>
    <w:rsid w:val="007C4A87"/>
    <w:rsid w:val="007C4AA0"/>
    <w:rsid w:val="007D1ED6"/>
    <w:rsid w:val="007D3C24"/>
    <w:rsid w:val="007D5B2A"/>
    <w:rsid w:val="007E00C8"/>
    <w:rsid w:val="007E44EA"/>
    <w:rsid w:val="007E4B94"/>
    <w:rsid w:val="007E4CA6"/>
    <w:rsid w:val="007E5ED8"/>
    <w:rsid w:val="007E5FE1"/>
    <w:rsid w:val="00800A9B"/>
    <w:rsid w:val="0080180F"/>
    <w:rsid w:val="0081644C"/>
    <w:rsid w:val="00816E59"/>
    <w:rsid w:val="00820DF9"/>
    <w:rsid w:val="00825EA3"/>
    <w:rsid w:val="008275BE"/>
    <w:rsid w:val="00837C19"/>
    <w:rsid w:val="008410C4"/>
    <w:rsid w:val="00843E87"/>
    <w:rsid w:val="00844AEB"/>
    <w:rsid w:val="00844B39"/>
    <w:rsid w:val="00852362"/>
    <w:rsid w:val="00856EAE"/>
    <w:rsid w:val="00856F76"/>
    <w:rsid w:val="008626F2"/>
    <w:rsid w:val="00863624"/>
    <w:rsid w:val="00873CB1"/>
    <w:rsid w:val="00875B35"/>
    <w:rsid w:val="00877C19"/>
    <w:rsid w:val="00881FA8"/>
    <w:rsid w:val="0088435B"/>
    <w:rsid w:val="00885B0A"/>
    <w:rsid w:val="00892772"/>
    <w:rsid w:val="00896B12"/>
    <w:rsid w:val="008A648B"/>
    <w:rsid w:val="008A6DA4"/>
    <w:rsid w:val="008A719E"/>
    <w:rsid w:val="008A7847"/>
    <w:rsid w:val="008B06C3"/>
    <w:rsid w:val="008B34F0"/>
    <w:rsid w:val="008B4607"/>
    <w:rsid w:val="008B554F"/>
    <w:rsid w:val="008C1E66"/>
    <w:rsid w:val="008C7E6C"/>
    <w:rsid w:val="008D24A5"/>
    <w:rsid w:val="008E3D10"/>
    <w:rsid w:val="008E7B3E"/>
    <w:rsid w:val="008F1161"/>
    <w:rsid w:val="008F19A8"/>
    <w:rsid w:val="008F65D9"/>
    <w:rsid w:val="009005B3"/>
    <w:rsid w:val="00901A94"/>
    <w:rsid w:val="00903585"/>
    <w:rsid w:val="0090559B"/>
    <w:rsid w:val="00905660"/>
    <w:rsid w:val="009137DB"/>
    <w:rsid w:val="0091560A"/>
    <w:rsid w:val="00920C04"/>
    <w:rsid w:val="009248EA"/>
    <w:rsid w:val="00930B6F"/>
    <w:rsid w:val="0093153F"/>
    <w:rsid w:val="00935E8E"/>
    <w:rsid w:val="00946649"/>
    <w:rsid w:val="00950AE8"/>
    <w:rsid w:val="00953ADA"/>
    <w:rsid w:val="009552DC"/>
    <w:rsid w:val="00957FFE"/>
    <w:rsid w:val="00962D28"/>
    <w:rsid w:val="00963E5F"/>
    <w:rsid w:val="0096405C"/>
    <w:rsid w:val="009670EA"/>
    <w:rsid w:val="00967C01"/>
    <w:rsid w:val="00973C74"/>
    <w:rsid w:val="00974494"/>
    <w:rsid w:val="009751A9"/>
    <w:rsid w:val="00984DC7"/>
    <w:rsid w:val="009943EF"/>
    <w:rsid w:val="009974A9"/>
    <w:rsid w:val="009A0BCA"/>
    <w:rsid w:val="009A1AAD"/>
    <w:rsid w:val="009A3C39"/>
    <w:rsid w:val="009A5297"/>
    <w:rsid w:val="009A5E71"/>
    <w:rsid w:val="009B44F5"/>
    <w:rsid w:val="009B465A"/>
    <w:rsid w:val="009B77C6"/>
    <w:rsid w:val="009C4082"/>
    <w:rsid w:val="009C4DB3"/>
    <w:rsid w:val="009D5BF5"/>
    <w:rsid w:val="009E3B96"/>
    <w:rsid w:val="009E4070"/>
    <w:rsid w:val="009E58A2"/>
    <w:rsid w:val="009F0281"/>
    <w:rsid w:val="009F2234"/>
    <w:rsid w:val="009F31B4"/>
    <w:rsid w:val="009F4D77"/>
    <w:rsid w:val="00A04D99"/>
    <w:rsid w:val="00A1523B"/>
    <w:rsid w:val="00A1741E"/>
    <w:rsid w:val="00A177FC"/>
    <w:rsid w:val="00A2473A"/>
    <w:rsid w:val="00A41C88"/>
    <w:rsid w:val="00A4235F"/>
    <w:rsid w:val="00A4692C"/>
    <w:rsid w:val="00A520DB"/>
    <w:rsid w:val="00A52BBE"/>
    <w:rsid w:val="00A56862"/>
    <w:rsid w:val="00A6037B"/>
    <w:rsid w:val="00A61724"/>
    <w:rsid w:val="00A61AEE"/>
    <w:rsid w:val="00A6465F"/>
    <w:rsid w:val="00A74B73"/>
    <w:rsid w:val="00A80430"/>
    <w:rsid w:val="00A81C8A"/>
    <w:rsid w:val="00A87D94"/>
    <w:rsid w:val="00A933D1"/>
    <w:rsid w:val="00AA2431"/>
    <w:rsid w:val="00AA4E94"/>
    <w:rsid w:val="00AA5D44"/>
    <w:rsid w:val="00AA64A3"/>
    <w:rsid w:val="00AB0A07"/>
    <w:rsid w:val="00AB1FE2"/>
    <w:rsid w:val="00AB23CE"/>
    <w:rsid w:val="00AB26D6"/>
    <w:rsid w:val="00AB7AF6"/>
    <w:rsid w:val="00AC6E0A"/>
    <w:rsid w:val="00AE4E17"/>
    <w:rsid w:val="00B0053F"/>
    <w:rsid w:val="00B05E6E"/>
    <w:rsid w:val="00B07DCF"/>
    <w:rsid w:val="00B1026D"/>
    <w:rsid w:val="00B21644"/>
    <w:rsid w:val="00B3009D"/>
    <w:rsid w:val="00B31FB6"/>
    <w:rsid w:val="00B354AA"/>
    <w:rsid w:val="00B4083B"/>
    <w:rsid w:val="00B413A8"/>
    <w:rsid w:val="00B44179"/>
    <w:rsid w:val="00B55BB5"/>
    <w:rsid w:val="00B60B09"/>
    <w:rsid w:val="00B65876"/>
    <w:rsid w:val="00B677E5"/>
    <w:rsid w:val="00B72E87"/>
    <w:rsid w:val="00B76D3B"/>
    <w:rsid w:val="00B76E57"/>
    <w:rsid w:val="00B8284A"/>
    <w:rsid w:val="00B8499B"/>
    <w:rsid w:val="00B8506F"/>
    <w:rsid w:val="00B93F9B"/>
    <w:rsid w:val="00BA24D5"/>
    <w:rsid w:val="00BB7A7A"/>
    <w:rsid w:val="00BC1DFC"/>
    <w:rsid w:val="00BC4270"/>
    <w:rsid w:val="00BC46A6"/>
    <w:rsid w:val="00BD01D3"/>
    <w:rsid w:val="00BD0CDE"/>
    <w:rsid w:val="00BD0EC5"/>
    <w:rsid w:val="00BD44E8"/>
    <w:rsid w:val="00BD6339"/>
    <w:rsid w:val="00BE3EFD"/>
    <w:rsid w:val="00BF0B24"/>
    <w:rsid w:val="00BF1AEA"/>
    <w:rsid w:val="00BF425D"/>
    <w:rsid w:val="00BF5E38"/>
    <w:rsid w:val="00C007D6"/>
    <w:rsid w:val="00C02301"/>
    <w:rsid w:val="00C05A74"/>
    <w:rsid w:val="00C11C19"/>
    <w:rsid w:val="00C12534"/>
    <w:rsid w:val="00C14DF8"/>
    <w:rsid w:val="00C255D5"/>
    <w:rsid w:val="00C264BF"/>
    <w:rsid w:val="00C41325"/>
    <w:rsid w:val="00C475D9"/>
    <w:rsid w:val="00C5063D"/>
    <w:rsid w:val="00C5323A"/>
    <w:rsid w:val="00C533A2"/>
    <w:rsid w:val="00C64C6A"/>
    <w:rsid w:val="00C66EC0"/>
    <w:rsid w:val="00C67BAF"/>
    <w:rsid w:val="00C8107C"/>
    <w:rsid w:val="00C839EF"/>
    <w:rsid w:val="00C84CEE"/>
    <w:rsid w:val="00C85CD5"/>
    <w:rsid w:val="00C9527A"/>
    <w:rsid w:val="00C96263"/>
    <w:rsid w:val="00C96B15"/>
    <w:rsid w:val="00CA065C"/>
    <w:rsid w:val="00CA3D9E"/>
    <w:rsid w:val="00CB207A"/>
    <w:rsid w:val="00CC0021"/>
    <w:rsid w:val="00CC219F"/>
    <w:rsid w:val="00CE444A"/>
    <w:rsid w:val="00CF179A"/>
    <w:rsid w:val="00CF208D"/>
    <w:rsid w:val="00CF3414"/>
    <w:rsid w:val="00D0132A"/>
    <w:rsid w:val="00D05FBC"/>
    <w:rsid w:val="00D068BB"/>
    <w:rsid w:val="00D15B8A"/>
    <w:rsid w:val="00D17A05"/>
    <w:rsid w:val="00D222F0"/>
    <w:rsid w:val="00D30A1A"/>
    <w:rsid w:val="00D315B3"/>
    <w:rsid w:val="00D325D1"/>
    <w:rsid w:val="00D32E37"/>
    <w:rsid w:val="00D32E8C"/>
    <w:rsid w:val="00D3387D"/>
    <w:rsid w:val="00D3740F"/>
    <w:rsid w:val="00D37E4E"/>
    <w:rsid w:val="00D37F4B"/>
    <w:rsid w:val="00D37FE4"/>
    <w:rsid w:val="00D41699"/>
    <w:rsid w:val="00D425D9"/>
    <w:rsid w:val="00D44115"/>
    <w:rsid w:val="00D44A27"/>
    <w:rsid w:val="00D44E2C"/>
    <w:rsid w:val="00D46517"/>
    <w:rsid w:val="00D54DE7"/>
    <w:rsid w:val="00D62F49"/>
    <w:rsid w:val="00D62FA2"/>
    <w:rsid w:val="00D70C0F"/>
    <w:rsid w:val="00D73B3E"/>
    <w:rsid w:val="00D75F9A"/>
    <w:rsid w:val="00D7615D"/>
    <w:rsid w:val="00D7637E"/>
    <w:rsid w:val="00D77D1E"/>
    <w:rsid w:val="00D82C85"/>
    <w:rsid w:val="00D9499A"/>
    <w:rsid w:val="00DA31CB"/>
    <w:rsid w:val="00DA3EC3"/>
    <w:rsid w:val="00DA4B17"/>
    <w:rsid w:val="00DA5168"/>
    <w:rsid w:val="00DA654C"/>
    <w:rsid w:val="00DA724E"/>
    <w:rsid w:val="00DB0A8F"/>
    <w:rsid w:val="00DB6462"/>
    <w:rsid w:val="00DB7556"/>
    <w:rsid w:val="00DC080F"/>
    <w:rsid w:val="00DC78CD"/>
    <w:rsid w:val="00DE7B97"/>
    <w:rsid w:val="00DF67F2"/>
    <w:rsid w:val="00DF73E5"/>
    <w:rsid w:val="00E00536"/>
    <w:rsid w:val="00E00E9C"/>
    <w:rsid w:val="00E02609"/>
    <w:rsid w:val="00E0440F"/>
    <w:rsid w:val="00E05963"/>
    <w:rsid w:val="00E05B54"/>
    <w:rsid w:val="00E06246"/>
    <w:rsid w:val="00E143F6"/>
    <w:rsid w:val="00E15D87"/>
    <w:rsid w:val="00E24C30"/>
    <w:rsid w:val="00E31C0B"/>
    <w:rsid w:val="00E32571"/>
    <w:rsid w:val="00E42343"/>
    <w:rsid w:val="00E45023"/>
    <w:rsid w:val="00E4530F"/>
    <w:rsid w:val="00E47E3D"/>
    <w:rsid w:val="00E5679E"/>
    <w:rsid w:val="00E647F7"/>
    <w:rsid w:val="00E678EB"/>
    <w:rsid w:val="00E70777"/>
    <w:rsid w:val="00E733AA"/>
    <w:rsid w:val="00E7382B"/>
    <w:rsid w:val="00E74811"/>
    <w:rsid w:val="00E77ECB"/>
    <w:rsid w:val="00E808DC"/>
    <w:rsid w:val="00E82924"/>
    <w:rsid w:val="00E82A74"/>
    <w:rsid w:val="00E82ADC"/>
    <w:rsid w:val="00E90784"/>
    <w:rsid w:val="00E919D3"/>
    <w:rsid w:val="00E9208F"/>
    <w:rsid w:val="00E92F2E"/>
    <w:rsid w:val="00E961B5"/>
    <w:rsid w:val="00EA26A5"/>
    <w:rsid w:val="00EA7C6F"/>
    <w:rsid w:val="00EB29CA"/>
    <w:rsid w:val="00EC10DF"/>
    <w:rsid w:val="00EC2881"/>
    <w:rsid w:val="00EC47D5"/>
    <w:rsid w:val="00EC5530"/>
    <w:rsid w:val="00ED010C"/>
    <w:rsid w:val="00ED0F9E"/>
    <w:rsid w:val="00ED367C"/>
    <w:rsid w:val="00ED5DFE"/>
    <w:rsid w:val="00ED6CCE"/>
    <w:rsid w:val="00EE1C28"/>
    <w:rsid w:val="00EF1371"/>
    <w:rsid w:val="00EF6DE1"/>
    <w:rsid w:val="00EF70BC"/>
    <w:rsid w:val="00EF7A28"/>
    <w:rsid w:val="00F017AE"/>
    <w:rsid w:val="00F0214B"/>
    <w:rsid w:val="00F02218"/>
    <w:rsid w:val="00F0418B"/>
    <w:rsid w:val="00F139A6"/>
    <w:rsid w:val="00F14CB4"/>
    <w:rsid w:val="00F17CE6"/>
    <w:rsid w:val="00F204AF"/>
    <w:rsid w:val="00F23762"/>
    <w:rsid w:val="00F257BD"/>
    <w:rsid w:val="00F26B9D"/>
    <w:rsid w:val="00F34A25"/>
    <w:rsid w:val="00F42341"/>
    <w:rsid w:val="00F43819"/>
    <w:rsid w:val="00F51387"/>
    <w:rsid w:val="00F5327E"/>
    <w:rsid w:val="00F54B44"/>
    <w:rsid w:val="00F61808"/>
    <w:rsid w:val="00F70573"/>
    <w:rsid w:val="00F97988"/>
    <w:rsid w:val="00FA2EC5"/>
    <w:rsid w:val="00FA593B"/>
    <w:rsid w:val="00FB21B6"/>
    <w:rsid w:val="00FB3B42"/>
    <w:rsid w:val="00FB3D26"/>
    <w:rsid w:val="00FC6E5D"/>
    <w:rsid w:val="00FE0A92"/>
    <w:rsid w:val="00FF0FC3"/>
    <w:rsid w:val="00FF2512"/>
    <w:rsid w:val="00FF3A4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qFormat="1"/>
    <w:lsdException w:name="TOC Heading" w:uiPriority="39" w:qFormat="1"/>
  </w:latentStyles>
  <w:style w:type="paragraph" w:default="1" w:styleId="Normal">
    <w:name w:val="Normal"/>
    <w:qFormat/>
    <w:rsid w:val="00856EAE"/>
    <w:pPr>
      <w:spacing w:after="120" w:line="280" w:lineRule="atLeast"/>
      <w:jc w:val="both"/>
    </w:pPr>
    <w:rPr>
      <w:rFonts w:ascii="Garamond" w:hAnsi="Garamond"/>
      <w:sz w:val="24"/>
      <w:lang w:eastAsia="en-US"/>
    </w:rPr>
  </w:style>
  <w:style w:type="paragraph" w:styleId="Heading1">
    <w:name w:val="heading 1"/>
    <w:next w:val="Normal"/>
    <w:link w:val="Heading1Char"/>
    <w:qFormat/>
    <w:rsid w:val="002C4796"/>
    <w:pPr>
      <w:keepNext/>
      <w:spacing w:after="240" w:line="470" w:lineRule="exact"/>
      <w:jc w:val="center"/>
      <w:outlineLvl w:val="0"/>
    </w:pPr>
    <w:rPr>
      <w:rFonts w:ascii="Arial" w:hAnsi="Arial"/>
      <w:b/>
      <w:sz w:val="36"/>
      <w:lang w:eastAsia="en-US"/>
    </w:rPr>
  </w:style>
  <w:style w:type="paragraph" w:styleId="Heading2">
    <w:name w:val="heading 2"/>
    <w:next w:val="Normal"/>
    <w:link w:val="Heading2Char"/>
    <w:qFormat/>
    <w:rsid w:val="002C4796"/>
    <w:pPr>
      <w:keepNext/>
      <w:spacing w:before="240" w:after="140" w:line="350" w:lineRule="exact"/>
      <w:outlineLvl w:val="1"/>
    </w:pPr>
    <w:rPr>
      <w:rFonts w:ascii="Arial" w:hAnsi="Arial"/>
      <w:b/>
      <w:sz w:val="28"/>
      <w:lang w:eastAsia="en-US"/>
    </w:rPr>
  </w:style>
  <w:style w:type="paragraph" w:styleId="Heading3">
    <w:name w:val="heading 3"/>
    <w:next w:val="Normal"/>
    <w:link w:val="Heading3Char"/>
    <w:qFormat/>
    <w:rsid w:val="002C4796"/>
    <w:pPr>
      <w:keepNext/>
      <w:spacing w:before="180" w:after="100" w:line="300" w:lineRule="exact"/>
      <w:outlineLvl w:val="2"/>
    </w:pPr>
    <w:rPr>
      <w:rFonts w:ascii="Arial" w:hAnsi="Arial"/>
      <w:b/>
      <w:sz w:val="24"/>
      <w:lang w:eastAsia="en-US"/>
    </w:rPr>
  </w:style>
  <w:style w:type="paragraph" w:styleId="Heading4">
    <w:name w:val="heading 4"/>
    <w:next w:val="Normal"/>
    <w:link w:val="Heading4Char"/>
    <w:qFormat/>
    <w:rsid w:val="002C4796"/>
    <w:pPr>
      <w:keepNext/>
      <w:spacing w:before="100" w:after="20" w:line="250" w:lineRule="exact"/>
      <w:outlineLvl w:val="3"/>
    </w:pPr>
    <w:rPr>
      <w:rFonts w:ascii="Arial" w:hAnsi="Arial"/>
      <w:b/>
      <w:lang w:eastAsia="en-US"/>
    </w:rPr>
  </w:style>
  <w:style w:type="paragraph" w:styleId="Heading5">
    <w:name w:val="heading 5"/>
    <w:next w:val="Normal"/>
    <w:link w:val="Heading5Char"/>
    <w:qFormat/>
    <w:rsid w:val="002C4796"/>
    <w:pPr>
      <w:keepNext/>
      <w:spacing w:before="60" w:after="20" w:line="250" w:lineRule="exact"/>
      <w:outlineLvl w:val="4"/>
    </w:pPr>
    <w:rPr>
      <w:rFonts w:ascii="Arial" w:hAnsi="Arial"/>
      <w:i/>
      <w:lang w:eastAsia="en-US"/>
    </w:rPr>
  </w:style>
  <w:style w:type="paragraph" w:styleId="Heading6">
    <w:name w:val="heading 6"/>
    <w:basedOn w:val="Normal"/>
    <w:next w:val="Normal"/>
    <w:link w:val="Heading6Char"/>
    <w:qFormat/>
    <w:rsid w:val="002C4796"/>
    <w:pPr>
      <w:keepNext/>
      <w:spacing w:before="60" w:after="20" w:line="250" w:lineRule="atLeast"/>
      <w:jc w:val="left"/>
      <w:outlineLvl w:val="5"/>
    </w:pPr>
    <w:rPr>
      <w:b/>
      <w:sz w:val="20"/>
    </w:rPr>
  </w:style>
  <w:style w:type="paragraph" w:styleId="Heading7">
    <w:name w:val="heading 7"/>
    <w:basedOn w:val="Normal"/>
    <w:next w:val="Normal"/>
    <w:link w:val="Heading7Char"/>
    <w:qFormat/>
    <w:rsid w:val="002C4796"/>
    <w:pPr>
      <w:keepNext/>
      <w:outlineLvl w:val="6"/>
    </w:pPr>
    <w:rPr>
      <w:b/>
    </w:rPr>
  </w:style>
  <w:style w:type="paragraph" w:styleId="Heading8">
    <w:name w:val="heading 8"/>
    <w:link w:val="Heading8Char"/>
    <w:qFormat/>
    <w:rsid w:val="002C4796"/>
    <w:pPr>
      <w:spacing w:after="240" w:line="260" w:lineRule="atLeast"/>
      <w:jc w:val="center"/>
      <w:outlineLvl w:val="7"/>
    </w:pPr>
    <w:rPr>
      <w:rFonts w:ascii="Arial" w:hAnsi="Arial"/>
      <w:lang w:eastAsia="en-US"/>
    </w:rPr>
  </w:style>
  <w:style w:type="paragraph" w:styleId="Heading9">
    <w:name w:val="heading 9"/>
    <w:link w:val="Heading9Char"/>
    <w:qFormat/>
    <w:rsid w:val="002C4796"/>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semiHidden/>
    <w:rsid w:val="002C4796"/>
    <w:pPr>
      <w:spacing w:before="60" w:line="260" w:lineRule="atLeast"/>
      <w:ind w:left="1440" w:firstLine="0"/>
    </w:pPr>
    <w:rPr>
      <w:b w:val="0"/>
      <w:i/>
      <w:sz w:val="20"/>
    </w:rPr>
  </w:style>
  <w:style w:type="paragraph" w:styleId="TOC3">
    <w:name w:val="toc 3"/>
    <w:basedOn w:val="TOC1"/>
    <w:uiPriority w:val="39"/>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link w:val="FooterChar"/>
    <w:rsid w:val="002C4796"/>
    <w:pPr>
      <w:jc w:val="center"/>
    </w:pPr>
    <w:rPr>
      <w:rFonts w:ascii="Arial" w:hAnsi="Arial"/>
      <w:lang w:eastAsia="en-US"/>
    </w:rPr>
  </w:style>
  <w:style w:type="paragraph" w:styleId="Header">
    <w:name w:val="header"/>
    <w:link w:val="HeaderChar"/>
    <w:rsid w:val="002C4796"/>
    <w:rPr>
      <w:lang w:eastAsia="en-US"/>
    </w:rPr>
  </w:style>
  <w:style w:type="paragraph" w:customStyle="1" w:styleId="byline">
    <w:name w:val="byline"/>
    <w:next w:val="Normal"/>
    <w:rsid w:val="002C4796"/>
    <w:pPr>
      <w:spacing w:before="240" w:after="60"/>
    </w:pPr>
    <w:rPr>
      <w:rFonts w:ascii="Arial" w:hAnsi="Arial"/>
      <w:b/>
      <w:lang w:eastAsia="en-US"/>
    </w:rPr>
  </w:style>
  <w:style w:type="paragraph" w:customStyle="1" w:styleId="figurecaption">
    <w:name w:val="figure caption"/>
    <w:next w:val="Normal"/>
    <w:rsid w:val="002C4796"/>
    <w:pPr>
      <w:spacing w:after="240" w:line="240" w:lineRule="atLeast"/>
      <w:jc w:val="center"/>
    </w:pPr>
    <w:rPr>
      <w:rFonts w:ascii="Arial" w:hAnsi="Arial"/>
      <w:sz w:val="18"/>
      <w:lang w:eastAsia="en-US"/>
    </w:rPr>
  </w:style>
  <w:style w:type="paragraph" w:customStyle="1" w:styleId="tablecaption">
    <w:name w:val="table caption"/>
    <w:next w:val="Normal"/>
    <w:rsid w:val="002C4796"/>
    <w:pPr>
      <w:keepNext/>
      <w:spacing w:before="120" w:after="120" w:line="240" w:lineRule="atLeast"/>
    </w:pPr>
    <w:rPr>
      <w:rFonts w:ascii="Arial" w:hAnsi="Arial"/>
      <w:sz w:val="18"/>
      <w:lang w:eastAsia="en-US"/>
    </w:rPr>
  </w:style>
  <w:style w:type="paragraph" w:customStyle="1" w:styleId="table1">
    <w:name w:val="table 1"/>
    <w:uiPriority w:val="2"/>
    <w:qFormat/>
    <w:rsid w:val="002C4796"/>
    <w:pPr>
      <w:spacing w:before="60" w:after="60" w:line="200" w:lineRule="atLeast"/>
    </w:pPr>
    <w:rPr>
      <w:rFonts w:ascii="Arial" w:hAnsi="Arial"/>
      <w:sz w:val="16"/>
      <w:lang w:eastAsia="en-US"/>
    </w:rPr>
  </w:style>
  <w:style w:type="paragraph" w:customStyle="1" w:styleId="table1list">
    <w:name w:val="table 1 list"/>
    <w:basedOn w:val="table1"/>
    <w:rsid w:val="002C4796"/>
    <w:pPr>
      <w:ind w:left="240" w:hanging="240"/>
    </w:pPr>
  </w:style>
  <w:style w:type="paragraph" w:customStyle="1" w:styleId="tablenote">
    <w:name w:val="table note"/>
    <w:basedOn w:val="table1"/>
    <w:uiPriority w:val="2"/>
    <w:qFormat/>
    <w:rsid w:val="002C4796"/>
    <w:pPr>
      <w:tabs>
        <w:tab w:val="left" w:pos="240"/>
      </w:tabs>
      <w:spacing w:after="180" w:line="180" w:lineRule="atLeast"/>
      <w:ind w:left="238" w:hanging="238"/>
    </w:pPr>
    <w:rPr>
      <w:sz w:val="14"/>
    </w:rPr>
  </w:style>
  <w:style w:type="paragraph" w:customStyle="1" w:styleId="bulletlist1">
    <w:name w:val="bullet list 1"/>
    <w:basedOn w:val="Normal"/>
    <w:rsid w:val="002C4796"/>
    <w:pPr>
      <w:numPr>
        <w:numId w:val="1"/>
      </w:numPr>
      <w:tabs>
        <w:tab w:val="clear" w:pos="720"/>
      </w:tabs>
      <w:ind w:left="357" w:hanging="357"/>
    </w:pPr>
  </w:style>
  <w:style w:type="paragraph" w:customStyle="1" w:styleId="4point">
    <w:name w:val="4 point #"/>
    <w:rsid w:val="002C4796"/>
    <w:rPr>
      <w:sz w:val="8"/>
      <w:lang w:eastAsia="en-US"/>
    </w:rPr>
  </w:style>
  <w:style w:type="paragraph" w:customStyle="1" w:styleId="table2">
    <w:name w:val="table 2"/>
    <w:basedOn w:val="table1"/>
    <w:rsid w:val="002C4796"/>
    <w:pPr>
      <w:spacing w:before="20" w:after="20"/>
    </w:pPr>
  </w:style>
  <w:style w:type="paragraph" w:customStyle="1" w:styleId="equation1">
    <w:name w:val="equation 1"/>
    <w:basedOn w:val="Normal"/>
    <w:rsid w:val="002C4796"/>
    <w:pPr>
      <w:tabs>
        <w:tab w:val="right" w:pos="5280"/>
      </w:tabs>
      <w:spacing w:before="40" w:after="140"/>
      <w:ind w:left="360"/>
      <w:jc w:val="left"/>
    </w:pPr>
    <w:rPr>
      <w:rFonts w:ascii="Arial" w:hAnsi="Arial"/>
      <w:sz w:val="20"/>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link w:val="FootnoteTextChar"/>
    <w:semiHidden/>
    <w:rsid w:val="002C4796"/>
    <w:pPr>
      <w:tabs>
        <w:tab w:val="left" w:pos="240"/>
      </w:tabs>
      <w:spacing w:after="80" w:line="240" w:lineRule="atLeast"/>
      <w:ind w:left="240" w:hanging="240"/>
    </w:pPr>
    <w:rPr>
      <w:sz w:val="18"/>
    </w:rPr>
  </w:style>
  <w:style w:type="paragraph" w:styleId="Bibliography">
    <w:name w:val="Bibliography"/>
    <w:basedOn w:val="Normal"/>
    <w:qFormat/>
    <w:rsid w:val="003B3E0F"/>
    <w:pPr>
      <w:ind w:left="360" w:hanging="360"/>
    </w:pPr>
    <w:rPr>
      <w:noProof/>
      <w:szCs w:val="24"/>
    </w:rPr>
  </w:style>
  <w:style w:type="paragraph" w:customStyle="1" w:styleId="address">
    <w:name w:val="address"/>
    <w:basedOn w:val="Heading4"/>
    <w:rsid w:val="002C4796"/>
    <w:pPr>
      <w:spacing w:after="800"/>
      <w:jc w:val="center"/>
    </w:pPr>
    <w:rPr>
      <w:b w:val="0"/>
    </w:rPr>
  </w:style>
  <w:style w:type="paragraph" w:customStyle="1" w:styleId="Quote1">
    <w:name w:val="Quote1"/>
    <w:basedOn w:val="Normal"/>
    <w:rsid w:val="002C4796"/>
    <w:pPr>
      <w:spacing w:line="260" w:lineRule="atLeast"/>
      <w:ind w:left="360"/>
    </w:pPr>
    <w:rPr>
      <w:sz w:val="20"/>
    </w:rPr>
  </w:style>
  <w:style w:type="paragraph" w:customStyle="1" w:styleId="bulletlist2">
    <w:name w:val="bullet list 2"/>
    <w:basedOn w:val="Normal"/>
    <w:rsid w:val="002C4796"/>
    <w:pPr>
      <w:numPr>
        <w:ilvl w:val="1"/>
        <w:numId w:val="2"/>
      </w:numPr>
      <w:ind w:left="714" w:hanging="357"/>
    </w:pPr>
  </w:style>
  <w:style w:type="paragraph" w:customStyle="1" w:styleId="landscape">
    <w:name w:val="landscape#"/>
    <w:basedOn w:val="Normal"/>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link w:val="TitleChar"/>
    <w:qFormat/>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rsid w:val="002C4796"/>
    <w:pPr>
      <w:jc w:val="center"/>
    </w:pPr>
  </w:style>
  <w:style w:type="paragraph" w:styleId="ListNumber">
    <w:name w:val="List Number"/>
    <w:basedOn w:val="Normal"/>
    <w:rsid w:val="002C4796"/>
    <w:pPr>
      <w:numPr>
        <w:numId w:val="9"/>
      </w:numPr>
    </w:pPr>
  </w:style>
  <w:style w:type="paragraph" w:customStyle="1" w:styleId="platecaption">
    <w:name w:val="plate caption"/>
    <w:basedOn w:val="figurecaption"/>
    <w:rsid w:val="002C4796"/>
  </w:style>
  <w:style w:type="paragraph" w:styleId="TOC5">
    <w:name w:val="toc 5"/>
    <w:basedOn w:val="Normal"/>
    <w:next w:val="Normal"/>
    <w:autoRedefine/>
    <w:semiHidden/>
    <w:rsid w:val="002C4796"/>
    <w:pPr>
      <w:ind w:left="880"/>
    </w:pPr>
  </w:style>
  <w:style w:type="paragraph" w:styleId="TOC6">
    <w:name w:val="toc 6"/>
    <w:basedOn w:val="Normal"/>
    <w:next w:val="Normal"/>
    <w:autoRedefine/>
    <w:semiHidden/>
    <w:rsid w:val="002C4796"/>
    <w:pPr>
      <w:ind w:left="1100"/>
    </w:pPr>
  </w:style>
  <w:style w:type="paragraph" w:styleId="TOC7">
    <w:name w:val="toc 7"/>
    <w:basedOn w:val="Normal"/>
    <w:next w:val="Normal"/>
    <w:autoRedefine/>
    <w:semiHidden/>
    <w:rsid w:val="002C4796"/>
    <w:pPr>
      <w:ind w:left="1320"/>
    </w:pPr>
  </w:style>
  <w:style w:type="paragraph" w:styleId="TOC8">
    <w:name w:val="toc 8"/>
    <w:basedOn w:val="Normal"/>
    <w:next w:val="Normal"/>
    <w:autoRedefine/>
    <w:semiHidden/>
    <w:rsid w:val="002C4796"/>
    <w:pPr>
      <w:ind w:left="1540"/>
    </w:pPr>
  </w:style>
  <w:style w:type="paragraph" w:styleId="TOC9">
    <w:name w:val="toc 9"/>
    <w:basedOn w:val="Normal"/>
    <w:next w:val="Normal"/>
    <w:autoRedefine/>
    <w:semiHidden/>
    <w:rsid w:val="002C4796"/>
    <w:pPr>
      <w:ind w:left="1760"/>
    </w:pPr>
  </w:style>
  <w:style w:type="character" w:styleId="Hyperlink">
    <w:name w:val="Hyperlink"/>
    <w:basedOn w:val="DefaultParagraphFont"/>
    <w:uiPriority w:val="99"/>
    <w:rsid w:val="002C4796"/>
    <w:rPr>
      <w:color w:val="0000FF"/>
      <w:u w:val="single"/>
    </w:rPr>
  </w:style>
  <w:style w:type="paragraph" w:styleId="CommentText">
    <w:name w:val="annotation text"/>
    <w:basedOn w:val="Normal"/>
    <w:link w:val="CommentTextChar"/>
    <w:semiHidden/>
    <w:rsid w:val="002C4796"/>
    <w:rPr>
      <w:sz w:val="20"/>
    </w:rPr>
  </w:style>
  <w:style w:type="paragraph" w:styleId="DocumentMap">
    <w:name w:val="Document Map"/>
    <w:basedOn w:val="Normal"/>
    <w:link w:val="DocumentMapChar"/>
    <w:semiHidden/>
    <w:rsid w:val="002C4796"/>
    <w:pPr>
      <w:shd w:val="clear" w:color="auto" w:fill="000080"/>
    </w:pPr>
    <w:rPr>
      <w:rFonts w:ascii="Tahoma" w:hAnsi="Tahoma" w:cs="Tahoma"/>
    </w:rPr>
  </w:style>
  <w:style w:type="paragraph" w:styleId="EndnoteText">
    <w:name w:val="endnote text"/>
    <w:basedOn w:val="Normal"/>
    <w:link w:val="EndnoteTextChar"/>
    <w:semiHidden/>
    <w:rsid w:val="002C4796"/>
    <w:rPr>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2">
    <w:name w:val="List Number 2"/>
    <w:basedOn w:val="Normal"/>
    <w:rsid w:val="002C4796"/>
    <w:pPr>
      <w:numPr>
        <w:numId w:val="10"/>
      </w:numPr>
    </w:pPr>
  </w:style>
  <w:style w:type="paragraph" w:styleId="ListNumber3">
    <w:name w:val="List Number 3"/>
    <w:basedOn w:val="Normal"/>
    <w:rsid w:val="002C4796"/>
    <w:pPr>
      <w:numPr>
        <w:numId w:val="11"/>
      </w:numPr>
    </w:pPr>
  </w:style>
  <w:style w:type="paragraph" w:styleId="ListNumber4">
    <w:name w:val="List Number 4"/>
    <w:basedOn w:val="Normal"/>
    <w:rsid w:val="002C4796"/>
    <w:pPr>
      <w:numPr>
        <w:numId w:val="12"/>
      </w:numPr>
    </w:pPr>
  </w:style>
  <w:style w:type="paragraph" w:styleId="ListNumber5">
    <w:name w:val="List Number 5"/>
    <w:basedOn w:val="Normal"/>
    <w:rsid w:val="002C4796"/>
    <w:pPr>
      <w:numPr>
        <w:numId w:val="13"/>
      </w:numPr>
    </w:pPr>
  </w:style>
  <w:style w:type="paragraph" w:styleId="MacroText">
    <w:name w:val="macro"/>
    <w:link w:val="MacroTextChar"/>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link w:val="MessageHeaderChar"/>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TableofAuthorities">
    <w:name w:val="table of authorities"/>
    <w:basedOn w:val="Normal"/>
    <w:next w:val="Normal"/>
    <w:semiHidden/>
    <w:rsid w:val="002C4796"/>
    <w:pPr>
      <w:tabs>
        <w:tab w:val="num" w:pos="360"/>
      </w:tabs>
      <w:ind w:left="360" w:hanging="360"/>
    </w:pPr>
  </w:style>
  <w:style w:type="paragraph" w:styleId="TableofFigures">
    <w:name w:val="table of figures"/>
    <w:basedOn w:val="Normal"/>
    <w:next w:val="Normal"/>
    <w:uiPriority w:val="99"/>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Cs w:val="24"/>
    </w:rPr>
  </w:style>
  <w:style w:type="character" w:styleId="CommentReference">
    <w:name w:val="annotation reference"/>
    <w:basedOn w:val="DefaultParagraphFont"/>
    <w:semiHidden/>
    <w:rsid w:val="00BC1DFC"/>
    <w:rPr>
      <w:sz w:val="16"/>
      <w:szCs w:val="16"/>
    </w:rPr>
  </w:style>
  <w:style w:type="paragraph" w:styleId="CommentSubject">
    <w:name w:val="annotation subject"/>
    <w:basedOn w:val="CommentText"/>
    <w:next w:val="CommentText"/>
    <w:link w:val="CommentSubjectChar"/>
    <w:semiHidden/>
    <w:rsid w:val="00BC1DFC"/>
    <w:rPr>
      <w:b/>
      <w:bCs/>
    </w:rPr>
  </w:style>
  <w:style w:type="paragraph" w:styleId="BalloonText">
    <w:name w:val="Balloon Text"/>
    <w:basedOn w:val="Normal"/>
    <w:link w:val="BalloonTextChar"/>
    <w:semiHidden/>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paragraph" w:customStyle="1" w:styleId="StyleCentered">
    <w:name w:val="Style Centered"/>
    <w:basedOn w:val="Normal"/>
    <w:rsid w:val="00AA64A3"/>
    <w:pPr>
      <w:jc w:val="center"/>
    </w:pPr>
  </w:style>
  <w:style w:type="paragraph" w:customStyle="1" w:styleId="referencelist1">
    <w:name w:val="reference list 1"/>
    <w:link w:val="referencelist1Char"/>
    <w:uiPriority w:val="2"/>
    <w:qFormat/>
    <w:rsid w:val="009C4082"/>
    <w:pPr>
      <w:spacing w:after="120" w:line="280" w:lineRule="atLeast"/>
      <w:ind w:left="360" w:hanging="360"/>
      <w:jc w:val="both"/>
    </w:pPr>
    <w:rPr>
      <w:rFonts w:ascii="Garamond" w:hAnsi="Garamond"/>
      <w:sz w:val="24"/>
      <w:lang w:eastAsia="en-US"/>
    </w:rPr>
  </w:style>
  <w:style w:type="character" w:customStyle="1" w:styleId="referencelist1Char">
    <w:name w:val="reference list 1 Char"/>
    <w:basedOn w:val="DefaultParagraphFont"/>
    <w:link w:val="referencelist1"/>
    <w:uiPriority w:val="2"/>
    <w:rsid w:val="009C4082"/>
    <w:rPr>
      <w:rFonts w:ascii="Garamond" w:hAnsi="Garamond"/>
      <w:sz w:val="24"/>
      <w:lang w:eastAsia="en-US"/>
    </w:rPr>
  </w:style>
  <w:style w:type="paragraph" w:styleId="ListParagraph">
    <w:name w:val="List Paragraph"/>
    <w:basedOn w:val="Normal"/>
    <w:uiPriority w:val="2"/>
    <w:qFormat/>
    <w:rsid w:val="00D37F4B"/>
    <w:pPr>
      <w:ind w:left="720"/>
      <w:contextualSpacing/>
    </w:pPr>
  </w:style>
  <w:style w:type="character" w:styleId="PlaceholderText">
    <w:name w:val="Placeholder Text"/>
    <w:basedOn w:val="DefaultParagraphFont"/>
    <w:uiPriority w:val="99"/>
    <w:semiHidden/>
    <w:rsid w:val="00B8284A"/>
    <w:rPr>
      <w:color w:val="808080"/>
    </w:rPr>
  </w:style>
  <w:style w:type="table" w:styleId="TableGrid">
    <w:name w:val="Table Grid"/>
    <w:basedOn w:val="TableNormal"/>
    <w:rsid w:val="003E03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kciteavail">
    <w:name w:val="bk_cite_avail"/>
    <w:basedOn w:val="DefaultParagraphFont"/>
    <w:rsid w:val="0077660D"/>
  </w:style>
  <w:style w:type="character" w:styleId="FollowedHyperlink">
    <w:name w:val="FollowedHyperlink"/>
    <w:basedOn w:val="DefaultParagraphFont"/>
    <w:rsid w:val="00F017AE"/>
    <w:rPr>
      <w:color w:val="800080" w:themeColor="followedHyperlink"/>
      <w:u w:val="single"/>
    </w:rPr>
  </w:style>
  <w:style w:type="paragraph" w:styleId="Subtitle">
    <w:name w:val="Subtitle"/>
    <w:basedOn w:val="Normal"/>
    <w:next w:val="Normal"/>
    <w:link w:val="SubtitleChar"/>
    <w:qFormat/>
    <w:rsid w:val="001060E9"/>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1060E9"/>
    <w:rPr>
      <w:rFonts w:asciiTheme="majorHAnsi" w:eastAsiaTheme="majorEastAsia" w:hAnsiTheme="majorHAnsi" w:cstheme="majorBidi"/>
      <w:i/>
      <w:iCs/>
      <w:color w:val="4F81BD" w:themeColor="accent1"/>
      <w:spacing w:val="15"/>
      <w:sz w:val="24"/>
      <w:szCs w:val="24"/>
      <w:lang w:eastAsia="en-US"/>
    </w:rPr>
  </w:style>
  <w:style w:type="character" w:styleId="FootnoteReference">
    <w:name w:val="footnote reference"/>
    <w:basedOn w:val="DefaultParagraphFont"/>
    <w:rsid w:val="00957FFE"/>
    <w:rPr>
      <w:vertAlign w:val="superscript"/>
    </w:rPr>
  </w:style>
  <w:style w:type="character" w:customStyle="1" w:styleId="Heading1Char">
    <w:name w:val="Heading 1 Char"/>
    <w:basedOn w:val="DefaultParagraphFont"/>
    <w:link w:val="Heading1"/>
    <w:rsid w:val="00856EAE"/>
    <w:rPr>
      <w:rFonts w:ascii="Arial" w:hAnsi="Arial"/>
      <w:b/>
      <w:sz w:val="36"/>
      <w:lang w:eastAsia="en-US"/>
    </w:rPr>
  </w:style>
  <w:style w:type="character" w:customStyle="1" w:styleId="Heading2Char">
    <w:name w:val="Heading 2 Char"/>
    <w:basedOn w:val="DefaultParagraphFont"/>
    <w:link w:val="Heading2"/>
    <w:rsid w:val="00856EAE"/>
    <w:rPr>
      <w:rFonts w:ascii="Arial" w:hAnsi="Arial"/>
      <w:b/>
      <w:sz w:val="28"/>
      <w:lang w:eastAsia="en-US"/>
    </w:rPr>
  </w:style>
  <w:style w:type="character" w:customStyle="1" w:styleId="Heading3Char">
    <w:name w:val="Heading 3 Char"/>
    <w:basedOn w:val="DefaultParagraphFont"/>
    <w:link w:val="Heading3"/>
    <w:rsid w:val="00856EAE"/>
    <w:rPr>
      <w:rFonts w:ascii="Arial" w:hAnsi="Arial"/>
      <w:b/>
      <w:sz w:val="24"/>
      <w:lang w:eastAsia="en-US"/>
    </w:rPr>
  </w:style>
  <w:style w:type="character" w:customStyle="1" w:styleId="Heading4Char">
    <w:name w:val="Heading 4 Char"/>
    <w:basedOn w:val="DefaultParagraphFont"/>
    <w:link w:val="Heading4"/>
    <w:rsid w:val="00856EAE"/>
    <w:rPr>
      <w:rFonts w:ascii="Arial" w:hAnsi="Arial"/>
      <w:b/>
      <w:lang w:eastAsia="en-US"/>
    </w:rPr>
  </w:style>
  <w:style w:type="character" w:customStyle="1" w:styleId="Heading5Char">
    <w:name w:val="Heading 5 Char"/>
    <w:basedOn w:val="DefaultParagraphFont"/>
    <w:link w:val="Heading5"/>
    <w:rsid w:val="00856EAE"/>
    <w:rPr>
      <w:rFonts w:ascii="Arial" w:hAnsi="Arial"/>
      <w:i/>
      <w:lang w:eastAsia="en-US"/>
    </w:rPr>
  </w:style>
  <w:style w:type="character" w:customStyle="1" w:styleId="Heading6Char">
    <w:name w:val="Heading 6 Char"/>
    <w:basedOn w:val="DefaultParagraphFont"/>
    <w:link w:val="Heading6"/>
    <w:rsid w:val="00856EAE"/>
    <w:rPr>
      <w:rFonts w:ascii="Garamond" w:hAnsi="Garamond"/>
      <w:b/>
      <w:lang w:eastAsia="en-US"/>
    </w:rPr>
  </w:style>
  <w:style w:type="character" w:customStyle="1" w:styleId="Heading7Char">
    <w:name w:val="Heading 7 Char"/>
    <w:basedOn w:val="DefaultParagraphFont"/>
    <w:link w:val="Heading7"/>
    <w:rsid w:val="00856EAE"/>
    <w:rPr>
      <w:rFonts w:ascii="Garamond" w:hAnsi="Garamond"/>
      <w:b/>
      <w:sz w:val="24"/>
      <w:lang w:eastAsia="en-US"/>
    </w:rPr>
  </w:style>
  <w:style w:type="character" w:customStyle="1" w:styleId="Heading8Char">
    <w:name w:val="Heading 8 Char"/>
    <w:basedOn w:val="DefaultParagraphFont"/>
    <w:link w:val="Heading8"/>
    <w:rsid w:val="00856EAE"/>
    <w:rPr>
      <w:rFonts w:ascii="Arial" w:hAnsi="Arial"/>
      <w:lang w:eastAsia="en-US"/>
    </w:rPr>
  </w:style>
  <w:style w:type="character" w:customStyle="1" w:styleId="Heading9Char">
    <w:name w:val="Heading 9 Char"/>
    <w:basedOn w:val="DefaultParagraphFont"/>
    <w:link w:val="Heading9"/>
    <w:rsid w:val="00856EAE"/>
    <w:rPr>
      <w:rFonts w:ascii="Arial" w:hAnsi="Arial"/>
      <w:lang w:eastAsia="en-US"/>
    </w:rPr>
  </w:style>
  <w:style w:type="character" w:customStyle="1" w:styleId="FooterChar">
    <w:name w:val="Footer Char"/>
    <w:basedOn w:val="DefaultParagraphFont"/>
    <w:link w:val="Footer"/>
    <w:rsid w:val="00856EAE"/>
    <w:rPr>
      <w:rFonts w:ascii="Arial" w:hAnsi="Arial"/>
      <w:lang w:eastAsia="en-US"/>
    </w:rPr>
  </w:style>
  <w:style w:type="character" w:customStyle="1" w:styleId="HeaderChar">
    <w:name w:val="Header Char"/>
    <w:basedOn w:val="DefaultParagraphFont"/>
    <w:link w:val="Header"/>
    <w:rsid w:val="00856EAE"/>
    <w:rPr>
      <w:lang w:eastAsia="en-US"/>
    </w:rPr>
  </w:style>
  <w:style w:type="character" w:customStyle="1" w:styleId="FootnoteTextChar">
    <w:name w:val="Footnote Text Char"/>
    <w:basedOn w:val="DefaultParagraphFont"/>
    <w:link w:val="FootnoteText"/>
    <w:semiHidden/>
    <w:rsid w:val="00856EAE"/>
    <w:rPr>
      <w:rFonts w:ascii="Garamond" w:hAnsi="Garamond"/>
      <w:sz w:val="18"/>
      <w:lang w:eastAsia="en-US"/>
    </w:rPr>
  </w:style>
  <w:style w:type="character" w:customStyle="1" w:styleId="TitleChar">
    <w:name w:val="Title Char"/>
    <w:basedOn w:val="DefaultParagraphFont"/>
    <w:link w:val="Title"/>
    <w:rsid w:val="00856EAE"/>
    <w:rPr>
      <w:rFonts w:ascii="Arial" w:hAnsi="Arial"/>
      <w:b/>
      <w:sz w:val="30"/>
      <w:lang w:eastAsia="en-US"/>
    </w:rPr>
  </w:style>
  <w:style w:type="character" w:customStyle="1" w:styleId="CommentTextChar">
    <w:name w:val="Comment Text Char"/>
    <w:basedOn w:val="DefaultParagraphFont"/>
    <w:link w:val="CommentText"/>
    <w:semiHidden/>
    <w:rsid w:val="00856EAE"/>
    <w:rPr>
      <w:rFonts w:ascii="Garamond" w:hAnsi="Garamond"/>
      <w:lang w:eastAsia="en-US"/>
    </w:rPr>
  </w:style>
  <w:style w:type="character" w:customStyle="1" w:styleId="DocumentMapChar">
    <w:name w:val="Document Map Char"/>
    <w:basedOn w:val="DefaultParagraphFont"/>
    <w:link w:val="DocumentMap"/>
    <w:semiHidden/>
    <w:rsid w:val="00856EAE"/>
    <w:rPr>
      <w:rFonts w:ascii="Tahoma" w:hAnsi="Tahoma" w:cs="Tahoma"/>
      <w:sz w:val="24"/>
      <w:shd w:val="clear" w:color="auto" w:fill="000080"/>
      <w:lang w:eastAsia="en-US"/>
    </w:rPr>
  </w:style>
  <w:style w:type="character" w:customStyle="1" w:styleId="EndnoteTextChar">
    <w:name w:val="Endnote Text Char"/>
    <w:basedOn w:val="DefaultParagraphFont"/>
    <w:link w:val="EndnoteText"/>
    <w:semiHidden/>
    <w:rsid w:val="00856EAE"/>
    <w:rPr>
      <w:rFonts w:ascii="Garamond" w:hAnsi="Garamond"/>
      <w:lang w:eastAsia="en-US"/>
    </w:rPr>
  </w:style>
  <w:style w:type="character" w:customStyle="1" w:styleId="MacroTextChar">
    <w:name w:val="Macro Text Char"/>
    <w:basedOn w:val="DefaultParagraphFont"/>
    <w:link w:val="MacroText"/>
    <w:semiHidden/>
    <w:rsid w:val="00856EAE"/>
    <w:rPr>
      <w:rFonts w:ascii="Courier New" w:hAnsi="Courier New" w:cs="Courier New"/>
      <w:lang w:eastAsia="en-US"/>
    </w:rPr>
  </w:style>
  <w:style w:type="character" w:customStyle="1" w:styleId="MessageHeaderChar">
    <w:name w:val="Message Header Char"/>
    <w:basedOn w:val="DefaultParagraphFont"/>
    <w:link w:val="MessageHeader"/>
    <w:rsid w:val="00856EAE"/>
    <w:rPr>
      <w:rFonts w:ascii="Arial" w:hAnsi="Arial" w:cs="Arial"/>
      <w:sz w:val="24"/>
      <w:szCs w:val="24"/>
      <w:shd w:val="pct20" w:color="auto" w:fill="auto"/>
      <w:lang w:eastAsia="en-US"/>
    </w:rPr>
  </w:style>
  <w:style w:type="character" w:customStyle="1" w:styleId="CommentSubjectChar">
    <w:name w:val="Comment Subject Char"/>
    <w:basedOn w:val="CommentTextChar"/>
    <w:link w:val="CommentSubject"/>
    <w:semiHidden/>
    <w:rsid w:val="00856EAE"/>
    <w:rPr>
      <w:rFonts w:ascii="Garamond" w:hAnsi="Garamond"/>
      <w:b/>
      <w:bCs/>
      <w:lang w:eastAsia="en-US"/>
    </w:rPr>
  </w:style>
  <w:style w:type="character" w:customStyle="1" w:styleId="BalloonTextChar">
    <w:name w:val="Balloon Text Char"/>
    <w:basedOn w:val="DefaultParagraphFont"/>
    <w:link w:val="BalloonText"/>
    <w:semiHidden/>
    <w:rsid w:val="00856EAE"/>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351759025">
      <w:bodyDiv w:val="1"/>
      <w:marLeft w:val="0"/>
      <w:marRight w:val="0"/>
      <w:marTop w:val="0"/>
      <w:marBottom w:val="0"/>
      <w:divBdr>
        <w:top w:val="none" w:sz="0" w:space="0" w:color="auto"/>
        <w:left w:val="none" w:sz="0" w:space="0" w:color="auto"/>
        <w:bottom w:val="none" w:sz="0" w:space="0" w:color="auto"/>
        <w:right w:val="none" w:sz="0" w:space="0" w:color="auto"/>
      </w:divBdr>
    </w:div>
    <w:div w:id="828593166">
      <w:bodyDiv w:val="1"/>
      <w:marLeft w:val="0"/>
      <w:marRight w:val="0"/>
      <w:marTop w:val="0"/>
      <w:marBottom w:val="0"/>
      <w:divBdr>
        <w:top w:val="none" w:sz="0" w:space="0" w:color="auto"/>
        <w:left w:val="none" w:sz="0" w:space="0" w:color="auto"/>
        <w:bottom w:val="none" w:sz="0" w:space="0" w:color="auto"/>
        <w:right w:val="none" w:sz="0" w:space="0" w:color="auto"/>
      </w:divBdr>
      <w:divsChild>
        <w:div w:id="131408963">
          <w:marLeft w:val="0"/>
          <w:marRight w:val="0"/>
          <w:marTop w:val="0"/>
          <w:marBottom w:val="0"/>
          <w:divBdr>
            <w:top w:val="single" w:sz="18" w:space="0" w:color="3E72A6"/>
            <w:left w:val="single" w:sz="18" w:space="0" w:color="3E72A6"/>
            <w:bottom w:val="single" w:sz="18" w:space="0" w:color="3E72A6"/>
            <w:right w:val="single" w:sz="18" w:space="0" w:color="3E72A6"/>
          </w:divBdr>
          <w:divsChild>
            <w:div w:id="1824808803">
              <w:marLeft w:val="0"/>
              <w:marRight w:val="0"/>
              <w:marTop w:val="0"/>
              <w:marBottom w:val="0"/>
              <w:divBdr>
                <w:top w:val="none" w:sz="0" w:space="0" w:color="auto"/>
                <w:left w:val="none" w:sz="0" w:space="0" w:color="auto"/>
                <w:bottom w:val="none" w:sz="0" w:space="0" w:color="auto"/>
                <w:right w:val="none" w:sz="0" w:space="0" w:color="auto"/>
              </w:divBdr>
              <w:divsChild>
                <w:div w:id="161536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02712">
      <w:bodyDiv w:val="1"/>
      <w:marLeft w:val="0"/>
      <w:marRight w:val="0"/>
      <w:marTop w:val="0"/>
      <w:marBottom w:val="0"/>
      <w:divBdr>
        <w:top w:val="none" w:sz="0" w:space="0" w:color="auto"/>
        <w:left w:val="none" w:sz="0" w:space="0" w:color="auto"/>
        <w:bottom w:val="none" w:sz="0" w:space="0" w:color="auto"/>
        <w:right w:val="none" w:sz="0" w:space="0" w:color="auto"/>
      </w:divBdr>
    </w:div>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2048262654">
      <w:bodyDiv w:val="1"/>
      <w:marLeft w:val="0"/>
      <w:marRight w:val="0"/>
      <w:marTop w:val="0"/>
      <w:marBottom w:val="0"/>
      <w:divBdr>
        <w:top w:val="none" w:sz="0" w:space="0" w:color="auto"/>
        <w:left w:val="none" w:sz="0" w:space="0" w:color="auto"/>
        <w:bottom w:val="none" w:sz="0" w:space="0" w:color="auto"/>
        <w:right w:val="none" w:sz="0" w:space="0" w:color="auto"/>
      </w:divBdr>
      <w:divsChild>
        <w:div w:id="1616132787">
          <w:marLeft w:val="0"/>
          <w:marRight w:val="0"/>
          <w:marTop w:val="0"/>
          <w:marBottom w:val="0"/>
          <w:divBdr>
            <w:top w:val="none" w:sz="0" w:space="0" w:color="auto"/>
            <w:left w:val="none" w:sz="0" w:space="0" w:color="auto"/>
            <w:bottom w:val="none" w:sz="0" w:space="0" w:color="auto"/>
            <w:right w:val="none" w:sz="0" w:space="0" w:color="auto"/>
          </w:divBdr>
          <w:divsChild>
            <w:div w:id="1370766883">
              <w:marLeft w:val="0"/>
              <w:marRight w:val="0"/>
              <w:marTop w:val="0"/>
              <w:marBottom w:val="0"/>
              <w:divBdr>
                <w:top w:val="none" w:sz="0" w:space="0" w:color="auto"/>
                <w:left w:val="none" w:sz="0" w:space="0" w:color="auto"/>
                <w:bottom w:val="none" w:sz="0" w:space="0" w:color="auto"/>
                <w:right w:val="none" w:sz="0" w:space="0" w:color="auto"/>
              </w:divBdr>
              <w:divsChild>
                <w:div w:id="1467117378">
                  <w:marLeft w:val="0"/>
                  <w:marRight w:val="0"/>
                  <w:marTop w:val="0"/>
                  <w:marBottom w:val="0"/>
                  <w:divBdr>
                    <w:top w:val="none" w:sz="0" w:space="0" w:color="auto"/>
                    <w:left w:val="none" w:sz="0" w:space="0" w:color="auto"/>
                    <w:bottom w:val="none" w:sz="0" w:space="0" w:color="auto"/>
                    <w:right w:val="none" w:sz="0" w:space="0" w:color="auto"/>
                  </w:divBdr>
                  <w:divsChild>
                    <w:div w:id="1513909348">
                      <w:marLeft w:val="2325"/>
                      <w:marRight w:val="0"/>
                      <w:marTop w:val="0"/>
                      <w:marBottom w:val="0"/>
                      <w:divBdr>
                        <w:top w:val="none" w:sz="0" w:space="0" w:color="auto"/>
                        <w:left w:val="none" w:sz="0" w:space="0" w:color="auto"/>
                        <w:bottom w:val="none" w:sz="0" w:space="0" w:color="auto"/>
                        <w:right w:val="none" w:sz="0" w:space="0" w:color="auto"/>
                      </w:divBdr>
                      <w:divsChild>
                        <w:div w:id="1550652313">
                          <w:marLeft w:val="0"/>
                          <w:marRight w:val="0"/>
                          <w:marTop w:val="0"/>
                          <w:marBottom w:val="0"/>
                          <w:divBdr>
                            <w:top w:val="none" w:sz="0" w:space="0" w:color="auto"/>
                            <w:left w:val="none" w:sz="0" w:space="0" w:color="auto"/>
                            <w:bottom w:val="none" w:sz="0" w:space="0" w:color="auto"/>
                            <w:right w:val="none" w:sz="0" w:space="0" w:color="auto"/>
                          </w:divBdr>
                          <w:divsChild>
                            <w:div w:id="425928919">
                              <w:marLeft w:val="0"/>
                              <w:marRight w:val="0"/>
                              <w:marTop w:val="0"/>
                              <w:marBottom w:val="0"/>
                              <w:divBdr>
                                <w:top w:val="none" w:sz="0" w:space="0" w:color="auto"/>
                                <w:left w:val="none" w:sz="0" w:space="0" w:color="auto"/>
                                <w:bottom w:val="none" w:sz="0" w:space="0" w:color="auto"/>
                                <w:right w:val="none" w:sz="0" w:space="0" w:color="auto"/>
                              </w:divBdr>
                              <w:divsChild>
                                <w:div w:id="1947686992">
                                  <w:marLeft w:val="1"/>
                                  <w:marRight w:val="1"/>
                                  <w:marTop w:val="0"/>
                                  <w:marBottom w:val="0"/>
                                  <w:divBdr>
                                    <w:top w:val="none" w:sz="0" w:space="0" w:color="auto"/>
                                    <w:left w:val="none" w:sz="0" w:space="0" w:color="auto"/>
                                    <w:bottom w:val="none" w:sz="0" w:space="0" w:color="auto"/>
                                    <w:right w:val="none" w:sz="0" w:space="0" w:color="auto"/>
                                  </w:divBdr>
                                  <w:divsChild>
                                    <w:div w:id="161433251">
                                      <w:marLeft w:val="0"/>
                                      <w:marRight w:val="0"/>
                                      <w:marTop w:val="0"/>
                                      <w:marBottom w:val="0"/>
                                      <w:divBdr>
                                        <w:top w:val="none" w:sz="0" w:space="0" w:color="auto"/>
                                        <w:left w:val="none" w:sz="0" w:space="0" w:color="auto"/>
                                        <w:bottom w:val="none" w:sz="0" w:space="0" w:color="auto"/>
                                        <w:right w:val="none" w:sz="0" w:space="0" w:color="auto"/>
                                      </w:divBdr>
                                      <w:divsChild>
                                        <w:div w:id="420032325">
                                          <w:marLeft w:val="0"/>
                                          <w:marRight w:val="0"/>
                                          <w:marTop w:val="0"/>
                                          <w:marBottom w:val="0"/>
                                          <w:divBdr>
                                            <w:top w:val="none" w:sz="0" w:space="0" w:color="auto"/>
                                            <w:left w:val="none" w:sz="0" w:space="0" w:color="auto"/>
                                            <w:bottom w:val="none" w:sz="0" w:space="0" w:color="auto"/>
                                            <w:right w:val="none" w:sz="0" w:space="0" w:color="auto"/>
                                          </w:divBdr>
                                          <w:divsChild>
                                            <w:div w:id="107165630">
                                              <w:marLeft w:val="0"/>
                                              <w:marRight w:val="0"/>
                                              <w:marTop w:val="0"/>
                                              <w:marBottom w:val="0"/>
                                              <w:divBdr>
                                                <w:top w:val="none" w:sz="0" w:space="0" w:color="auto"/>
                                                <w:left w:val="none" w:sz="0" w:space="0" w:color="auto"/>
                                                <w:bottom w:val="none" w:sz="0" w:space="0" w:color="auto"/>
                                                <w:right w:val="none" w:sz="0" w:space="0" w:color="auto"/>
                                              </w:divBdr>
                                              <w:divsChild>
                                                <w:div w:id="443504379">
                                                  <w:marLeft w:val="0"/>
                                                  <w:marRight w:val="0"/>
                                                  <w:marTop w:val="0"/>
                                                  <w:marBottom w:val="0"/>
                                                  <w:divBdr>
                                                    <w:top w:val="none" w:sz="0" w:space="0" w:color="auto"/>
                                                    <w:left w:val="none" w:sz="0" w:space="0" w:color="auto"/>
                                                    <w:bottom w:val="none" w:sz="0" w:space="0" w:color="auto"/>
                                                    <w:right w:val="none" w:sz="0" w:space="0" w:color="auto"/>
                                                  </w:divBdr>
                                                  <w:divsChild>
                                                    <w:div w:id="20412007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2221814">
                                                          <w:marLeft w:val="0"/>
                                                          <w:marRight w:val="0"/>
                                                          <w:marTop w:val="0"/>
                                                          <w:marBottom w:val="0"/>
                                                          <w:divBdr>
                                                            <w:top w:val="none" w:sz="0" w:space="0" w:color="auto"/>
                                                            <w:left w:val="none" w:sz="0" w:space="0" w:color="auto"/>
                                                            <w:bottom w:val="none" w:sz="0" w:space="0" w:color="auto"/>
                                                            <w:right w:val="none" w:sz="0" w:space="0" w:color="auto"/>
                                                          </w:divBdr>
                                                        </w:div>
                                                        <w:div w:id="787310314">
                                                          <w:marLeft w:val="0"/>
                                                          <w:marRight w:val="0"/>
                                                          <w:marTop w:val="0"/>
                                                          <w:marBottom w:val="0"/>
                                                          <w:divBdr>
                                                            <w:top w:val="none" w:sz="0" w:space="0" w:color="auto"/>
                                                            <w:left w:val="none" w:sz="0" w:space="0" w:color="auto"/>
                                                            <w:bottom w:val="none" w:sz="0" w:space="0" w:color="auto"/>
                                                            <w:right w:val="none" w:sz="0" w:space="0" w:color="auto"/>
                                                          </w:divBdr>
                                                        </w:div>
                                                        <w:div w:id="13261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8525861">
      <w:bodyDiv w:val="1"/>
      <w:marLeft w:val="0"/>
      <w:marRight w:val="0"/>
      <w:marTop w:val="0"/>
      <w:marBottom w:val="0"/>
      <w:divBdr>
        <w:top w:val="none" w:sz="0" w:space="0" w:color="auto"/>
        <w:left w:val="none" w:sz="0" w:space="0" w:color="auto"/>
        <w:bottom w:val="none" w:sz="0" w:space="0" w:color="auto"/>
        <w:right w:val="none" w:sz="0" w:space="0" w:color="auto"/>
      </w:divBdr>
      <w:divsChild>
        <w:div w:id="83692735">
          <w:marLeft w:val="0"/>
          <w:marRight w:val="0"/>
          <w:marTop w:val="0"/>
          <w:marBottom w:val="0"/>
          <w:divBdr>
            <w:top w:val="none" w:sz="0" w:space="0" w:color="auto"/>
            <w:left w:val="none" w:sz="0" w:space="0" w:color="auto"/>
            <w:bottom w:val="none" w:sz="0" w:space="0" w:color="auto"/>
            <w:right w:val="none" w:sz="0" w:space="0" w:color="auto"/>
          </w:divBdr>
          <w:divsChild>
            <w:div w:id="864364847">
              <w:marLeft w:val="0"/>
              <w:marRight w:val="0"/>
              <w:marTop w:val="375"/>
              <w:marBottom w:val="600"/>
              <w:divBdr>
                <w:top w:val="none" w:sz="0" w:space="0" w:color="auto"/>
                <w:left w:val="none" w:sz="0" w:space="0" w:color="auto"/>
                <w:bottom w:val="none" w:sz="0" w:space="0" w:color="auto"/>
                <w:right w:val="none" w:sz="0" w:space="0" w:color="auto"/>
              </w:divBdr>
              <w:divsChild>
                <w:div w:id="412898785">
                  <w:marLeft w:val="0"/>
                  <w:marRight w:val="0"/>
                  <w:marTop w:val="0"/>
                  <w:marBottom w:val="45"/>
                  <w:divBdr>
                    <w:top w:val="none" w:sz="0" w:space="0" w:color="auto"/>
                    <w:left w:val="none" w:sz="0" w:space="0" w:color="auto"/>
                    <w:bottom w:val="none" w:sz="0" w:space="0" w:color="auto"/>
                    <w:right w:val="none" w:sz="0" w:space="0" w:color="auto"/>
                  </w:divBdr>
                  <w:divsChild>
                    <w:div w:id="1976445702">
                      <w:marLeft w:val="0"/>
                      <w:marRight w:val="0"/>
                      <w:marTop w:val="0"/>
                      <w:marBottom w:val="0"/>
                      <w:divBdr>
                        <w:top w:val="none" w:sz="0" w:space="0" w:color="auto"/>
                        <w:left w:val="none" w:sz="0" w:space="0" w:color="auto"/>
                        <w:bottom w:val="none" w:sz="0" w:space="0" w:color="auto"/>
                        <w:right w:val="none" w:sz="0" w:space="0" w:color="auto"/>
                      </w:divBdr>
                      <w:divsChild>
                        <w:div w:id="1680623557">
                          <w:marLeft w:val="0"/>
                          <w:marRight w:val="0"/>
                          <w:marTop w:val="270"/>
                          <w:marBottom w:val="0"/>
                          <w:divBdr>
                            <w:top w:val="none" w:sz="0" w:space="0" w:color="auto"/>
                            <w:left w:val="none" w:sz="0" w:space="0" w:color="auto"/>
                            <w:bottom w:val="none" w:sz="0" w:space="0" w:color="auto"/>
                            <w:right w:val="none" w:sz="0" w:space="0" w:color="auto"/>
                          </w:divBdr>
                          <w:divsChild>
                            <w:div w:id="58720409">
                              <w:marLeft w:val="0"/>
                              <w:marRight w:val="0"/>
                              <w:marTop w:val="0"/>
                              <w:marBottom w:val="0"/>
                              <w:divBdr>
                                <w:top w:val="none" w:sz="0" w:space="0" w:color="auto"/>
                                <w:left w:val="none" w:sz="0" w:space="0" w:color="auto"/>
                                <w:bottom w:val="none" w:sz="0" w:space="0" w:color="auto"/>
                                <w:right w:val="none" w:sz="0" w:space="0" w:color="auto"/>
                              </w:divBdr>
                              <w:divsChild>
                                <w:div w:id="922565413">
                                  <w:marLeft w:val="0"/>
                                  <w:marRight w:val="0"/>
                                  <w:marTop w:val="0"/>
                                  <w:marBottom w:val="0"/>
                                  <w:divBdr>
                                    <w:top w:val="none" w:sz="0" w:space="0" w:color="auto"/>
                                    <w:left w:val="none" w:sz="0" w:space="0" w:color="auto"/>
                                    <w:bottom w:val="none" w:sz="0" w:space="0" w:color="auto"/>
                                    <w:right w:val="none" w:sz="0" w:space="0" w:color="auto"/>
                                  </w:divBdr>
                                </w:div>
                                <w:div w:id="631255280">
                                  <w:marLeft w:val="0"/>
                                  <w:marRight w:val="0"/>
                                  <w:marTop w:val="0"/>
                                  <w:marBottom w:val="0"/>
                                  <w:divBdr>
                                    <w:top w:val="none" w:sz="0" w:space="0" w:color="auto"/>
                                    <w:left w:val="none" w:sz="0" w:space="0" w:color="auto"/>
                                    <w:bottom w:val="none" w:sz="0" w:space="0" w:color="auto"/>
                                    <w:right w:val="none" w:sz="0" w:space="0" w:color="auto"/>
                                  </w:divBdr>
                                  <w:divsChild>
                                    <w:div w:id="40045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hyperlink" Target="http://www.bom.gov.au/climate/averages/tables/cw_014198.shtml" TargetMode="External"/><Relationship Id="rId47" Type="http://schemas.openxmlformats.org/officeDocument/2006/relationships/header" Target="header3.xml"/><Relationship Id="rId50" Type="http://schemas.openxmlformats.org/officeDocument/2006/relationships/theme" Target="theme/theme1.xml"/><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hyperlink" Target="http://www.arpansa.gov.au/pubs/rps/rpsF-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hyperlink" Target="http://www.arpansa.gov.au/pubs/rps/rps6.pdf" TargetMode="Externa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hyperlink" Target="http://www.ncbi.nlm.nih.gov/books/NBK218126/" TargetMode="External"/><Relationship Id="rId48" Type="http://schemas.openxmlformats.org/officeDocument/2006/relationships/footer" Target="footer7.xml"/><Relationship Id="rId56" Type="http://schemas.microsoft.com/office/2011/relationships/commentsExtended" Target="commentsExtended.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554998-9367-48AE-9EA4-E80C06E58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9873</Words>
  <Characters>56280</Characters>
  <Application>Microsoft Office Word</Application>
  <DocSecurity>0</DocSecurity>
  <Lines>469</Lines>
  <Paragraphs>132</Paragraphs>
  <ScaleCrop>false</ScaleCrop>
  <LinksUpToDate>false</LinksUpToDate>
  <CharactersWithSpaces>66021</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revised operational limit for the water 226Ra activity concentration downstream of Ranger mine</dc:title>
  <dc:creator/>
  <cp:lastModifiedBy/>
  <cp:revision>1</cp:revision>
  <dcterms:created xsi:type="dcterms:W3CDTF">2016-03-16T00:09:00Z</dcterms:created>
  <dcterms:modified xsi:type="dcterms:W3CDTF">2016-03-16T00:09:00Z</dcterms:modified>
</cp:coreProperties>
</file>