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672D" w14:textId="31E42A43" w:rsidR="00B84AE9" w:rsidRDefault="00E508BE" w:rsidP="00B84AE9">
      <w:pPr>
        <w:pStyle w:val="Subtitle"/>
        <w:rPr>
          <w:b/>
          <w:sz w:val="52"/>
          <w:szCs w:val="28"/>
        </w:rPr>
      </w:pPr>
      <w:r>
        <w:rPr>
          <w:b/>
          <w:sz w:val="52"/>
          <w:szCs w:val="28"/>
        </w:rPr>
        <w:t>Australian summer stone fruit export snapshot</w:t>
      </w:r>
      <w:r w:rsidR="00E51D6E">
        <w:rPr>
          <w:b/>
          <w:sz w:val="52"/>
          <w:szCs w:val="28"/>
        </w:rPr>
        <w:t xml:space="preserve"> - </w:t>
      </w:r>
      <w:r>
        <w:rPr>
          <w:b/>
          <w:sz w:val="52"/>
          <w:szCs w:val="28"/>
        </w:rPr>
        <w:t>January</w:t>
      </w:r>
      <w:r w:rsidR="00B84AE9" w:rsidRPr="00B84AE9">
        <w:rPr>
          <w:b/>
          <w:sz w:val="52"/>
          <w:szCs w:val="28"/>
        </w:rPr>
        <w:t xml:space="preserve"> 202</w:t>
      </w:r>
      <w:r>
        <w:rPr>
          <w:b/>
          <w:sz w:val="52"/>
          <w:szCs w:val="28"/>
        </w:rPr>
        <w:t>2</w:t>
      </w:r>
    </w:p>
    <w:p w14:paraId="63FBC51A" w14:textId="0CFCF6C1" w:rsidR="00B84AE9" w:rsidRDefault="00E508BE" w:rsidP="00BA7B9C">
      <w:r w:rsidRPr="00E508BE">
        <w:t>Favourable seasonal conditions in south-eastern Australia and constrained global supply will support Australian stone fruit exports this summer. Disruptions to logistic networks, including high costs and delays, are the main challenge for exporters</w:t>
      </w:r>
      <w:r w:rsidR="00B84AE9" w:rsidRPr="00B84AE9">
        <w:t>.</w:t>
      </w:r>
    </w:p>
    <w:p w14:paraId="7697F9F7" w14:textId="09EAE0E1" w:rsidR="00B84AE9" w:rsidRPr="00B84AE9" w:rsidRDefault="00E508BE" w:rsidP="00B84AE9">
      <w:pPr>
        <w:pStyle w:val="Heading2"/>
        <w:numPr>
          <w:ilvl w:val="0"/>
          <w:numId w:val="0"/>
        </w:numPr>
        <w:ind w:left="720" w:hanging="720"/>
      </w:pPr>
      <w:r w:rsidRPr="00E508BE">
        <w:t>Australian summer stone fruit export overview</w:t>
      </w:r>
    </w:p>
    <w:p w14:paraId="01A9C496" w14:textId="77777777" w:rsidR="00E508BE" w:rsidRDefault="00E508BE" w:rsidP="00BA7B9C">
      <w:pPr>
        <w:pStyle w:val="ListNumber"/>
      </w:pPr>
      <w:r>
        <w:t xml:space="preserve">Summer is the key harvesting and exporting time for fresh Australian cherries, nectarines, </w:t>
      </w:r>
      <w:proofErr w:type="gramStart"/>
      <w:r>
        <w:t>peaches</w:t>
      </w:r>
      <w:proofErr w:type="gramEnd"/>
      <w:r>
        <w:t xml:space="preserve"> and plums (stone fruit).</w:t>
      </w:r>
    </w:p>
    <w:p w14:paraId="68E7571A" w14:textId="30678AB5" w:rsidR="00E508BE" w:rsidRDefault="00E508BE" w:rsidP="00BA7B9C">
      <w:pPr>
        <w:pStyle w:val="ListNumber2"/>
      </w:pPr>
      <w:r>
        <w:t xml:space="preserve">Collectively, 84% of exports for these four stone fruit varieties occur between December and February (Figure 1). </w:t>
      </w:r>
    </w:p>
    <w:p w14:paraId="0E056B86" w14:textId="77777777" w:rsidR="00E508BE" w:rsidRDefault="00E508BE" w:rsidP="00BA7B9C">
      <w:pPr>
        <w:pStyle w:val="ListNumber"/>
      </w:pPr>
      <w:r>
        <w:t xml:space="preserve">Most of Australia’s stone fruit exports are grown in New South Wales, </w:t>
      </w:r>
      <w:proofErr w:type="gramStart"/>
      <w:r>
        <w:t>Victoria</w:t>
      </w:r>
      <w:proofErr w:type="gramEnd"/>
      <w:r>
        <w:t xml:space="preserve"> and Tasmania. </w:t>
      </w:r>
    </w:p>
    <w:p w14:paraId="00FAA1EA" w14:textId="77777777" w:rsidR="00E508BE" w:rsidRDefault="00E508BE" w:rsidP="00BA7B9C">
      <w:pPr>
        <w:pStyle w:val="ListNumber"/>
      </w:pPr>
      <w:r>
        <w:t xml:space="preserve">The value of Australian stone fruit exports grew strongly in the years leading up to 2018-19 and have been steady over the last three years. </w:t>
      </w:r>
    </w:p>
    <w:p w14:paraId="2A224442" w14:textId="68FF131C" w:rsidR="00E508BE" w:rsidRDefault="00E508BE" w:rsidP="00BA7B9C">
      <w:pPr>
        <w:pStyle w:val="ListNumber"/>
      </w:pPr>
      <w:r>
        <w:t>China is the key market for most stone fruit exports. Other Asian markets, including Hong Kong, Singapore and Vietnam are also important (Figure 2).</w:t>
      </w:r>
    </w:p>
    <w:p w14:paraId="6B3F7DB1" w14:textId="6CA38860" w:rsidR="00E508BE" w:rsidRDefault="00E508BE" w:rsidP="00BA7B9C">
      <w:pPr>
        <w:pStyle w:val="ListNumber"/>
      </w:pPr>
      <w:r>
        <w:t>Australia produces summer fruit during Northern Hemisphere winter. This supports demand for Australian fruit in international markets.</w:t>
      </w:r>
    </w:p>
    <w:p w14:paraId="0D1E7781" w14:textId="492270E3" w:rsidR="00E508BE" w:rsidRDefault="00E508BE" w:rsidP="00E508BE">
      <w:pPr>
        <w:pStyle w:val="Caption"/>
      </w:pPr>
      <w:r>
        <w:t xml:space="preserve">Figure </w:t>
      </w:r>
      <w:r w:rsidR="00BA7B9C">
        <w:fldChar w:fldCharType="begin"/>
      </w:r>
      <w:r w:rsidR="00BA7B9C">
        <w:instrText xml:space="preserve"> SEQ Figure \* ARABIC </w:instrText>
      </w:r>
      <w:r w:rsidR="00BA7B9C">
        <w:fldChar w:fldCharType="separate"/>
      </w:r>
      <w:r>
        <w:rPr>
          <w:noProof/>
        </w:rPr>
        <w:t>1</w:t>
      </w:r>
      <w:r w:rsidR="00BA7B9C">
        <w:rPr>
          <w:noProof/>
        </w:rPr>
        <w:fldChar w:fldCharType="end"/>
      </w:r>
      <w:r>
        <w:t xml:space="preserve"> - Australian stone fruit export value by season</w:t>
      </w:r>
    </w:p>
    <w:p w14:paraId="60BEE8FF" w14:textId="495190ED" w:rsidR="00E508BE" w:rsidRDefault="00E508BE" w:rsidP="00E508BE">
      <w:pPr>
        <w:pStyle w:val="ListBullet"/>
        <w:numPr>
          <w:ilvl w:val="0"/>
          <w:numId w:val="0"/>
        </w:numPr>
        <w:ind w:left="425"/>
      </w:pPr>
      <w:r>
        <w:rPr>
          <w:noProof/>
        </w:rPr>
        <w:drawing>
          <wp:inline distT="0" distB="0" distL="0" distR="0" wp14:anchorId="13F2670F" wp14:editId="1FD819F3">
            <wp:extent cx="4620895" cy="1682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1C5AB" w14:textId="539FDE9A" w:rsidR="00E508BE" w:rsidRDefault="00E508BE" w:rsidP="00E508BE">
      <w:pPr>
        <w:pStyle w:val="Caption"/>
      </w:pPr>
      <w:r>
        <w:lastRenderedPageBreak/>
        <w:t xml:space="preserve">Figure </w:t>
      </w:r>
      <w:r w:rsidR="00BA7B9C">
        <w:fldChar w:fldCharType="begin"/>
      </w:r>
      <w:r w:rsidR="00BA7B9C">
        <w:instrText xml:space="preserve"> SEQ Figure \* ARABIC </w:instrText>
      </w:r>
      <w:r w:rsidR="00BA7B9C">
        <w:fldChar w:fldCharType="separate"/>
      </w:r>
      <w:r>
        <w:rPr>
          <w:noProof/>
        </w:rPr>
        <w:t>2</w:t>
      </w:r>
      <w:r w:rsidR="00BA7B9C">
        <w:rPr>
          <w:noProof/>
        </w:rPr>
        <w:fldChar w:fldCharType="end"/>
      </w:r>
      <w:r>
        <w:t xml:space="preserve"> - Australian summer stone fruit exports by country</w:t>
      </w:r>
    </w:p>
    <w:p w14:paraId="0418FCB5" w14:textId="58B3B892" w:rsidR="00BA4D93" w:rsidRPr="00BA4D93" w:rsidRDefault="00E508BE" w:rsidP="00BA4D93">
      <w:r>
        <w:rPr>
          <w:noProof/>
        </w:rPr>
        <w:drawing>
          <wp:inline distT="0" distB="0" distL="0" distR="0" wp14:anchorId="1B55CA6E" wp14:editId="2BC1D25A">
            <wp:extent cx="5370830" cy="19386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A79D7" w14:textId="7D8D63BC" w:rsidR="00BA4D93" w:rsidRPr="00BA4D93" w:rsidRDefault="00E508BE" w:rsidP="00BA4D93">
      <w:pPr>
        <w:pStyle w:val="Heading2"/>
        <w:numPr>
          <w:ilvl w:val="0"/>
          <w:numId w:val="0"/>
        </w:numPr>
        <w:ind w:left="720" w:hanging="720"/>
      </w:pPr>
      <w:r>
        <w:t>Outlook for summer 2021-22</w:t>
      </w:r>
    </w:p>
    <w:p w14:paraId="17E0B0F2" w14:textId="77777777" w:rsidR="00E508BE" w:rsidRDefault="00E508BE" w:rsidP="00BA7B9C">
      <w:pPr>
        <w:pStyle w:val="ListNumber"/>
      </w:pPr>
      <w:r>
        <w:t>Generally favourable seasonal conditions in south-eastern Australia should support average to good production for the 2021-22 season. Untimely rain and storms can have a substantial impact on crop size and fruit quality, which means actual production outcomes can vary right up until harvest.</w:t>
      </w:r>
    </w:p>
    <w:p w14:paraId="21F0F853" w14:textId="508C5D54" w:rsidR="00E508BE" w:rsidRDefault="00E508BE" w:rsidP="00BA7B9C">
      <w:pPr>
        <w:pStyle w:val="ListNumber"/>
      </w:pPr>
      <w:r>
        <w:t xml:space="preserve">Chile is Australia’s major global competitor for stone fruit during December-February. Drought may slightly reduce Chilean stone fruit production; however, export volumes are unlikely to be affected. As a result, global prices in 2021-22 are likely to be </w:t>
      </w:r>
      <w:proofErr w:type="gramStart"/>
      <w:r>
        <w:t>similar to</w:t>
      </w:r>
      <w:proofErr w:type="gramEnd"/>
      <w:r>
        <w:t xml:space="preserve"> 2020-21.</w:t>
      </w:r>
    </w:p>
    <w:p w14:paraId="34735BC6" w14:textId="77777777" w:rsidR="00E508BE" w:rsidRDefault="00E508BE" w:rsidP="00BA7B9C">
      <w:pPr>
        <w:pStyle w:val="ListNumber"/>
      </w:pPr>
      <w:r>
        <w:t>Logistics are the major challenge for stone fruit exporters in 2021-22. Airfreight availability remains limited, and transport costs are elevated. Even short delays at ports have the potential to cause spoilage.</w:t>
      </w:r>
    </w:p>
    <w:p w14:paraId="7F19D493" w14:textId="5402429C" w:rsidR="000B589C" w:rsidRPr="00BA4D93" w:rsidRDefault="00E508BE" w:rsidP="00BA7B9C">
      <w:pPr>
        <w:pStyle w:val="ListNumber"/>
      </w:pPr>
      <w:r>
        <w:t>Horticulture producers are likely to continue to face workforce challenges in 2021–22. This will increase costs for stone fruit producers.</w:t>
      </w:r>
    </w:p>
    <w:sectPr w:rsidR="000B589C" w:rsidRPr="00BA4D93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6771" w14:textId="77777777" w:rsidR="002A193C" w:rsidRDefault="002A193C">
      <w:r>
        <w:separator/>
      </w:r>
    </w:p>
    <w:p w14:paraId="2E014A85" w14:textId="77777777" w:rsidR="002A193C" w:rsidRDefault="002A193C"/>
    <w:p w14:paraId="02949C86" w14:textId="77777777" w:rsidR="002A193C" w:rsidRDefault="002A193C"/>
  </w:endnote>
  <w:endnote w:type="continuationSeparator" w:id="0">
    <w:p w14:paraId="73F6662E" w14:textId="77777777" w:rsidR="002A193C" w:rsidRDefault="002A193C">
      <w:r>
        <w:continuationSeparator/>
      </w:r>
    </w:p>
    <w:p w14:paraId="4EBAE07B" w14:textId="77777777" w:rsidR="002A193C" w:rsidRDefault="002A193C"/>
    <w:p w14:paraId="7242AC91" w14:textId="77777777" w:rsidR="002A193C" w:rsidRDefault="002A193C"/>
  </w:endnote>
  <w:endnote w:type="continuationNotice" w:id="1">
    <w:p w14:paraId="5F6A222E" w14:textId="77777777" w:rsidR="002A193C" w:rsidRDefault="002A193C">
      <w:pPr>
        <w:pStyle w:val="Footer"/>
      </w:pPr>
    </w:p>
    <w:p w14:paraId="05AE212C" w14:textId="77777777" w:rsidR="002A193C" w:rsidRDefault="002A193C"/>
    <w:p w14:paraId="043B5307" w14:textId="77777777" w:rsidR="002A193C" w:rsidRDefault="002A19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7207" w14:textId="4FEE5583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041055DB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ADDA5" w14:textId="7D5A5EAC" w:rsidR="002A193C" w:rsidRDefault="002A193C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48B5E446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D0F1C" w14:textId="77777777" w:rsidR="002A193C" w:rsidRDefault="002A193C">
      <w:r>
        <w:separator/>
      </w:r>
    </w:p>
    <w:p w14:paraId="60F959B2" w14:textId="77777777" w:rsidR="002A193C" w:rsidRDefault="002A193C"/>
    <w:p w14:paraId="58F2E82A" w14:textId="77777777" w:rsidR="002A193C" w:rsidRDefault="002A193C"/>
  </w:footnote>
  <w:footnote w:type="continuationSeparator" w:id="0">
    <w:p w14:paraId="0F4C09AF" w14:textId="77777777" w:rsidR="002A193C" w:rsidRDefault="002A193C">
      <w:r>
        <w:continuationSeparator/>
      </w:r>
    </w:p>
    <w:p w14:paraId="731C3F89" w14:textId="77777777" w:rsidR="002A193C" w:rsidRDefault="002A193C"/>
    <w:p w14:paraId="1DBE571E" w14:textId="77777777" w:rsidR="002A193C" w:rsidRDefault="002A193C"/>
  </w:footnote>
  <w:footnote w:type="continuationNotice" w:id="1">
    <w:p w14:paraId="4B398218" w14:textId="77777777" w:rsidR="002A193C" w:rsidRDefault="002A193C">
      <w:pPr>
        <w:pStyle w:val="Footer"/>
      </w:pPr>
    </w:p>
    <w:p w14:paraId="7840A882" w14:textId="77777777" w:rsidR="002A193C" w:rsidRDefault="002A193C"/>
    <w:p w14:paraId="638D829A" w14:textId="77777777" w:rsidR="002A193C" w:rsidRDefault="002A19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E21C" w14:textId="754CDCC1" w:rsidR="002A193C" w:rsidRDefault="002A1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4FCD" w14:textId="20BDC37D" w:rsidR="002A193C" w:rsidRDefault="002A193C">
    <w:pPr>
      <w:pStyle w:val="Header"/>
    </w:pPr>
    <w:r>
      <w:t>Our food future: trends and opportunities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35D6" w14:textId="2CA29C24" w:rsidR="002A193C" w:rsidRDefault="002A193C">
    <w:pPr>
      <w:pStyle w:val="Header"/>
      <w:jc w:val="left"/>
    </w:pPr>
    <w:r>
      <w:rPr>
        <w:noProof/>
        <w:lang w:eastAsia="en-AU"/>
      </w:rPr>
      <w:drawing>
        <wp:inline distT="0" distB="0" distL="0" distR="0" wp14:anchorId="5BBE5CE1" wp14:editId="2B9A98F8">
          <wp:extent cx="2123264" cy="637247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7"/>
  </w:num>
  <w:num w:numId="3">
    <w:abstractNumId w:val="18"/>
  </w:num>
  <w:num w:numId="4">
    <w:abstractNumId w:val="10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5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4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22"/>
  </w:num>
  <w:num w:numId="30">
    <w:abstractNumId w:val="9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EF"/>
    <w:rsid w:val="000B589C"/>
    <w:rsid w:val="001567E9"/>
    <w:rsid w:val="001D77BC"/>
    <w:rsid w:val="00262394"/>
    <w:rsid w:val="002A193C"/>
    <w:rsid w:val="00396339"/>
    <w:rsid w:val="003A4B4A"/>
    <w:rsid w:val="00486C20"/>
    <w:rsid w:val="004E31E9"/>
    <w:rsid w:val="005F0E4D"/>
    <w:rsid w:val="00623CFB"/>
    <w:rsid w:val="006F284E"/>
    <w:rsid w:val="007405CB"/>
    <w:rsid w:val="007C5B94"/>
    <w:rsid w:val="0082249A"/>
    <w:rsid w:val="00833933"/>
    <w:rsid w:val="008A3190"/>
    <w:rsid w:val="008A58E2"/>
    <w:rsid w:val="00AA6DA3"/>
    <w:rsid w:val="00AA70E3"/>
    <w:rsid w:val="00AB0FBE"/>
    <w:rsid w:val="00AF5211"/>
    <w:rsid w:val="00B01FB8"/>
    <w:rsid w:val="00B84AE9"/>
    <w:rsid w:val="00BA4D93"/>
    <w:rsid w:val="00BA7B9C"/>
    <w:rsid w:val="00D06356"/>
    <w:rsid w:val="00D45274"/>
    <w:rsid w:val="00D45E0E"/>
    <w:rsid w:val="00D666DC"/>
    <w:rsid w:val="00E362EF"/>
    <w:rsid w:val="00E508BE"/>
    <w:rsid w:val="00E51D6E"/>
    <w:rsid w:val="00E732BE"/>
    <w:rsid w:val="00FB088E"/>
    <w:rsid w:val="00FD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62E972"/>
  <w15:docId w15:val="{2B1492BF-BB26-482F-8BA9-D03363EC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Publications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schemas.microsoft.com/office/2006/documentManagement/types"/>
    <ds:schemaRef ds:uri="http://schemas.microsoft.com/office/infopath/2007/PartnerControls"/>
    <ds:schemaRef ds:uri="7cf0e0db-f490-4122-abae-21917392c748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ACBABF-023F-4C83-81E1-12EB05C1FF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333</Words>
  <Characters>1900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Cotton Placemat</vt:lpstr>
    </vt:vector>
  </TitlesOfParts>
  <Company/>
  <LinksUpToDate>false</LinksUpToDate>
  <CharactersWithSpaces>2229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Summer stone fruit export snapshot</dc:title>
  <dc:creator>Department of Agriculture, Water and the Environment</dc:creator>
  <cp:lastPrinted>2019-02-13T02:42:00Z</cp:lastPrinted>
  <dcterms:created xsi:type="dcterms:W3CDTF">2021-12-20T23:58:00Z</dcterms:created>
  <dcterms:modified xsi:type="dcterms:W3CDTF">2021-12-22T23:52:00Z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