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89CF" w14:textId="4A6F6462" w:rsidR="001025F5" w:rsidRDefault="00E7524F" w:rsidP="00D35212">
      <w:pPr>
        <w:pStyle w:val="Heading1"/>
      </w:pPr>
      <w:r>
        <w:t xml:space="preserve">Australian </w:t>
      </w:r>
      <w:r w:rsidR="00423C9C" w:rsidRPr="00D35212">
        <w:t>Government</w:t>
      </w:r>
      <w:r w:rsidR="00423C9C">
        <w:t xml:space="preserve"> and</w:t>
      </w:r>
      <w:r>
        <w:t xml:space="preserve"> </w:t>
      </w:r>
      <w:r w:rsidR="00675A57">
        <w:t>Meat I</w:t>
      </w:r>
      <w:r>
        <w:t xml:space="preserve">ndustry </w:t>
      </w:r>
    </w:p>
    <w:p w14:paraId="5B03FD0D" w14:textId="21EA6AF5" w:rsidR="0028277B" w:rsidRDefault="00E7524F" w:rsidP="00D35212">
      <w:pPr>
        <w:pStyle w:val="Heading1"/>
      </w:pPr>
      <w:r>
        <w:t>Joint Statement on Workplace Culture</w:t>
      </w:r>
      <w:r w:rsidR="00423C9C">
        <w:t xml:space="preserve"> in the meat sector</w:t>
      </w:r>
    </w:p>
    <w:p w14:paraId="63FF08AC" w14:textId="3BEA31EF" w:rsidR="00E25343" w:rsidRPr="004A2CA4" w:rsidRDefault="00E25343" w:rsidP="00E25343">
      <w:pPr>
        <w:rPr>
          <w:rFonts w:asciiTheme="minorHAnsi" w:hAnsiTheme="minorHAnsi" w:cstheme="minorHAnsi"/>
          <w:lang w:val="en-US"/>
        </w:rPr>
      </w:pPr>
      <w:r w:rsidRPr="004A2CA4">
        <w:rPr>
          <w:rFonts w:asciiTheme="minorHAnsi" w:hAnsiTheme="minorHAnsi" w:cstheme="minorHAnsi"/>
          <w:b/>
          <w:bCs/>
          <w:lang w:val="en-US"/>
        </w:rPr>
        <w:t>Vision</w:t>
      </w:r>
      <w:r w:rsidRPr="004A2CA4">
        <w:rPr>
          <w:rFonts w:asciiTheme="minorHAnsi" w:hAnsiTheme="minorHAnsi" w:cstheme="minorHAnsi"/>
          <w:lang w:val="en-US"/>
        </w:rPr>
        <w:t xml:space="preserve"> – a </w:t>
      </w:r>
      <w:r w:rsidR="00763613">
        <w:rPr>
          <w:rFonts w:asciiTheme="minorHAnsi" w:hAnsiTheme="minorHAnsi" w:cstheme="minorHAnsi"/>
          <w:lang w:val="en-US"/>
        </w:rPr>
        <w:t>professional and productive</w:t>
      </w:r>
      <w:r w:rsidRPr="004A2CA4">
        <w:rPr>
          <w:rFonts w:asciiTheme="minorHAnsi" w:hAnsiTheme="minorHAnsi" w:cstheme="minorHAnsi"/>
          <w:lang w:val="en-US"/>
        </w:rPr>
        <w:t xml:space="preserve"> working relationship between </w:t>
      </w:r>
      <w:r w:rsidR="007E0E66" w:rsidRPr="004A2CA4">
        <w:rPr>
          <w:rFonts w:asciiTheme="minorHAnsi" w:hAnsiTheme="minorHAnsi" w:cstheme="minorHAnsi"/>
          <w:lang w:val="en-US"/>
        </w:rPr>
        <w:t xml:space="preserve">the Department of Agriculture, </w:t>
      </w:r>
      <w:proofErr w:type="gramStart"/>
      <w:r w:rsidR="007E0E66" w:rsidRPr="004A2CA4">
        <w:rPr>
          <w:rFonts w:asciiTheme="minorHAnsi" w:hAnsiTheme="minorHAnsi" w:cstheme="minorHAnsi"/>
          <w:lang w:val="en-US"/>
        </w:rPr>
        <w:t>Water</w:t>
      </w:r>
      <w:proofErr w:type="gramEnd"/>
      <w:r w:rsidR="007E0E66" w:rsidRPr="004A2CA4">
        <w:rPr>
          <w:rFonts w:asciiTheme="minorHAnsi" w:hAnsiTheme="minorHAnsi" w:cstheme="minorHAnsi"/>
          <w:lang w:val="en-US"/>
        </w:rPr>
        <w:t xml:space="preserve"> and the Envi</w:t>
      </w:r>
      <w:r w:rsidR="00AB6AD6" w:rsidRPr="004A2CA4">
        <w:rPr>
          <w:rFonts w:asciiTheme="minorHAnsi" w:hAnsiTheme="minorHAnsi" w:cstheme="minorHAnsi"/>
          <w:lang w:val="en-US"/>
        </w:rPr>
        <w:t>r</w:t>
      </w:r>
      <w:r w:rsidR="007E0E66" w:rsidRPr="004A2CA4">
        <w:rPr>
          <w:rFonts w:asciiTheme="minorHAnsi" w:hAnsiTheme="minorHAnsi" w:cstheme="minorHAnsi"/>
          <w:lang w:val="en-US"/>
        </w:rPr>
        <w:t>onment (the department)</w:t>
      </w:r>
      <w:r w:rsidRPr="004A2CA4">
        <w:rPr>
          <w:rFonts w:asciiTheme="minorHAnsi" w:hAnsiTheme="minorHAnsi" w:cstheme="minorHAnsi"/>
          <w:lang w:val="en-US"/>
        </w:rPr>
        <w:t xml:space="preserve"> and </w:t>
      </w:r>
      <w:r w:rsidR="007E0E66" w:rsidRPr="004A2CA4">
        <w:rPr>
          <w:rFonts w:asciiTheme="minorHAnsi" w:hAnsiTheme="minorHAnsi" w:cstheme="minorHAnsi"/>
          <w:lang w:val="en-US"/>
        </w:rPr>
        <w:t>export meat establishments</w:t>
      </w:r>
      <w:r w:rsidRPr="004A2CA4">
        <w:rPr>
          <w:rFonts w:asciiTheme="minorHAnsi" w:hAnsiTheme="minorHAnsi" w:cstheme="minorHAnsi"/>
          <w:lang w:val="en-US"/>
        </w:rPr>
        <w:t>, resulting in</w:t>
      </w:r>
      <w:r w:rsidR="00F75303" w:rsidRPr="004A2CA4">
        <w:rPr>
          <w:rFonts w:asciiTheme="minorHAnsi" w:hAnsiTheme="minorHAnsi" w:cstheme="minorHAnsi"/>
          <w:lang w:val="en-US"/>
        </w:rPr>
        <w:t xml:space="preserve"> the production of </w:t>
      </w:r>
      <w:r w:rsidR="00763613">
        <w:rPr>
          <w:rFonts w:asciiTheme="minorHAnsi" w:hAnsiTheme="minorHAnsi" w:cstheme="minorHAnsi"/>
          <w:lang w:val="en-US"/>
        </w:rPr>
        <w:t xml:space="preserve">meat and meat </w:t>
      </w:r>
      <w:r w:rsidR="00F75303" w:rsidRPr="004A2CA4">
        <w:rPr>
          <w:rFonts w:asciiTheme="minorHAnsi" w:hAnsiTheme="minorHAnsi" w:cstheme="minorHAnsi"/>
          <w:lang w:val="en-US"/>
        </w:rPr>
        <w:t>product</w:t>
      </w:r>
      <w:r w:rsidR="00763613">
        <w:rPr>
          <w:rFonts w:asciiTheme="minorHAnsi" w:hAnsiTheme="minorHAnsi" w:cstheme="minorHAnsi"/>
          <w:lang w:val="en-US"/>
        </w:rPr>
        <w:t>s</w:t>
      </w:r>
      <w:r w:rsidR="00F75303" w:rsidRPr="004A2CA4">
        <w:rPr>
          <w:rFonts w:asciiTheme="minorHAnsi" w:hAnsiTheme="minorHAnsi" w:cstheme="minorHAnsi"/>
          <w:lang w:val="en-US"/>
        </w:rPr>
        <w:t xml:space="preserve"> that consistently meets trading partner </w:t>
      </w:r>
      <w:r w:rsidR="00AB6AD6" w:rsidRPr="004A2CA4">
        <w:rPr>
          <w:rFonts w:asciiTheme="minorHAnsi" w:hAnsiTheme="minorHAnsi" w:cstheme="minorHAnsi"/>
          <w:lang w:val="en-US"/>
        </w:rPr>
        <w:t>requirements, supports</w:t>
      </w:r>
      <w:r w:rsidRPr="004A2CA4">
        <w:rPr>
          <w:rFonts w:asciiTheme="minorHAnsi" w:hAnsiTheme="minorHAnsi" w:cstheme="minorHAnsi"/>
          <w:lang w:val="en-US"/>
        </w:rPr>
        <w:t xml:space="preserve"> growth in </w:t>
      </w:r>
      <w:r w:rsidR="00F75303" w:rsidRPr="004A2CA4">
        <w:rPr>
          <w:rFonts w:asciiTheme="minorHAnsi" w:hAnsiTheme="minorHAnsi" w:cstheme="minorHAnsi"/>
          <w:lang w:val="en-US"/>
        </w:rPr>
        <w:t xml:space="preserve">the </w:t>
      </w:r>
      <w:r w:rsidRPr="004A2CA4">
        <w:rPr>
          <w:rFonts w:asciiTheme="minorHAnsi" w:hAnsiTheme="minorHAnsi" w:cstheme="minorHAnsi"/>
          <w:lang w:val="en-US"/>
        </w:rPr>
        <w:t>meat export processing</w:t>
      </w:r>
      <w:r w:rsidR="00F75303" w:rsidRPr="004A2CA4">
        <w:rPr>
          <w:rFonts w:asciiTheme="minorHAnsi" w:hAnsiTheme="minorHAnsi" w:cstheme="minorHAnsi"/>
          <w:lang w:val="en-US"/>
        </w:rPr>
        <w:t xml:space="preserve"> sector</w:t>
      </w:r>
      <w:r w:rsidR="00104CC7" w:rsidRPr="004A2CA4">
        <w:rPr>
          <w:rFonts w:asciiTheme="minorHAnsi" w:hAnsiTheme="minorHAnsi" w:cstheme="minorHAnsi"/>
          <w:lang w:val="en-US"/>
        </w:rPr>
        <w:t xml:space="preserve"> and improves i</w:t>
      </w:r>
      <w:r w:rsidRPr="004A2CA4">
        <w:rPr>
          <w:rFonts w:asciiTheme="minorHAnsi" w:hAnsiTheme="minorHAnsi" w:cstheme="minorHAnsi"/>
          <w:lang w:val="en-US"/>
        </w:rPr>
        <w:t xml:space="preserve">nternational competitiveness and </w:t>
      </w:r>
      <w:r w:rsidR="00104CC7" w:rsidRPr="004A2CA4">
        <w:rPr>
          <w:rFonts w:asciiTheme="minorHAnsi" w:hAnsiTheme="minorHAnsi" w:cstheme="minorHAnsi"/>
          <w:lang w:val="en-US"/>
        </w:rPr>
        <w:t>the</w:t>
      </w:r>
      <w:r w:rsidR="00F75303" w:rsidRPr="004A2CA4">
        <w:rPr>
          <w:rFonts w:asciiTheme="minorHAnsi" w:hAnsiTheme="minorHAnsi" w:cstheme="minorHAnsi"/>
          <w:lang w:val="en-US"/>
        </w:rPr>
        <w:t xml:space="preserve"> </w:t>
      </w:r>
      <w:r w:rsidRPr="004A2CA4">
        <w:rPr>
          <w:rFonts w:asciiTheme="minorHAnsi" w:hAnsiTheme="minorHAnsi" w:cstheme="minorHAnsi"/>
          <w:lang w:val="en-US"/>
        </w:rPr>
        <w:t>sustainability of the industry.</w:t>
      </w:r>
    </w:p>
    <w:p w14:paraId="49FCA09A" w14:textId="7379B27B" w:rsidR="00E25343" w:rsidRPr="004A2CA4" w:rsidRDefault="00E25343" w:rsidP="00E25343">
      <w:pPr>
        <w:rPr>
          <w:rFonts w:asciiTheme="minorHAnsi" w:hAnsiTheme="minorHAnsi" w:cstheme="minorHAnsi"/>
          <w:szCs w:val="24"/>
        </w:rPr>
      </w:pPr>
      <w:r w:rsidRPr="004A2CA4">
        <w:rPr>
          <w:rFonts w:asciiTheme="minorHAnsi" w:hAnsiTheme="minorHAnsi" w:cstheme="minorHAnsi"/>
          <w:b/>
          <w:bCs/>
          <w:szCs w:val="24"/>
        </w:rPr>
        <w:t>Background</w:t>
      </w:r>
      <w:r w:rsidRPr="004A2CA4">
        <w:rPr>
          <w:rFonts w:asciiTheme="minorHAnsi" w:hAnsiTheme="minorHAnsi" w:cstheme="minorHAnsi"/>
          <w:szCs w:val="24"/>
        </w:rPr>
        <w:t xml:space="preserve"> - The export meat industries are a key sector of the Australian economy. The export meat processing sector will play a key role in </w:t>
      </w:r>
      <w:r w:rsidR="00AB6AD6" w:rsidRPr="004A2CA4">
        <w:rPr>
          <w:rFonts w:asciiTheme="minorHAnsi" w:hAnsiTheme="minorHAnsi" w:cstheme="minorHAnsi"/>
          <w:szCs w:val="24"/>
        </w:rPr>
        <w:t>realising the</w:t>
      </w:r>
      <w:r w:rsidR="00C2099F" w:rsidRPr="004A2CA4">
        <w:rPr>
          <w:rFonts w:asciiTheme="minorHAnsi" w:hAnsiTheme="minorHAnsi" w:cstheme="minorHAnsi"/>
          <w:szCs w:val="24"/>
        </w:rPr>
        <w:t xml:space="preserve"> aim for the Australian agriculture, </w:t>
      </w:r>
      <w:proofErr w:type="gramStart"/>
      <w:r w:rsidR="00C2099F" w:rsidRPr="004A2CA4">
        <w:rPr>
          <w:rFonts w:asciiTheme="minorHAnsi" w:hAnsiTheme="minorHAnsi" w:cstheme="minorHAnsi"/>
          <w:szCs w:val="24"/>
        </w:rPr>
        <w:t>fisheries</w:t>
      </w:r>
      <w:proofErr w:type="gramEnd"/>
      <w:r w:rsidR="00C2099F" w:rsidRPr="004A2CA4">
        <w:rPr>
          <w:rFonts w:asciiTheme="minorHAnsi" w:hAnsiTheme="minorHAnsi" w:cstheme="minorHAnsi"/>
          <w:szCs w:val="24"/>
        </w:rPr>
        <w:t xml:space="preserve"> and forestry sector </w:t>
      </w:r>
      <w:r w:rsidR="00104CC7" w:rsidRPr="004A2CA4">
        <w:rPr>
          <w:rFonts w:asciiTheme="minorHAnsi" w:hAnsiTheme="minorHAnsi" w:cstheme="minorHAnsi"/>
          <w:szCs w:val="24"/>
        </w:rPr>
        <w:t>in</w:t>
      </w:r>
      <w:r w:rsidR="00C2099F" w:rsidRPr="004A2CA4">
        <w:rPr>
          <w:rFonts w:asciiTheme="minorHAnsi" w:hAnsiTheme="minorHAnsi" w:cstheme="minorHAnsi"/>
          <w:szCs w:val="24"/>
        </w:rPr>
        <w:t xml:space="preserve"> achiev</w:t>
      </w:r>
      <w:r w:rsidR="00104CC7" w:rsidRPr="004A2CA4">
        <w:rPr>
          <w:rFonts w:asciiTheme="minorHAnsi" w:hAnsiTheme="minorHAnsi" w:cstheme="minorHAnsi"/>
          <w:szCs w:val="24"/>
        </w:rPr>
        <w:t>ing</w:t>
      </w:r>
      <w:r w:rsidR="00C2099F" w:rsidRPr="004A2CA4">
        <w:rPr>
          <w:rFonts w:asciiTheme="minorHAnsi" w:hAnsiTheme="minorHAnsi" w:cstheme="minorHAnsi"/>
          <w:szCs w:val="24"/>
        </w:rPr>
        <w:t xml:space="preserve"> $100 billion in farm gate output by 2030.</w:t>
      </w:r>
      <w:r w:rsidRPr="004A2CA4">
        <w:rPr>
          <w:rFonts w:asciiTheme="minorHAnsi" w:hAnsiTheme="minorHAnsi" w:cstheme="minorHAnsi"/>
          <w:szCs w:val="24"/>
        </w:rPr>
        <w:t xml:space="preserve"> </w:t>
      </w:r>
    </w:p>
    <w:p w14:paraId="73A449E9" w14:textId="48A7CBDE" w:rsidR="00DB4181" w:rsidRPr="004A2CA4" w:rsidRDefault="00E7524F" w:rsidP="005F0CE4">
      <w:pPr>
        <w:rPr>
          <w:szCs w:val="24"/>
        </w:rPr>
      </w:pPr>
      <w:r w:rsidRPr="004A2CA4">
        <w:rPr>
          <w:rFonts w:asciiTheme="minorHAnsi" w:hAnsiTheme="minorHAnsi" w:cstheme="minorHAnsi"/>
          <w:szCs w:val="24"/>
        </w:rPr>
        <w:t>The department</w:t>
      </w:r>
      <w:r w:rsidR="00AF4FA8" w:rsidRPr="004A2CA4">
        <w:rPr>
          <w:rFonts w:asciiTheme="minorHAnsi" w:hAnsiTheme="minorHAnsi" w:cstheme="minorHAnsi"/>
          <w:szCs w:val="24"/>
        </w:rPr>
        <w:t xml:space="preserve"> </w:t>
      </w:r>
      <w:r w:rsidRPr="004A2CA4">
        <w:rPr>
          <w:rFonts w:asciiTheme="minorHAnsi" w:hAnsiTheme="minorHAnsi" w:cstheme="minorHAnsi"/>
          <w:szCs w:val="24"/>
        </w:rPr>
        <w:t>support</w:t>
      </w:r>
      <w:r w:rsidR="00AF4FA8" w:rsidRPr="004A2CA4">
        <w:rPr>
          <w:rFonts w:asciiTheme="minorHAnsi" w:hAnsiTheme="minorHAnsi" w:cstheme="minorHAnsi"/>
          <w:szCs w:val="24"/>
        </w:rPr>
        <w:t>s</w:t>
      </w:r>
      <w:r w:rsidRPr="004A2CA4">
        <w:rPr>
          <w:rFonts w:asciiTheme="minorHAnsi" w:hAnsiTheme="minorHAnsi" w:cstheme="minorHAnsi"/>
          <w:szCs w:val="24"/>
        </w:rPr>
        <w:t xml:space="preserve"> industry </w:t>
      </w:r>
      <w:r w:rsidR="00C2099F" w:rsidRPr="004A2CA4">
        <w:rPr>
          <w:rFonts w:asciiTheme="minorHAnsi" w:hAnsiTheme="minorHAnsi" w:cstheme="minorHAnsi"/>
          <w:szCs w:val="24"/>
        </w:rPr>
        <w:t xml:space="preserve">to </w:t>
      </w:r>
      <w:r w:rsidRPr="004A2CA4">
        <w:rPr>
          <w:rFonts w:asciiTheme="minorHAnsi" w:hAnsiTheme="minorHAnsi" w:cstheme="minorHAnsi"/>
          <w:szCs w:val="24"/>
        </w:rPr>
        <w:t xml:space="preserve">meet their commercial goals, </w:t>
      </w:r>
      <w:r w:rsidR="00674AFC" w:rsidRPr="004A2CA4">
        <w:rPr>
          <w:rFonts w:asciiTheme="minorHAnsi" w:hAnsiTheme="minorHAnsi" w:cstheme="minorHAnsi"/>
          <w:szCs w:val="24"/>
        </w:rPr>
        <w:t xml:space="preserve">by maintaining and expanding </w:t>
      </w:r>
      <w:r w:rsidRPr="004A2CA4">
        <w:rPr>
          <w:szCs w:val="24"/>
        </w:rPr>
        <w:t>market access</w:t>
      </w:r>
      <w:r w:rsidR="00674AFC" w:rsidRPr="004A2CA4">
        <w:rPr>
          <w:szCs w:val="24"/>
        </w:rPr>
        <w:t xml:space="preserve">, by providing a robust regulatory and certification system, and by promoting and </w:t>
      </w:r>
      <w:r w:rsidR="00AF4FA8" w:rsidRPr="004A2CA4">
        <w:rPr>
          <w:szCs w:val="24"/>
        </w:rPr>
        <w:t xml:space="preserve">facilitating access for </w:t>
      </w:r>
      <w:r w:rsidR="00674AFC" w:rsidRPr="004A2CA4">
        <w:rPr>
          <w:szCs w:val="24"/>
        </w:rPr>
        <w:t xml:space="preserve">Australian </w:t>
      </w:r>
      <w:r w:rsidRPr="004A2CA4">
        <w:rPr>
          <w:szCs w:val="24"/>
        </w:rPr>
        <w:t>products overseas.</w:t>
      </w:r>
    </w:p>
    <w:p w14:paraId="09048C62" w14:textId="5E45B013" w:rsidR="00E0378D" w:rsidRPr="004A2CA4" w:rsidRDefault="00E7524F" w:rsidP="00B04413">
      <w:pPr>
        <w:rPr>
          <w:szCs w:val="24"/>
        </w:rPr>
      </w:pPr>
      <w:r w:rsidRPr="004A2CA4">
        <w:rPr>
          <w:szCs w:val="24"/>
        </w:rPr>
        <w:t xml:space="preserve">The department and </w:t>
      </w:r>
      <w:r w:rsidR="00674AFC" w:rsidRPr="004A2CA4">
        <w:rPr>
          <w:szCs w:val="24"/>
        </w:rPr>
        <w:t xml:space="preserve">leaders of the Australian export meat processing industry </w:t>
      </w:r>
      <w:r w:rsidR="002B49E8" w:rsidRPr="004A2CA4">
        <w:rPr>
          <w:szCs w:val="24"/>
        </w:rPr>
        <w:t>are committed to working together to advance opportunities for export meat sector</w:t>
      </w:r>
      <w:r w:rsidR="00AF4FA8" w:rsidRPr="004A2CA4">
        <w:rPr>
          <w:szCs w:val="24"/>
        </w:rPr>
        <w:t>al success</w:t>
      </w:r>
      <w:r w:rsidR="002B49E8" w:rsidRPr="004A2CA4">
        <w:rPr>
          <w:szCs w:val="24"/>
        </w:rPr>
        <w:t xml:space="preserve">. </w:t>
      </w:r>
      <w:r w:rsidR="00674AFC" w:rsidRPr="004A2CA4">
        <w:rPr>
          <w:szCs w:val="24"/>
        </w:rPr>
        <w:t xml:space="preserve">By </w:t>
      </w:r>
      <w:r w:rsidR="002B49E8" w:rsidRPr="004A2CA4">
        <w:rPr>
          <w:szCs w:val="24"/>
        </w:rPr>
        <w:t>embedding a</w:t>
      </w:r>
      <w:r w:rsidRPr="004A2CA4">
        <w:rPr>
          <w:szCs w:val="24"/>
        </w:rPr>
        <w:t xml:space="preserve"> </w:t>
      </w:r>
      <w:r w:rsidR="00674AFC" w:rsidRPr="004A2CA4">
        <w:rPr>
          <w:szCs w:val="24"/>
        </w:rPr>
        <w:t xml:space="preserve">constructive and </w:t>
      </w:r>
      <w:r w:rsidRPr="004A2CA4">
        <w:rPr>
          <w:szCs w:val="24"/>
        </w:rPr>
        <w:t xml:space="preserve">productive relationship between the </w:t>
      </w:r>
      <w:r w:rsidR="00674AFC" w:rsidRPr="004A2CA4">
        <w:rPr>
          <w:szCs w:val="24"/>
        </w:rPr>
        <w:t>department and the export meat processing sector</w:t>
      </w:r>
      <w:r w:rsidR="00AF4FA8" w:rsidRPr="004A2CA4">
        <w:rPr>
          <w:szCs w:val="24"/>
        </w:rPr>
        <w:t xml:space="preserve"> participants it regulates</w:t>
      </w:r>
      <w:r w:rsidR="00674AFC" w:rsidRPr="004A2CA4">
        <w:rPr>
          <w:szCs w:val="24"/>
        </w:rPr>
        <w:t xml:space="preserve">, </w:t>
      </w:r>
      <w:r w:rsidR="00AF4FA8" w:rsidRPr="004A2CA4">
        <w:rPr>
          <w:szCs w:val="24"/>
        </w:rPr>
        <w:t xml:space="preserve">and by </w:t>
      </w:r>
      <w:r w:rsidRPr="004A2CA4">
        <w:rPr>
          <w:szCs w:val="24"/>
        </w:rPr>
        <w:t>fostering a</w:t>
      </w:r>
      <w:r w:rsidR="002B49E8" w:rsidRPr="004A2CA4">
        <w:rPr>
          <w:szCs w:val="24"/>
        </w:rPr>
        <w:t xml:space="preserve"> culture of continuous and forward leaning improvement</w:t>
      </w:r>
      <w:r w:rsidRPr="004A2CA4">
        <w:rPr>
          <w:szCs w:val="24"/>
        </w:rPr>
        <w:t xml:space="preserve">, the sector </w:t>
      </w:r>
      <w:r w:rsidR="00AF4FA8" w:rsidRPr="004A2CA4">
        <w:rPr>
          <w:szCs w:val="24"/>
        </w:rPr>
        <w:t xml:space="preserve">and the department will jointly encourage success.  </w:t>
      </w:r>
    </w:p>
    <w:p w14:paraId="6843D834" w14:textId="4BFC9348" w:rsidR="00E0378D" w:rsidRPr="004A2CA4" w:rsidRDefault="00E7524F" w:rsidP="00B04413">
      <w:pPr>
        <w:rPr>
          <w:szCs w:val="24"/>
        </w:rPr>
      </w:pPr>
      <w:r w:rsidRPr="004A2CA4">
        <w:rPr>
          <w:szCs w:val="24"/>
        </w:rPr>
        <w:t>T</w:t>
      </w:r>
      <w:r w:rsidR="00E32521" w:rsidRPr="004A2CA4">
        <w:rPr>
          <w:szCs w:val="24"/>
        </w:rPr>
        <w:t xml:space="preserve">hrough a joint industry-department working group, a set of key principles have been agreed, representing </w:t>
      </w:r>
      <w:r w:rsidRPr="004A2CA4">
        <w:rPr>
          <w:szCs w:val="24"/>
        </w:rPr>
        <w:t>how the department and the export meat processing sector will work together</w:t>
      </w:r>
      <w:r w:rsidR="00E32521" w:rsidRPr="004A2CA4">
        <w:rPr>
          <w:szCs w:val="24"/>
        </w:rPr>
        <w:t>:</w:t>
      </w:r>
    </w:p>
    <w:p w14:paraId="49634A07" w14:textId="009D75D5" w:rsidR="00DB0253" w:rsidRPr="004A2CA4" w:rsidRDefault="00E7524F" w:rsidP="00AB6AD6">
      <w:pPr>
        <w:pStyle w:val="Default"/>
        <w:numPr>
          <w:ilvl w:val="0"/>
          <w:numId w:val="1"/>
        </w:numPr>
        <w:autoSpaceDE/>
        <w:autoSpaceDN/>
        <w:adjustRightInd/>
        <w:spacing w:after="160" w:line="259" w:lineRule="auto"/>
        <w:ind w:left="567" w:hanging="283"/>
        <w:contextualSpacing/>
        <w:rPr>
          <w:rFonts w:eastAsia="Calibri" w:cs="Times New Roman"/>
          <w:color w:val="auto"/>
        </w:rPr>
      </w:pPr>
      <w:r w:rsidRPr="004A2CA4">
        <w:rPr>
          <w:rFonts w:eastAsia="Calibri" w:cs="Times New Roman"/>
          <w:b/>
          <w:bCs/>
          <w:i/>
          <w:iCs/>
          <w:color w:val="auto"/>
        </w:rPr>
        <w:t>Ensuring workplace health and safety arrangements</w:t>
      </w:r>
      <w:r w:rsidRPr="004A2CA4">
        <w:rPr>
          <w:rFonts w:eastAsia="Calibri" w:cs="Times New Roman"/>
          <w:color w:val="auto"/>
        </w:rPr>
        <w:t xml:space="preserve"> support staff in performing their workplace duties in a safe environment.  This includes a </w:t>
      </w:r>
      <w:r w:rsidR="004A1E63" w:rsidRPr="004A2CA4">
        <w:rPr>
          <w:rFonts w:eastAsia="Calibri" w:cs="Times New Roman"/>
          <w:color w:val="auto"/>
        </w:rPr>
        <w:t>zero-tolerance</w:t>
      </w:r>
      <w:r w:rsidRPr="004A2CA4">
        <w:rPr>
          <w:rFonts w:eastAsia="Calibri" w:cs="Times New Roman"/>
          <w:color w:val="auto"/>
        </w:rPr>
        <w:t xml:space="preserve"> approach to bullying and harassment</w:t>
      </w:r>
      <w:r w:rsidR="00D77797" w:rsidRPr="004A2CA4">
        <w:rPr>
          <w:rFonts w:eastAsia="Calibri" w:cs="Times New Roman"/>
          <w:color w:val="auto"/>
        </w:rPr>
        <w:t xml:space="preserve">, in addition to the proactive </w:t>
      </w:r>
      <w:r w:rsidRPr="004A2CA4">
        <w:rPr>
          <w:rFonts w:eastAsia="Calibri" w:cs="Times New Roman"/>
          <w:color w:val="auto"/>
        </w:rPr>
        <w:t>management of unprofessional behaviours.</w:t>
      </w:r>
    </w:p>
    <w:p w14:paraId="5F58B9E2" w14:textId="0AD0335A" w:rsidR="00E0378D" w:rsidRPr="004A2CA4" w:rsidRDefault="00E7524F" w:rsidP="009E2BFF">
      <w:pPr>
        <w:pStyle w:val="ListParagraph"/>
        <w:numPr>
          <w:ilvl w:val="0"/>
          <w:numId w:val="1"/>
        </w:numPr>
        <w:ind w:left="567" w:hanging="283"/>
        <w:rPr>
          <w:rFonts w:ascii="Calibri" w:eastAsia="Calibri" w:hAnsi="Calibri" w:cs="Times New Roman"/>
          <w:sz w:val="24"/>
          <w:szCs w:val="24"/>
        </w:rPr>
      </w:pPr>
      <w:r w:rsidRPr="004A2CA4">
        <w:rPr>
          <w:rFonts w:ascii="Calibri" w:eastAsia="Calibri" w:hAnsi="Calibri" w:cs="Times New Roman"/>
          <w:b/>
          <w:bCs/>
          <w:i/>
          <w:iCs/>
          <w:sz w:val="24"/>
          <w:szCs w:val="24"/>
        </w:rPr>
        <w:t>Supporting and encouraging i</w:t>
      </w:r>
      <w:r w:rsidR="00E32521" w:rsidRPr="004A2CA4">
        <w:rPr>
          <w:rFonts w:ascii="Calibri" w:eastAsia="Calibri" w:hAnsi="Calibri" w:cs="Times New Roman"/>
          <w:b/>
          <w:bCs/>
          <w:i/>
          <w:iCs/>
          <w:sz w:val="24"/>
          <w:szCs w:val="24"/>
        </w:rPr>
        <w:t>nnovation</w:t>
      </w:r>
      <w:r w:rsidR="00E32521" w:rsidRPr="004A2CA4">
        <w:rPr>
          <w:rFonts w:ascii="Calibri" w:eastAsia="Calibri" w:hAnsi="Calibri" w:cs="Times New Roman"/>
          <w:sz w:val="24"/>
          <w:szCs w:val="24"/>
        </w:rPr>
        <w:t xml:space="preserve">. </w:t>
      </w:r>
      <w:r w:rsidRPr="004A2CA4">
        <w:rPr>
          <w:rFonts w:ascii="Calibri" w:eastAsia="Calibri" w:hAnsi="Calibri" w:cs="Times New Roman"/>
          <w:sz w:val="24"/>
          <w:szCs w:val="24"/>
        </w:rPr>
        <w:t xml:space="preserve">Export meat processing establishments </w:t>
      </w:r>
      <w:r w:rsidR="00E32521" w:rsidRPr="004A2CA4">
        <w:rPr>
          <w:rFonts w:ascii="Calibri" w:eastAsia="Calibri" w:hAnsi="Calibri" w:cs="Times New Roman"/>
          <w:sz w:val="24"/>
          <w:szCs w:val="24"/>
        </w:rPr>
        <w:t xml:space="preserve">are encouraged and incentivised to </w:t>
      </w:r>
      <w:r w:rsidR="00D77797" w:rsidRPr="004A2CA4">
        <w:rPr>
          <w:rFonts w:ascii="Calibri" w:eastAsia="Calibri" w:hAnsi="Calibri" w:cs="Times New Roman"/>
          <w:sz w:val="24"/>
          <w:szCs w:val="24"/>
        </w:rPr>
        <w:t xml:space="preserve">embed regulatory compliance at the heart of their operations as they seek innovation within their business.  </w:t>
      </w:r>
      <w:r w:rsidRPr="004A2CA4">
        <w:rPr>
          <w:rFonts w:ascii="Calibri" w:eastAsia="Calibri" w:hAnsi="Calibri" w:cs="Times New Roman"/>
          <w:sz w:val="24"/>
          <w:szCs w:val="24"/>
        </w:rPr>
        <w:t xml:space="preserve">In return, the </w:t>
      </w:r>
      <w:r w:rsidR="00D77797" w:rsidRPr="004A2CA4">
        <w:rPr>
          <w:rFonts w:ascii="Calibri" w:eastAsia="Calibri" w:hAnsi="Calibri" w:cs="Times New Roman"/>
          <w:sz w:val="24"/>
          <w:szCs w:val="24"/>
        </w:rPr>
        <w:t xml:space="preserve">department </w:t>
      </w:r>
      <w:r w:rsidRPr="004A2CA4">
        <w:rPr>
          <w:rFonts w:ascii="Calibri" w:eastAsia="Calibri" w:hAnsi="Calibri" w:cs="Times New Roman"/>
          <w:sz w:val="24"/>
          <w:szCs w:val="24"/>
        </w:rPr>
        <w:t xml:space="preserve">will </w:t>
      </w:r>
      <w:r w:rsidR="00AF4FA8" w:rsidRPr="004A2CA4">
        <w:rPr>
          <w:rFonts w:ascii="Calibri" w:eastAsia="Calibri" w:hAnsi="Calibri" w:cs="Times New Roman"/>
          <w:sz w:val="24"/>
          <w:szCs w:val="24"/>
        </w:rPr>
        <w:t>actively</w:t>
      </w:r>
      <w:r w:rsidR="00D77797" w:rsidRPr="004A2CA4">
        <w:rPr>
          <w:rFonts w:ascii="Calibri" w:eastAsia="Calibri" w:hAnsi="Calibri" w:cs="Times New Roman"/>
          <w:sz w:val="24"/>
          <w:szCs w:val="24"/>
        </w:rPr>
        <w:t xml:space="preserve"> support and encourage this innovation when regulatory compliance requirements </w:t>
      </w:r>
      <w:r w:rsidR="00DF6F59" w:rsidRPr="004A2CA4">
        <w:rPr>
          <w:rFonts w:ascii="Calibri" w:eastAsia="Calibri" w:hAnsi="Calibri" w:cs="Times New Roman"/>
          <w:sz w:val="24"/>
          <w:szCs w:val="24"/>
        </w:rPr>
        <w:t>can</w:t>
      </w:r>
      <w:r w:rsidR="00D77797" w:rsidRPr="004A2CA4">
        <w:rPr>
          <w:rFonts w:ascii="Calibri" w:eastAsia="Calibri" w:hAnsi="Calibri" w:cs="Times New Roman"/>
          <w:sz w:val="24"/>
          <w:szCs w:val="24"/>
        </w:rPr>
        <w:t xml:space="preserve"> be maintained and enhanced. </w:t>
      </w:r>
    </w:p>
    <w:p w14:paraId="3A521C36" w14:textId="2BF7D9C9" w:rsidR="00D77797" w:rsidRPr="004A2CA4" w:rsidRDefault="00E7524F" w:rsidP="009E2BFF">
      <w:pPr>
        <w:pStyle w:val="Default"/>
        <w:numPr>
          <w:ilvl w:val="0"/>
          <w:numId w:val="1"/>
        </w:numPr>
        <w:autoSpaceDE/>
        <w:autoSpaceDN/>
        <w:adjustRightInd/>
        <w:spacing w:after="160" w:line="259" w:lineRule="auto"/>
        <w:ind w:left="567" w:hanging="283"/>
        <w:contextualSpacing/>
        <w:rPr>
          <w:rFonts w:eastAsia="Calibri" w:cs="Times New Roman"/>
          <w:color w:val="auto"/>
        </w:rPr>
      </w:pPr>
      <w:r w:rsidRPr="004A2CA4">
        <w:rPr>
          <w:rFonts w:eastAsia="Calibri" w:cs="Times New Roman"/>
          <w:color w:val="auto"/>
        </w:rPr>
        <w:t xml:space="preserve">Both the department and the export meat processing sector will </w:t>
      </w:r>
      <w:r w:rsidR="00DF6F59" w:rsidRPr="004A2CA4">
        <w:rPr>
          <w:rFonts w:eastAsia="Calibri" w:cs="Times New Roman"/>
          <w:b/>
          <w:bCs/>
          <w:i/>
          <w:iCs/>
          <w:color w:val="auto"/>
        </w:rPr>
        <w:t>act in a transparent manner</w:t>
      </w:r>
      <w:r w:rsidR="00DF6F59" w:rsidRPr="004A2CA4">
        <w:rPr>
          <w:rFonts w:eastAsia="Calibri" w:cs="Times New Roman"/>
          <w:color w:val="auto"/>
        </w:rPr>
        <w:t>, proactively sharing data and information</w:t>
      </w:r>
      <w:r w:rsidRPr="004A2CA4">
        <w:rPr>
          <w:rFonts w:eastAsia="Calibri" w:cs="Times New Roman"/>
          <w:color w:val="auto"/>
        </w:rPr>
        <w:t>, where appropriate,</w:t>
      </w:r>
      <w:r w:rsidR="00DF6F59" w:rsidRPr="004A2CA4">
        <w:rPr>
          <w:rFonts w:eastAsia="Calibri" w:cs="Times New Roman"/>
          <w:color w:val="auto"/>
        </w:rPr>
        <w:t xml:space="preserve"> to support the Australian export meat industry. </w:t>
      </w:r>
    </w:p>
    <w:p w14:paraId="69DFF614" w14:textId="3462AED6" w:rsidR="00E0378D" w:rsidRPr="004A2CA4" w:rsidRDefault="00E7524F" w:rsidP="009E2BFF">
      <w:pPr>
        <w:pStyle w:val="ListParagraph"/>
        <w:numPr>
          <w:ilvl w:val="0"/>
          <w:numId w:val="1"/>
        </w:numPr>
        <w:ind w:left="567" w:hanging="283"/>
        <w:rPr>
          <w:rFonts w:ascii="Calibri" w:eastAsia="Calibri" w:hAnsi="Calibri" w:cs="Times New Roman"/>
          <w:sz w:val="24"/>
          <w:szCs w:val="24"/>
        </w:rPr>
      </w:pPr>
      <w:r w:rsidRPr="004A2CA4">
        <w:rPr>
          <w:rFonts w:ascii="Calibri" w:eastAsia="Calibri" w:hAnsi="Calibri" w:cs="Times New Roman"/>
          <w:sz w:val="24"/>
          <w:szCs w:val="24"/>
        </w:rPr>
        <w:t xml:space="preserve">The department will </w:t>
      </w:r>
      <w:r w:rsidR="00E32521" w:rsidRPr="004A2CA4">
        <w:rPr>
          <w:rFonts w:ascii="Calibri" w:eastAsia="Calibri" w:hAnsi="Calibri" w:cs="Times New Roman"/>
          <w:sz w:val="24"/>
          <w:szCs w:val="24"/>
        </w:rPr>
        <w:t xml:space="preserve">focus on </w:t>
      </w:r>
      <w:r w:rsidRPr="004A2CA4">
        <w:rPr>
          <w:rFonts w:ascii="Calibri" w:eastAsia="Calibri" w:hAnsi="Calibri" w:cs="Times New Roman"/>
          <w:b/>
          <w:bCs/>
          <w:i/>
          <w:iCs/>
          <w:sz w:val="24"/>
          <w:szCs w:val="24"/>
        </w:rPr>
        <w:t xml:space="preserve">embedding </w:t>
      </w:r>
      <w:r w:rsidR="00E32521" w:rsidRPr="004A2CA4">
        <w:rPr>
          <w:rFonts w:ascii="Calibri" w:eastAsia="Calibri" w:hAnsi="Calibri" w:cs="Times New Roman"/>
          <w:b/>
          <w:bCs/>
          <w:i/>
          <w:iCs/>
          <w:sz w:val="24"/>
          <w:szCs w:val="24"/>
        </w:rPr>
        <w:t>regulatory approach</w:t>
      </w:r>
      <w:r w:rsidRPr="004A2CA4">
        <w:rPr>
          <w:rFonts w:ascii="Calibri" w:eastAsia="Calibri" w:hAnsi="Calibri" w:cs="Times New Roman"/>
          <w:b/>
          <w:bCs/>
          <w:i/>
          <w:iCs/>
          <w:sz w:val="24"/>
          <w:szCs w:val="24"/>
        </w:rPr>
        <w:t>es</w:t>
      </w:r>
      <w:r w:rsidR="00E32521" w:rsidRPr="004A2CA4">
        <w:rPr>
          <w:rFonts w:ascii="Calibri" w:eastAsia="Calibri" w:hAnsi="Calibri" w:cs="Times New Roman"/>
          <w:b/>
          <w:bCs/>
          <w:i/>
          <w:iCs/>
          <w:sz w:val="24"/>
          <w:szCs w:val="24"/>
        </w:rPr>
        <w:t>,</w:t>
      </w:r>
      <w:r w:rsidRPr="004A2CA4">
        <w:rPr>
          <w:rFonts w:ascii="Calibri" w:eastAsia="Calibri" w:hAnsi="Calibri" w:cs="Times New Roman"/>
          <w:b/>
          <w:bCs/>
          <w:i/>
          <w:iCs/>
          <w:sz w:val="24"/>
          <w:szCs w:val="24"/>
        </w:rPr>
        <w:t xml:space="preserve"> that </w:t>
      </w:r>
      <w:r w:rsidR="00AF4268">
        <w:rPr>
          <w:rFonts w:ascii="Calibri" w:eastAsia="Calibri" w:hAnsi="Calibri" w:cs="Times New Roman"/>
          <w:b/>
          <w:bCs/>
          <w:i/>
          <w:iCs/>
          <w:sz w:val="24"/>
          <w:szCs w:val="24"/>
        </w:rPr>
        <w:t>support</w:t>
      </w:r>
      <w:r w:rsidR="00E32521" w:rsidRPr="004A2CA4">
        <w:rPr>
          <w:rFonts w:ascii="Calibri" w:eastAsia="Calibri" w:hAnsi="Calibri" w:cs="Times New Roman"/>
          <w:b/>
          <w:bCs/>
          <w:i/>
          <w:iCs/>
          <w:sz w:val="24"/>
          <w:szCs w:val="24"/>
        </w:rPr>
        <w:t xml:space="preserve"> industry</w:t>
      </w:r>
      <w:r w:rsidR="00E32521" w:rsidRPr="004A2CA4">
        <w:rPr>
          <w:rFonts w:ascii="Calibri" w:eastAsia="Calibri" w:hAnsi="Calibri" w:cs="Times New Roman"/>
          <w:sz w:val="24"/>
          <w:szCs w:val="24"/>
        </w:rPr>
        <w:t xml:space="preserve"> </w:t>
      </w:r>
      <w:r w:rsidR="00AF4268" w:rsidRPr="0002080A">
        <w:rPr>
          <w:rFonts w:ascii="Calibri" w:eastAsia="Calibri" w:hAnsi="Calibri" w:cs="Times New Roman"/>
          <w:b/>
          <w:bCs/>
          <w:i/>
          <w:iCs/>
          <w:sz w:val="24"/>
          <w:szCs w:val="24"/>
        </w:rPr>
        <w:t>competitiveness and sustainability</w:t>
      </w:r>
      <w:r w:rsidR="00AF4268">
        <w:rPr>
          <w:rFonts w:ascii="Calibri" w:eastAsia="Calibri" w:hAnsi="Calibri" w:cs="Times New Roman"/>
          <w:sz w:val="24"/>
          <w:szCs w:val="24"/>
        </w:rPr>
        <w:t xml:space="preserve"> </w:t>
      </w:r>
      <w:r w:rsidR="00E32521" w:rsidRPr="004A2CA4">
        <w:rPr>
          <w:rFonts w:ascii="Calibri" w:eastAsia="Calibri" w:hAnsi="Calibri" w:cs="Times New Roman"/>
          <w:sz w:val="24"/>
          <w:szCs w:val="24"/>
        </w:rPr>
        <w:t xml:space="preserve">to </w:t>
      </w:r>
      <w:r w:rsidRPr="004A2CA4">
        <w:rPr>
          <w:rFonts w:ascii="Calibri" w:eastAsia="Calibri" w:hAnsi="Calibri" w:cs="Times New Roman"/>
          <w:sz w:val="24"/>
          <w:szCs w:val="24"/>
        </w:rPr>
        <w:t xml:space="preserve">meet </w:t>
      </w:r>
      <w:r w:rsidR="00E32521" w:rsidRPr="004A2CA4">
        <w:rPr>
          <w:rFonts w:ascii="Calibri" w:eastAsia="Calibri" w:hAnsi="Calibri" w:cs="Times New Roman"/>
          <w:sz w:val="24"/>
          <w:szCs w:val="24"/>
        </w:rPr>
        <w:t>trading partner</w:t>
      </w:r>
      <w:r w:rsidRPr="004A2CA4">
        <w:rPr>
          <w:rFonts w:ascii="Calibri" w:eastAsia="Calibri" w:hAnsi="Calibri" w:cs="Times New Roman"/>
          <w:sz w:val="24"/>
          <w:szCs w:val="24"/>
        </w:rPr>
        <w:t xml:space="preserve"> requirements</w:t>
      </w:r>
      <w:r w:rsidR="00AF4268">
        <w:rPr>
          <w:rFonts w:ascii="Calibri" w:eastAsia="Calibri" w:hAnsi="Calibri" w:cs="Times New Roman"/>
          <w:sz w:val="24"/>
          <w:szCs w:val="24"/>
        </w:rPr>
        <w:t>, maximise production</w:t>
      </w:r>
      <w:r w:rsidR="00085B84">
        <w:rPr>
          <w:rFonts w:ascii="Calibri" w:eastAsia="Calibri" w:hAnsi="Calibri" w:cs="Times New Roman"/>
          <w:sz w:val="24"/>
          <w:szCs w:val="24"/>
        </w:rPr>
        <w:t>, minimise wastage</w:t>
      </w:r>
      <w:r w:rsidRPr="004A2CA4">
        <w:rPr>
          <w:rFonts w:ascii="Calibri" w:eastAsia="Calibri" w:hAnsi="Calibri" w:cs="Times New Roman"/>
          <w:sz w:val="24"/>
          <w:szCs w:val="24"/>
        </w:rPr>
        <w:t xml:space="preserve"> and </w:t>
      </w:r>
      <w:r w:rsidR="00E32521" w:rsidRPr="004A2CA4">
        <w:rPr>
          <w:rFonts w:ascii="Calibri" w:eastAsia="Calibri" w:hAnsi="Calibri" w:cs="Times New Roman"/>
          <w:sz w:val="24"/>
          <w:szCs w:val="24"/>
        </w:rPr>
        <w:t xml:space="preserve">serve the Australian community through </w:t>
      </w:r>
      <w:r w:rsidRPr="004A2CA4">
        <w:rPr>
          <w:rFonts w:ascii="Calibri" w:eastAsia="Calibri" w:hAnsi="Calibri" w:cs="Times New Roman"/>
          <w:sz w:val="24"/>
          <w:szCs w:val="24"/>
        </w:rPr>
        <w:t xml:space="preserve">the </w:t>
      </w:r>
      <w:r w:rsidR="00E32521" w:rsidRPr="004A2CA4">
        <w:rPr>
          <w:rFonts w:ascii="Calibri" w:eastAsia="Calibri" w:hAnsi="Calibri" w:cs="Times New Roman"/>
          <w:sz w:val="24"/>
          <w:szCs w:val="24"/>
        </w:rPr>
        <w:t xml:space="preserve">effective and efficient administration of regulation. </w:t>
      </w:r>
    </w:p>
    <w:p w14:paraId="4FF05B72" w14:textId="08388A53" w:rsidR="00E0378D" w:rsidRPr="004A2CA4" w:rsidRDefault="00E7524F" w:rsidP="009E2BFF">
      <w:pPr>
        <w:pStyle w:val="ListParagraph"/>
        <w:numPr>
          <w:ilvl w:val="0"/>
          <w:numId w:val="1"/>
        </w:numPr>
        <w:ind w:left="567" w:hanging="283"/>
        <w:rPr>
          <w:rFonts w:ascii="Calibri" w:eastAsia="Calibri" w:hAnsi="Calibri" w:cs="Times New Roman"/>
          <w:sz w:val="24"/>
          <w:szCs w:val="24"/>
        </w:rPr>
      </w:pPr>
      <w:r w:rsidRPr="004A2CA4">
        <w:rPr>
          <w:rFonts w:ascii="Calibri" w:eastAsia="Calibri" w:hAnsi="Calibri" w:cs="Times New Roman"/>
          <w:b/>
          <w:bCs/>
          <w:i/>
          <w:iCs/>
          <w:sz w:val="24"/>
          <w:szCs w:val="24"/>
        </w:rPr>
        <w:lastRenderedPageBreak/>
        <w:t>Clear and understandable regulations and rulings</w:t>
      </w:r>
      <w:r w:rsidRPr="004A2CA4">
        <w:rPr>
          <w:rFonts w:ascii="Calibri" w:eastAsia="Calibri" w:hAnsi="Calibri" w:cs="Times New Roman"/>
          <w:sz w:val="24"/>
          <w:szCs w:val="24"/>
        </w:rPr>
        <w:t xml:space="preserve"> </w:t>
      </w:r>
      <w:r w:rsidR="003830B5" w:rsidRPr="004A2CA4">
        <w:rPr>
          <w:rFonts w:ascii="Calibri" w:eastAsia="Calibri" w:hAnsi="Calibri" w:cs="Times New Roman"/>
          <w:sz w:val="24"/>
          <w:szCs w:val="24"/>
        </w:rPr>
        <w:t xml:space="preserve">will </w:t>
      </w:r>
      <w:r w:rsidRPr="004A2CA4">
        <w:rPr>
          <w:rFonts w:ascii="Calibri" w:eastAsia="Calibri" w:hAnsi="Calibri" w:cs="Times New Roman"/>
          <w:sz w:val="24"/>
          <w:szCs w:val="24"/>
        </w:rPr>
        <w:t xml:space="preserve">provide </w:t>
      </w:r>
      <w:r w:rsidR="00211585" w:rsidRPr="004A2CA4">
        <w:rPr>
          <w:rFonts w:ascii="Calibri" w:eastAsia="Calibri" w:hAnsi="Calibri" w:cs="Times New Roman"/>
          <w:sz w:val="24"/>
          <w:szCs w:val="24"/>
        </w:rPr>
        <w:t xml:space="preserve">export meat industry participants with the </w:t>
      </w:r>
      <w:r w:rsidRPr="004A2CA4">
        <w:rPr>
          <w:rFonts w:ascii="Calibri" w:eastAsia="Calibri" w:hAnsi="Calibri" w:cs="Times New Roman"/>
          <w:sz w:val="24"/>
          <w:szCs w:val="24"/>
        </w:rPr>
        <w:t xml:space="preserve">knowledge </w:t>
      </w:r>
      <w:r w:rsidR="00211585" w:rsidRPr="004A2CA4">
        <w:rPr>
          <w:rFonts w:ascii="Calibri" w:eastAsia="Calibri" w:hAnsi="Calibri" w:cs="Times New Roman"/>
          <w:sz w:val="24"/>
          <w:szCs w:val="24"/>
        </w:rPr>
        <w:t xml:space="preserve">needed to </w:t>
      </w:r>
      <w:r w:rsidRPr="004A2CA4">
        <w:rPr>
          <w:rFonts w:ascii="Calibri" w:eastAsia="Calibri" w:hAnsi="Calibri" w:cs="Times New Roman"/>
          <w:sz w:val="24"/>
          <w:szCs w:val="24"/>
        </w:rPr>
        <w:t xml:space="preserve">comply with regulations.  </w:t>
      </w:r>
    </w:p>
    <w:p w14:paraId="7C1F49F8" w14:textId="5A9283A0" w:rsidR="00501FA1" w:rsidRPr="004A2CA4" w:rsidRDefault="00501FA1" w:rsidP="00501FA1">
      <w:pPr>
        <w:rPr>
          <w:szCs w:val="24"/>
        </w:rPr>
      </w:pPr>
      <w:r w:rsidRPr="004A2CA4">
        <w:rPr>
          <w:szCs w:val="24"/>
        </w:rPr>
        <w:t>Examples of two</w:t>
      </w:r>
      <w:r w:rsidR="00D5015E" w:rsidRPr="004A2CA4">
        <w:rPr>
          <w:szCs w:val="24"/>
        </w:rPr>
        <w:t>-</w:t>
      </w:r>
      <w:r w:rsidRPr="004A2CA4">
        <w:rPr>
          <w:szCs w:val="24"/>
        </w:rPr>
        <w:t>way pos</w:t>
      </w:r>
      <w:r w:rsidR="00D5015E" w:rsidRPr="004A2CA4">
        <w:rPr>
          <w:szCs w:val="24"/>
        </w:rPr>
        <w:t>itive behaviours can be seen at Appendix 1</w:t>
      </w:r>
    </w:p>
    <w:p w14:paraId="0D1797DE" w14:textId="77777777" w:rsidR="00104CC7" w:rsidRPr="004A2CA4" w:rsidRDefault="00E7524F" w:rsidP="00104CC7">
      <w:pPr>
        <w:rPr>
          <w:szCs w:val="24"/>
        </w:rPr>
      </w:pPr>
      <w:r w:rsidRPr="004A2CA4">
        <w:rPr>
          <w:szCs w:val="24"/>
        </w:rPr>
        <w:t xml:space="preserve">To support and embed the above principles across the export meat supply chain, the department </w:t>
      </w:r>
      <w:r w:rsidR="00104CC7" w:rsidRPr="004A2CA4">
        <w:rPr>
          <w:szCs w:val="24"/>
        </w:rPr>
        <w:t>has committed</w:t>
      </w:r>
      <w:r w:rsidRPr="004A2CA4">
        <w:rPr>
          <w:szCs w:val="24"/>
        </w:rPr>
        <w:t xml:space="preserve"> to the introduction of a </w:t>
      </w:r>
      <w:r w:rsidR="000028DE" w:rsidRPr="004A2CA4">
        <w:rPr>
          <w:szCs w:val="24"/>
        </w:rPr>
        <w:t xml:space="preserve">sector-specific </w:t>
      </w:r>
      <w:r w:rsidRPr="004A2CA4">
        <w:rPr>
          <w:szCs w:val="24"/>
        </w:rPr>
        <w:t>complaints management</w:t>
      </w:r>
      <w:r w:rsidR="00E00854" w:rsidRPr="004A2CA4">
        <w:rPr>
          <w:szCs w:val="24"/>
        </w:rPr>
        <w:t xml:space="preserve"> process</w:t>
      </w:r>
      <w:r w:rsidR="00DF6F59" w:rsidRPr="004A2CA4">
        <w:rPr>
          <w:szCs w:val="24"/>
        </w:rPr>
        <w:t xml:space="preserve">, the </w:t>
      </w:r>
      <w:r w:rsidRPr="004A2CA4">
        <w:rPr>
          <w:szCs w:val="24"/>
        </w:rPr>
        <w:t>feedback</w:t>
      </w:r>
      <w:r w:rsidR="00DF6F59" w:rsidRPr="004A2CA4">
        <w:rPr>
          <w:szCs w:val="24"/>
        </w:rPr>
        <w:t xml:space="preserve"> from which will be used to </w:t>
      </w:r>
      <w:r w:rsidRPr="004A2CA4">
        <w:rPr>
          <w:szCs w:val="24"/>
        </w:rPr>
        <w:t>improve</w:t>
      </w:r>
      <w:r w:rsidR="00DF6F59" w:rsidRPr="004A2CA4">
        <w:rPr>
          <w:szCs w:val="24"/>
        </w:rPr>
        <w:t xml:space="preserve"> its</w:t>
      </w:r>
      <w:r w:rsidR="00423C9C" w:rsidRPr="004A2CA4">
        <w:rPr>
          <w:szCs w:val="24"/>
        </w:rPr>
        <w:t xml:space="preserve"> </w:t>
      </w:r>
      <w:r w:rsidRPr="004A2CA4">
        <w:rPr>
          <w:szCs w:val="24"/>
        </w:rPr>
        <w:t>deliver</w:t>
      </w:r>
      <w:r w:rsidR="00423C9C" w:rsidRPr="004A2CA4">
        <w:rPr>
          <w:szCs w:val="24"/>
        </w:rPr>
        <w:t xml:space="preserve">y of </w:t>
      </w:r>
      <w:r w:rsidRPr="004A2CA4">
        <w:rPr>
          <w:szCs w:val="24"/>
        </w:rPr>
        <w:t>regulatory activities.</w:t>
      </w:r>
      <w:r w:rsidR="00104CC7" w:rsidRPr="004A2CA4">
        <w:rPr>
          <w:szCs w:val="24"/>
        </w:rPr>
        <w:t xml:space="preserve"> </w:t>
      </w:r>
    </w:p>
    <w:p w14:paraId="0BB33E23" w14:textId="7C533FF8" w:rsidR="00104CC7" w:rsidRPr="004A2CA4" w:rsidRDefault="00104CC7" w:rsidP="00104CC7">
      <w:pPr>
        <w:rPr>
          <w:szCs w:val="24"/>
        </w:rPr>
      </w:pPr>
      <w:r w:rsidRPr="004A2CA4">
        <w:rPr>
          <w:szCs w:val="24"/>
        </w:rPr>
        <w:t>Industry, through peak bodies, will proactively work with its members to ensure identified channels are utilised to provide constructive and balanced feedback supporting a professional and mature workplace culture.</w:t>
      </w:r>
    </w:p>
    <w:p w14:paraId="76637F88" w14:textId="77777777" w:rsidR="00104CC7" w:rsidRPr="004A2CA4" w:rsidRDefault="00104CC7" w:rsidP="00104CC7">
      <w:pPr>
        <w:rPr>
          <w:szCs w:val="24"/>
        </w:rPr>
      </w:pPr>
      <w:r w:rsidRPr="004A2CA4">
        <w:rPr>
          <w:szCs w:val="24"/>
        </w:rPr>
        <w:t xml:space="preserve">Trends and systemic issues identified through these processes will be reported on an annual basis to the Export Meat Industry Advisory Committee (EMIAC) and will also be communicated across the department’s meat program to drive continuous learning and improvement across the network. </w:t>
      </w:r>
    </w:p>
    <w:p w14:paraId="5D116DA8" w14:textId="00A8A7F7" w:rsidR="00D5015E" w:rsidRDefault="00D5015E" w:rsidP="000028DE">
      <w:pPr>
        <w:rPr>
          <w:color w:val="FF0000"/>
          <w:szCs w:val="24"/>
        </w:rPr>
      </w:pPr>
    </w:p>
    <w:p w14:paraId="614071B7" w14:textId="00576229" w:rsidR="00D5015E" w:rsidRDefault="00D5015E" w:rsidP="000028DE">
      <w:pPr>
        <w:rPr>
          <w:color w:val="FF0000"/>
          <w:szCs w:val="24"/>
        </w:rPr>
      </w:pPr>
    </w:p>
    <w:p w14:paraId="091DFF77" w14:textId="77777777" w:rsidR="00D5015E" w:rsidRDefault="00D5015E" w:rsidP="000028DE">
      <w:pPr>
        <w:rPr>
          <w:color w:val="FF0000"/>
          <w:szCs w:val="24"/>
        </w:rPr>
        <w:sectPr w:rsidR="00D5015E">
          <w:headerReference w:type="even" r:id="rId8"/>
          <w:headerReference w:type="default" r:id="rId9"/>
          <w:headerReference w:type="first" r:id="rId10"/>
          <w:pgSz w:w="11906" w:h="16838"/>
          <w:pgMar w:top="1440" w:right="1440" w:bottom="1440" w:left="1440" w:header="708" w:footer="708" w:gutter="0"/>
          <w:cols w:space="708"/>
          <w:docGrid w:linePitch="360"/>
        </w:sectPr>
      </w:pPr>
    </w:p>
    <w:p w14:paraId="25A55A8E" w14:textId="4D433A16" w:rsidR="00E25343" w:rsidRDefault="00D5015E" w:rsidP="000028DE">
      <w:pPr>
        <w:rPr>
          <w:lang w:val="en-US"/>
        </w:rPr>
      </w:pPr>
      <w:r>
        <w:rPr>
          <w:b/>
          <w:bCs/>
          <w:lang w:val="en-US"/>
        </w:rPr>
        <w:lastRenderedPageBreak/>
        <w:t>Appendix 1</w:t>
      </w:r>
      <w:r w:rsidR="00E25343">
        <w:rPr>
          <w:lang w:val="en-US"/>
        </w:rPr>
        <w:t xml:space="preserve"> – the following table provides a non-exhaustive list of two-way positive </w:t>
      </w:r>
      <w:r w:rsidR="00F75303">
        <w:rPr>
          <w:lang w:val="en-US"/>
        </w:rPr>
        <w:t>behaviors</w:t>
      </w:r>
      <w:r w:rsidR="00E25343">
        <w:rPr>
          <w:lang w:val="en-US"/>
        </w:rPr>
        <w:t>. It is intended to illustrate positive workplace culture</w:t>
      </w:r>
      <w:r>
        <w:rPr>
          <w:lang w:val="en-US"/>
        </w:rPr>
        <w:t>,</w:t>
      </w:r>
      <w:r w:rsidR="00E25343">
        <w:rPr>
          <w:lang w:val="en-US"/>
        </w:rPr>
        <w:t xml:space="preserve"> applicable to both </w:t>
      </w:r>
      <w:r>
        <w:rPr>
          <w:lang w:val="en-US"/>
        </w:rPr>
        <w:t>establishment</w:t>
      </w:r>
      <w:r w:rsidR="00E25343">
        <w:rPr>
          <w:lang w:val="en-US"/>
        </w:rPr>
        <w:t xml:space="preserve"> and government stakeholders.</w:t>
      </w:r>
    </w:p>
    <w:tbl>
      <w:tblPr>
        <w:tblStyle w:val="TableGrid"/>
        <w:tblW w:w="5080" w:type="pct"/>
        <w:tblLook w:val="04A0" w:firstRow="1" w:lastRow="0" w:firstColumn="1" w:lastColumn="0" w:noHBand="0" w:noVBand="1"/>
      </w:tblPr>
      <w:tblGrid>
        <w:gridCol w:w="4815"/>
        <w:gridCol w:w="9356"/>
      </w:tblGrid>
      <w:tr w:rsidR="00305A76" w14:paraId="0DFB76B3" w14:textId="77777777" w:rsidTr="00D5015E">
        <w:tc>
          <w:tcPr>
            <w:tcW w:w="1699" w:type="pct"/>
            <w:shd w:val="clear" w:color="auto" w:fill="8EAADB" w:themeFill="accent1" w:themeFillTint="99"/>
          </w:tcPr>
          <w:p w14:paraId="365466A3" w14:textId="0892F18C" w:rsidR="00305A76" w:rsidRPr="00D5015E" w:rsidRDefault="00305A76" w:rsidP="00D35212">
            <w:pPr>
              <w:pStyle w:val="Tableheader"/>
            </w:pPr>
            <w:r w:rsidRPr="00D5015E">
              <w:t>Cultural theme</w:t>
            </w:r>
          </w:p>
        </w:tc>
        <w:tc>
          <w:tcPr>
            <w:tcW w:w="3301" w:type="pct"/>
            <w:shd w:val="clear" w:color="auto" w:fill="8EAADB" w:themeFill="accent1" w:themeFillTint="99"/>
          </w:tcPr>
          <w:p w14:paraId="5EF23C2D" w14:textId="25745B62" w:rsidR="00501FA1" w:rsidRPr="00D5015E" w:rsidRDefault="006D20A1" w:rsidP="00D35212">
            <w:pPr>
              <w:pStyle w:val="Tableheader"/>
              <w:rPr>
                <w:b w:val="0"/>
                <w:bCs w:val="0"/>
              </w:rPr>
            </w:pPr>
            <w:r w:rsidRPr="00D5015E">
              <w:t>Example</w:t>
            </w:r>
            <w:r w:rsidR="00305A76" w:rsidRPr="00D5015E">
              <w:t xml:space="preserve"> </w:t>
            </w:r>
            <w:r w:rsidR="00501FA1" w:rsidRPr="00D5015E">
              <w:t xml:space="preserve">of positive </w:t>
            </w:r>
            <w:r w:rsidR="00D5015E" w:rsidRPr="00D5015E">
              <w:t>behaviors</w:t>
            </w:r>
            <w:r w:rsidR="00D35212">
              <w:br/>
            </w:r>
            <w:r w:rsidR="00501FA1" w:rsidRPr="00D5015E">
              <w:t>(Industry and Department)</w:t>
            </w:r>
          </w:p>
        </w:tc>
      </w:tr>
      <w:tr w:rsidR="00305A76" w14:paraId="048D12A1" w14:textId="77777777" w:rsidTr="00D5015E">
        <w:tc>
          <w:tcPr>
            <w:tcW w:w="1699" w:type="pct"/>
          </w:tcPr>
          <w:p w14:paraId="51600F36" w14:textId="77777777" w:rsidR="00305A76" w:rsidRPr="00D5015E" w:rsidRDefault="00305A76" w:rsidP="00305A76">
            <w:pPr>
              <w:pStyle w:val="Default"/>
              <w:autoSpaceDE/>
              <w:autoSpaceDN/>
              <w:adjustRightInd/>
              <w:spacing w:after="160" w:line="259" w:lineRule="auto"/>
              <w:contextualSpacing/>
              <w:rPr>
                <w:rFonts w:eastAsia="Calibri" w:cs="Times New Roman"/>
                <w:color w:val="auto"/>
                <w:sz w:val="22"/>
                <w:szCs w:val="22"/>
              </w:rPr>
            </w:pPr>
            <w:r w:rsidRPr="00D5015E">
              <w:rPr>
                <w:rFonts w:eastAsia="Calibri" w:cs="Times New Roman"/>
                <w:b/>
                <w:bCs/>
                <w:i/>
                <w:iCs/>
                <w:color w:val="auto"/>
                <w:sz w:val="22"/>
                <w:szCs w:val="22"/>
              </w:rPr>
              <w:t>Ensuring workplace health and safety arrangements</w:t>
            </w:r>
            <w:r w:rsidRPr="00D5015E">
              <w:rPr>
                <w:rFonts w:eastAsia="Calibri" w:cs="Times New Roman"/>
                <w:color w:val="auto"/>
                <w:sz w:val="22"/>
                <w:szCs w:val="22"/>
              </w:rPr>
              <w:t xml:space="preserve"> support staff in performing their workplace duties in a safe environment.  This includes a zero-tolerance approach to bullying and harassment, in addition to the proactive management of unprofessional behaviours.</w:t>
            </w:r>
          </w:p>
          <w:p w14:paraId="0305572B" w14:textId="3D71CA06" w:rsidR="00305A76" w:rsidRPr="00D5015E" w:rsidRDefault="00305A76" w:rsidP="000028DE">
            <w:pPr>
              <w:rPr>
                <w:b/>
                <w:bCs/>
                <w:sz w:val="22"/>
                <w:lang w:val="en-US"/>
              </w:rPr>
            </w:pPr>
          </w:p>
        </w:tc>
        <w:tc>
          <w:tcPr>
            <w:tcW w:w="3301" w:type="pct"/>
          </w:tcPr>
          <w:p w14:paraId="6A1995E8" w14:textId="703B565D" w:rsidR="00D5015E" w:rsidRPr="00D5015E" w:rsidRDefault="00305A76" w:rsidP="00305A76">
            <w:pPr>
              <w:rPr>
                <w:sz w:val="22"/>
                <w:lang w:val="en-US"/>
              </w:rPr>
            </w:pPr>
            <w:r w:rsidRPr="00D5015E">
              <w:rPr>
                <w:sz w:val="22"/>
                <w:lang w:val="en-US"/>
              </w:rPr>
              <w:t>All staff</w:t>
            </w:r>
            <w:r w:rsidR="00D5015E" w:rsidRPr="00D5015E">
              <w:rPr>
                <w:sz w:val="22"/>
                <w:lang w:val="en-US"/>
              </w:rPr>
              <w:t>:</w:t>
            </w:r>
          </w:p>
          <w:p w14:paraId="4F362B72" w14:textId="08FB69FC" w:rsidR="00305A76" w:rsidRPr="00EC662A" w:rsidRDefault="00305A76" w:rsidP="00D5015E">
            <w:pPr>
              <w:pStyle w:val="ListParagraph"/>
              <w:numPr>
                <w:ilvl w:val="0"/>
                <w:numId w:val="1"/>
              </w:numPr>
              <w:rPr>
                <w:rFonts w:ascii="Calibri" w:eastAsia="Calibri" w:hAnsi="Calibri" w:cs="Times New Roman"/>
                <w:lang w:val="en-US"/>
              </w:rPr>
            </w:pPr>
            <w:r w:rsidRPr="00EC662A">
              <w:rPr>
                <w:rFonts w:ascii="Calibri" w:eastAsia="Calibri" w:hAnsi="Calibri" w:cs="Times New Roman"/>
                <w:lang w:val="en-US"/>
              </w:rPr>
              <w:t>are appropriately trained in their WH&amp;S obligations</w:t>
            </w:r>
            <w:r w:rsidR="003B07D2" w:rsidRPr="00EC662A">
              <w:rPr>
                <w:rFonts w:ascii="Calibri" w:eastAsia="Calibri" w:hAnsi="Calibri" w:cs="Times New Roman"/>
                <w:lang w:val="en-US"/>
              </w:rPr>
              <w:t xml:space="preserve"> and receive appropriate site inductions.</w:t>
            </w:r>
          </w:p>
          <w:p w14:paraId="301D9342" w14:textId="77777777" w:rsidR="00D5015E" w:rsidRPr="00EC662A" w:rsidRDefault="00D5015E" w:rsidP="00D5015E">
            <w:pPr>
              <w:pStyle w:val="ListParagraph"/>
              <w:ind w:left="1080"/>
              <w:rPr>
                <w:rFonts w:ascii="Calibri" w:eastAsia="Calibri" w:hAnsi="Calibri" w:cs="Times New Roman"/>
                <w:lang w:val="en-US"/>
              </w:rPr>
            </w:pPr>
          </w:p>
          <w:p w14:paraId="057F31E7" w14:textId="50E8A479" w:rsidR="00C735B8" w:rsidRPr="00EC662A" w:rsidRDefault="00D5015E" w:rsidP="00D5015E">
            <w:pPr>
              <w:pStyle w:val="ListParagraph"/>
              <w:numPr>
                <w:ilvl w:val="0"/>
                <w:numId w:val="1"/>
              </w:numPr>
              <w:rPr>
                <w:rFonts w:ascii="Calibri" w:eastAsia="Calibri" w:hAnsi="Calibri" w:cs="Times New Roman"/>
                <w:lang w:val="en-US"/>
              </w:rPr>
            </w:pPr>
            <w:r w:rsidRPr="00EC662A">
              <w:rPr>
                <w:rFonts w:ascii="Calibri" w:eastAsia="Calibri" w:hAnsi="Calibri" w:cs="Times New Roman"/>
                <w:lang w:val="en-US"/>
              </w:rPr>
              <w:t xml:space="preserve">are </w:t>
            </w:r>
            <w:r w:rsidR="00C735B8" w:rsidRPr="00EC662A">
              <w:rPr>
                <w:rFonts w:ascii="Calibri" w:eastAsia="Calibri" w:hAnsi="Calibri" w:cs="Times New Roman"/>
                <w:lang w:val="en-US"/>
              </w:rPr>
              <w:t>made aware of</w:t>
            </w:r>
            <w:r w:rsidR="00501FA1" w:rsidRPr="00EC662A">
              <w:rPr>
                <w:rFonts w:ascii="Calibri" w:eastAsia="Calibri" w:hAnsi="Calibri" w:cs="Times New Roman"/>
                <w:lang w:val="en-US"/>
              </w:rPr>
              <w:t xml:space="preserve"> and encouraged to use</w:t>
            </w:r>
            <w:r w:rsidR="00C735B8" w:rsidRPr="00EC662A">
              <w:rPr>
                <w:rFonts w:ascii="Calibri" w:eastAsia="Calibri" w:hAnsi="Calibri" w:cs="Times New Roman"/>
                <w:lang w:val="en-US"/>
              </w:rPr>
              <w:t xml:space="preserve"> </w:t>
            </w:r>
            <w:r w:rsidRPr="00EC662A">
              <w:rPr>
                <w:rFonts w:ascii="Calibri" w:eastAsia="Calibri" w:hAnsi="Calibri" w:cs="Times New Roman"/>
                <w:lang w:val="en-US"/>
              </w:rPr>
              <w:t xml:space="preserve">company and </w:t>
            </w:r>
            <w:r w:rsidR="003B07D2" w:rsidRPr="00EC662A">
              <w:rPr>
                <w:rFonts w:ascii="Calibri" w:eastAsia="Calibri" w:hAnsi="Calibri" w:cs="Times New Roman"/>
                <w:lang w:val="en-US"/>
              </w:rPr>
              <w:t>departmental</w:t>
            </w:r>
            <w:r w:rsidR="00501FA1" w:rsidRPr="00EC662A">
              <w:rPr>
                <w:rFonts w:ascii="Calibri" w:eastAsia="Calibri" w:hAnsi="Calibri" w:cs="Times New Roman"/>
                <w:lang w:val="en-US"/>
              </w:rPr>
              <w:t xml:space="preserve"> </w:t>
            </w:r>
            <w:r w:rsidR="003B07D2" w:rsidRPr="00EC662A">
              <w:rPr>
                <w:rFonts w:ascii="Calibri" w:eastAsia="Calibri" w:hAnsi="Calibri" w:cs="Times New Roman"/>
                <w:lang w:val="en-US"/>
              </w:rPr>
              <w:t>complaint escalation processes and contacts</w:t>
            </w:r>
            <w:r w:rsidRPr="00EC662A">
              <w:rPr>
                <w:rFonts w:ascii="Calibri" w:eastAsia="Calibri" w:hAnsi="Calibri" w:cs="Times New Roman"/>
                <w:lang w:val="en-US"/>
              </w:rPr>
              <w:t xml:space="preserve"> when appropriate</w:t>
            </w:r>
            <w:r w:rsidR="003B07D2" w:rsidRPr="00EC662A">
              <w:rPr>
                <w:rFonts w:ascii="Calibri" w:eastAsia="Calibri" w:hAnsi="Calibri" w:cs="Times New Roman"/>
                <w:lang w:val="en-US"/>
              </w:rPr>
              <w:t>.</w:t>
            </w:r>
          </w:p>
          <w:p w14:paraId="07FA9C76" w14:textId="77777777" w:rsidR="00D5015E" w:rsidRPr="00EC662A" w:rsidRDefault="00D5015E" w:rsidP="00D5015E">
            <w:pPr>
              <w:pStyle w:val="ListParagraph"/>
              <w:ind w:left="1080"/>
              <w:rPr>
                <w:rFonts w:ascii="Calibri" w:eastAsia="Calibri" w:hAnsi="Calibri" w:cs="Times New Roman"/>
                <w:lang w:val="en-US"/>
              </w:rPr>
            </w:pPr>
          </w:p>
          <w:p w14:paraId="55AE4250" w14:textId="47B74FFE" w:rsidR="00305A76" w:rsidRPr="00EC662A" w:rsidRDefault="00D5015E" w:rsidP="00D5015E">
            <w:pPr>
              <w:pStyle w:val="ListParagraph"/>
              <w:numPr>
                <w:ilvl w:val="0"/>
                <w:numId w:val="1"/>
              </w:numPr>
              <w:rPr>
                <w:rFonts w:ascii="Calibri" w:eastAsia="Calibri" w:hAnsi="Calibri" w:cs="Times New Roman"/>
                <w:lang w:val="en-US"/>
              </w:rPr>
            </w:pPr>
            <w:r w:rsidRPr="00EC662A">
              <w:rPr>
                <w:rFonts w:ascii="Calibri" w:eastAsia="Calibri" w:hAnsi="Calibri" w:cs="Times New Roman"/>
                <w:lang w:val="en-US"/>
              </w:rPr>
              <w:t>Conduct their i</w:t>
            </w:r>
            <w:r w:rsidR="00C735B8" w:rsidRPr="00EC662A">
              <w:rPr>
                <w:rFonts w:ascii="Calibri" w:eastAsia="Calibri" w:hAnsi="Calibri" w:cs="Times New Roman"/>
                <w:lang w:val="en-US"/>
              </w:rPr>
              <w:t xml:space="preserve">nteractions </w:t>
            </w:r>
            <w:r w:rsidRPr="00EC662A">
              <w:rPr>
                <w:rFonts w:ascii="Calibri" w:eastAsia="Calibri" w:hAnsi="Calibri" w:cs="Times New Roman"/>
                <w:lang w:val="en-US"/>
              </w:rPr>
              <w:t>in a</w:t>
            </w:r>
            <w:r w:rsidR="00C735B8" w:rsidRPr="00EC662A">
              <w:rPr>
                <w:rFonts w:ascii="Calibri" w:eastAsia="Calibri" w:hAnsi="Calibri" w:cs="Times New Roman"/>
                <w:lang w:val="en-US"/>
              </w:rPr>
              <w:t xml:space="preserve"> constructive and respectful</w:t>
            </w:r>
            <w:r w:rsidRPr="00EC662A">
              <w:rPr>
                <w:rFonts w:ascii="Calibri" w:eastAsia="Calibri" w:hAnsi="Calibri" w:cs="Times New Roman"/>
                <w:lang w:val="en-US"/>
              </w:rPr>
              <w:t xml:space="preserve"> way</w:t>
            </w:r>
            <w:r w:rsidR="00C735B8" w:rsidRPr="00EC662A">
              <w:rPr>
                <w:rFonts w:ascii="Calibri" w:eastAsia="Calibri" w:hAnsi="Calibri" w:cs="Times New Roman"/>
                <w:lang w:val="en-US"/>
              </w:rPr>
              <w:t xml:space="preserve"> </w:t>
            </w:r>
            <w:r w:rsidR="00305A76" w:rsidRPr="00EC662A">
              <w:rPr>
                <w:rFonts w:ascii="Calibri" w:eastAsia="Calibri" w:hAnsi="Calibri" w:cs="Times New Roman"/>
                <w:lang w:val="en-US"/>
              </w:rPr>
              <w:t xml:space="preserve">– </w:t>
            </w:r>
            <w:r w:rsidRPr="00EC662A">
              <w:rPr>
                <w:rFonts w:ascii="Calibri" w:eastAsia="Calibri" w:hAnsi="Calibri" w:cs="Times New Roman"/>
                <w:lang w:val="en-US"/>
              </w:rPr>
              <w:t>A zero tolerance approach to intimidation</w:t>
            </w:r>
            <w:r w:rsidR="00305A76" w:rsidRPr="00EC662A">
              <w:rPr>
                <w:rFonts w:ascii="Calibri" w:eastAsia="Calibri" w:hAnsi="Calibri" w:cs="Times New Roman"/>
                <w:lang w:val="en-US"/>
              </w:rPr>
              <w:t>, harassment, or bullying</w:t>
            </w:r>
            <w:r w:rsidR="00C735B8" w:rsidRPr="00EC662A">
              <w:rPr>
                <w:rFonts w:ascii="Calibri" w:eastAsia="Calibri" w:hAnsi="Calibri" w:cs="Times New Roman"/>
                <w:lang w:val="en-US"/>
              </w:rPr>
              <w:t>.</w:t>
            </w:r>
          </w:p>
          <w:p w14:paraId="011ECF93" w14:textId="77777777" w:rsidR="00D5015E" w:rsidRPr="00EC662A" w:rsidRDefault="00D5015E" w:rsidP="00D5015E">
            <w:pPr>
              <w:pStyle w:val="ListParagraph"/>
              <w:ind w:left="1080"/>
              <w:rPr>
                <w:rFonts w:ascii="Calibri" w:eastAsia="Calibri" w:hAnsi="Calibri" w:cs="Times New Roman"/>
                <w:lang w:val="en-US"/>
              </w:rPr>
            </w:pPr>
          </w:p>
          <w:p w14:paraId="67620BBF" w14:textId="77777777" w:rsidR="00501FA1" w:rsidRPr="00EC662A" w:rsidRDefault="00C735B8" w:rsidP="003B07D2">
            <w:pPr>
              <w:pStyle w:val="ListParagraph"/>
              <w:numPr>
                <w:ilvl w:val="0"/>
                <w:numId w:val="1"/>
              </w:numPr>
              <w:rPr>
                <w:rFonts w:ascii="Calibri" w:eastAsia="Calibri" w:hAnsi="Calibri" w:cs="Times New Roman"/>
                <w:lang w:val="en-US"/>
              </w:rPr>
            </w:pPr>
            <w:r w:rsidRPr="00EC662A">
              <w:rPr>
                <w:rFonts w:ascii="Calibri" w:eastAsia="Calibri" w:hAnsi="Calibri" w:cs="Times New Roman"/>
                <w:lang w:val="en-US"/>
              </w:rPr>
              <w:t xml:space="preserve">call out unacceptable practices when they occur, seek a constructive </w:t>
            </w:r>
            <w:proofErr w:type="gramStart"/>
            <w:r w:rsidRPr="00EC662A">
              <w:rPr>
                <w:rFonts w:ascii="Calibri" w:eastAsia="Calibri" w:hAnsi="Calibri" w:cs="Times New Roman"/>
                <w:lang w:val="en-US"/>
              </w:rPr>
              <w:t>resolution</w:t>
            </w:r>
            <w:proofErr w:type="gramEnd"/>
            <w:r w:rsidRPr="00EC662A">
              <w:rPr>
                <w:rFonts w:ascii="Calibri" w:eastAsia="Calibri" w:hAnsi="Calibri" w:cs="Times New Roman"/>
                <w:lang w:val="en-US"/>
              </w:rPr>
              <w:t xml:space="preserve"> and take appropriate action if required.</w:t>
            </w:r>
          </w:p>
          <w:p w14:paraId="37698A36" w14:textId="77777777" w:rsidR="00EC662A" w:rsidRPr="00EC662A" w:rsidRDefault="00EC662A" w:rsidP="00EC662A">
            <w:pPr>
              <w:pStyle w:val="ListParagraph"/>
              <w:rPr>
                <w:rFonts w:ascii="Calibri" w:eastAsia="Calibri" w:hAnsi="Calibri" w:cs="Times New Roman"/>
                <w:lang w:val="en-US"/>
              </w:rPr>
            </w:pPr>
          </w:p>
          <w:p w14:paraId="7EEDD18D" w14:textId="720886D7" w:rsidR="00EC662A" w:rsidRPr="00EC662A" w:rsidRDefault="00EC662A" w:rsidP="00EC662A">
            <w:pPr>
              <w:rPr>
                <w:sz w:val="22"/>
                <w:lang w:val="en-US"/>
              </w:rPr>
            </w:pPr>
            <w:r>
              <w:rPr>
                <w:sz w:val="22"/>
                <w:lang w:val="en-US"/>
              </w:rPr>
              <w:t xml:space="preserve">WHS requirements and developments are actively discussed at the EMIAC </w:t>
            </w:r>
            <w:r w:rsidRPr="00EC662A">
              <w:rPr>
                <w:sz w:val="22"/>
                <w:lang w:val="en-US"/>
              </w:rPr>
              <w:t>consultative committee</w:t>
            </w:r>
            <w:r>
              <w:rPr>
                <w:sz w:val="22"/>
                <w:lang w:val="en-US"/>
              </w:rPr>
              <w:t>, enabling proactive</w:t>
            </w:r>
            <w:r w:rsidRPr="00EC662A">
              <w:rPr>
                <w:sz w:val="22"/>
                <w:lang w:val="en-US"/>
              </w:rPr>
              <w:t xml:space="preserve"> to engage on WH&amp;S requirements and developments</w:t>
            </w:r>
          </w:p>
        </w:tc>
      </w:tr>
      <w:tr w:rsidR="00305A76" w14:paraId="172D3385" w14:textId="77777777" w:rsidTr="00D5015E">
        <w:tc>
          <w:tcPr>
            <w:tcW w:w="1699" w:type="pct"/>
          </w:tcPr>
          <w:p w14:paraId="33104D08" w14:textId="55750FB8" w:rsidR="00305A76" w:rsidRPr="00D5015E" w:rsidRDefault="003B07D2" w:rsidP="006D20A1">
            <w:pPr>
              <w:rPr>
                <w:b/>
                <w:bCs/>
                <w:sz w:val="22"/>
                <w:lang w:val="en-US"/>
              </w:rPr>
            </w:pPr>
            <w:r w:rsidRPr="00D5015E">
              <w:rPr>
                <w:b/>
                <w:bCs/>
                <w:i/>
                <w:iCs/>
                <w:sz w:val="22"/>
              </w:rPr>
              <w:t>Supporting and encouraging innovation</w:t>
            </w:r>
            <w:r w:rsidRPr="00D5015E">
              <w:rPr>
                <w:sz w:val="22"/>
              </w:rPr>
              <w:t xml:space="preserve">. Export meat processing establishments are encouraged and incentivised to embed regulatory compliance at the heart of their operations as they seek innovation within their business.  In return, the department will actively support and encourage this innovation when regulatory compliance requirements can be maintained and enhanced. </w:t>
            </w:r>
          </w:p>
        </w:tc>
        <w:tc>
          <w:tcPr>
            <w:tcW w:w="3301" w:type="pct"/>
          </w:tcPr>
          <w:p w14:paraId="605469A8" w14:textId="6B95D7CF" w:rsidR="003B07D2" w:rsidRPr="00D5015E" w:rsidRDefault="003B07D2" w:rsidP="000028DE">
            <w:pPr>
              <w:rPr>
                <w:sz w:val="22"/>
                <w:lang w:val="en-US"/>
              </w:rPr>
            </w:pPr>
            <w:r w:rsidRPr="00D5015E">
              <w:rPr>
                <w:sz w:val="22"/>
                <w:lang w:val="en-US"/>
              </w:rPr>
              <w:t xml:space="preserve">The market access </w:t>
            </w:r>
            <w:proofErr w:type="spellStart"/>
            <w:r w:rsidRPr="00D5015E">
              <w:rPr>
                <w:sz w:val="22"/>
                <w:lang w:val="en-US"/>
              </w:rPr>
              <w:t>prioritisation</w:t>
            </w:r>
            <w:proofErr w:type="spellEnd"/>
            <w:r w:rsidRPr="00D5015E">
              <w:rPr>
                <w:sz w:val="22"/>
                <w:lang w:val="en-US"/>
              </w:rPr>
              <w:t xml:space="preserve"> framework is </w:t>
            </w:r>
            <w:proofErr w:type="spellStart"/>
            <w:r w:rsidRPr="00D5015E">
              <w:rPr>
                <w:sz w:val="22"/>
                <w:lang w:val="en-US"/>
              </w:rPr>
              <w:t>utilised</w:t>
            </w:r>
            <w:proofErr w:type="spellEnd"/>
            <w:r w:rsidRPr="00D5015E">
              <w:rPr>
                <w:sz w:val="22"/>
                <w:lang w:val="en-US"/>
              </w:rPr>
              <w:t xml:space="preserve"> to seek trading partner acceptance of technological innovation as required</w:t>
            </w:r>
            <w:r w:rsidR="006D20A1" w:rsidRPr="00D5015E">
              <w:rPr>
                <w:sz w:val="22"/>
                <w:lang w:val="en-US"/>
              </w:rPr>
              <w:t>.</w:t>
            </w:r>
          </w:p>
          <w:p w14:paraId="216636D0" w14:textId="75580157" w:rsidR="006D20A1" w:rsidRDefault="006D20A1" w:rsidP="006D20A1">
            <w:pPr>
              <w:rPr>
                <w:sz w:val="22"/>
                <w:lang w:val="en-US"/>
              </w:rPr>
            </w:pPr>
            <w:r w:rsidRPr="00D5015E">
              <w:rPr>
                <w:sz w:val="22"/>
                <w:lang w:val="en-US"/>
              </w:rPr>
              <w:t>Departmental processes are reviewed/updated as technological innovations are accepted and implemented.</w:t>
            </w:r>
          </w:p>
          <w:p w14:paraId="5AD2D951" w14:textId="7DF36337" w:rsidR="00ED4A83" w:rsidRPr="00ED4A83" w:rsidRDefault="00ED4A83" w:rsidP="00ED4A83">
            <w:pPr>
              <w:rPr>
                <w:sz w:val="22"/>
                <w:lang w:val="en-US"/>
              </w:rPr>
            </w:pPr>
            <w:r w:rsidRPr="00ED4A83">
              <w:rPr>
                <w:sz w:val="22"/>
                <w:lang w:val="en-US"/>
              </w:rPr>
              <w:t>A transparent alternative technologies approval process is available</w:t>
            </w:r>
            <w:r>
              <w:rPr>
                <w:sz w:val="22"/>
                <w:lang w:val="en-US"/>
              </w:rPr>
              <w:t xml:space="preserve">, </w:t>
            </w:r>
            <w:r w:rsidRPr="00ED4A83">
              <w:rPr>
                <w:sz w:val="22"/>
                <w:lang w:val="en-US"/>
              </w:rPr>
              <w:t>to enable considerat</w:t>
            </w:r>
            <w:r>
              <w:rPr>
                <w:sz w:val="22"/>
                <w:lang w:val="en-US"/>
              </w:rPr>
              <w:t xml:space="preserve">ion </w:t>
            </w:r>
            <w:r w:rsidRPr="00ED4A83">
              <w:rPr>
                <w:sz w:val="22"/>
                <w:lang w:val="en-US"/>
              </w:rPr>
              <w:t>of alternate technologies</w:t>
            </w:r>
          </w:p>
          <w:p w14:paraId="1367FBA2" w14:textId="451C0E11" w:rsidR="006D20A1" w:rsidRPr="00D5015E" w:rsidRDefault="006D20A1" w:rsidP="000028DE">
            <w:pPr>
              <w:rPr>
                <w:sz w:val="22"/>
                <w:lang w:val="en-US"/>
              </w:rPr>
            </w:pPr>
          </w:p>
        </w:tc>
      </w:tr>
      <w:tr w:rsidR="00305A76" w14:paraId="531F45D1" w14:textId="77777777" w:rsidTr="00D5015E">
        <w:tc>
          <w:tcPr>
            <w:tcW w:w="1699" w:type="pct"/>
          </w:tcPr>
          <w:p w14:paraId="5F97B5F9" w14:textId="77777777" w:rsidR="003B07D2" w:rsidRPr="00D5015E" w:rsidRDefault="003B07D2" w:rsidP="003B07D2">
            <w:pPr>
              <w:pStyle w:val="Default"/>
              <w:autoSpaceDE/>
              <w:autoSpaceDN/>
              <w:adjustRightInd/>
              <w:spacing w:after="160" w:line="259" w:lineRule="auto"/>
              <w:contextualSpacing/>
              <w:rPr>
                <w:rFonts w:eastAsia="Calibri" w:cs="Times New Roman"/>
                <w:color w:val="auto"/>
                <w:sz w:val="22"/>
                <w:szCs w:val="22"/>
              </w:rPr>
            </w:pPr>
            <w:r w:rsidRPr="00D5015E">
              <w:rPr>
                <w:rFonts w:eastAsia="Calibri" w:cs="Times New Roman"/>
                <w:color w:val="auto"/>
                <w:sz w:val="22"/>
                <w:szCs w:val="22"/>
              </w:rPr>
              <w:lastRenderedPageBreak/>
              <w:t xml:space="preserve">Both the department and the export meat processing sector will </w:t>
            </w:r>
            <w:r w:rsidRPr="00D5015E">
              <w:rPr>
                <w:rFonts w:eastAsia="Calibri" w:cs="Times New Roman"/>
                <w:b/>
                <w:bCs/>
                <w:i/>
                <w:iCs/>
                <w:color w:val="auto"/>
                <w:sz w:val="22"/>
                <w:szCs w:val="22"/>
              </w:rPr>
              <w:t>act in a transparent manner</w:t>
            </w:r>
            <w:r w:rsidRPr="00D5015E">
              <w:rPr>
                <w:rFonts w:eastAsia="Calibri" w:cs="Times New Roman"/>
                <w:color w:val="auto"/>
                <w:sz w:val="22"/>
                <w:szCs w:val="22"/>
              </w:rPr>
              <w:t xml:space="preserve">, proactively sharing data and information, where appropriate, to support the Australian export meat industry. </w:t>
            </w:r>
          </w:p>
          <w:p w14:paraId="3C1E3B9A" w14:textId="33A86E2E" w:rsidR="00305A76" w:rsidRPr="00D5015E" w:rsidRDefault="00305A76" w:rsidP="000028DE">
            <w:pPr>
              <w:rPr>
                <w:b/>
                <w:bCs/>
                <w:sz w:val="22"/>
                <w:lang w:val="en-US"/>
              </w:rPr>
            </w:pPr>
          </w:p>
        </w:tc>
        <w:tc>
          <w:tcPr>
            <w:tcW w:w="3301" w:type="pct"/>
          </w:tcPr>
          <w:p w14:paraId="0175E145" w14:textId="78C788E7" w:rsidR="006D20A1" w:rsidRPr="00D5015E" w:rsidRDefault="006D20A1" w:rsidP="006D20A1">
            <w:pPr>
              <w:rPr>
                <w:sz w:val="22"/>
                <w:lang w:val="en-US"/>
              </w:rPr>
            </w:pPr>
            <w:r w:rsidRPr="00D5015E">
              <w:rPr>
                <w:sz w:val="22"/>
                <w:lang w:val="en-US"/>
              </w:rPr>
              <w:t xml:space="preserve">Openly </w:t>
            </w:r>
            <w:proofErr w:type="gramStart"/>
            <w:r w:rsidRPr="00D5015E">
              <w:rPr>
                <w:sz w:val="22"/>
                <w:lang w:val="en-US"/>
              </w:rPr>
              <w:t>communicates, and</w:t>
            </w:r>
            <w:proofErr w:type="gramEnd"/>
            <w:r w:rsidRPr="00D5015E">
              <w:rPr>
                <w:sz w:val="22"/>
                <w:lang w:val="en-US"/>
              </w:rPr>
              <w:t xml:space="preserve"> </w:t>
            </w:r>
            <w:proofErr w:type="spellStart"/>
            <w:r w:rsidRPr="00D5015E">
              <w:rPr>
                <w:sz w:val="22"/>
                <w:lang w:val="en-US"/>
              </w:rPr>
              <w:t>empathises</w:t>
            </w:r>
            <w:proofErr w:type="spellEnd"/>
            <w:r w:rsidRPr="00D5015E">
              <w:rPr>
                <w:sz w:val="22"/>
                <w:lang w:val="en-US"/>
              </w:rPr>
              <w:t xml:space="preserve"> with the other party to understand their views/drivers</w:t>
            </w:r>
            <w:r w:rsidR="00085B84">
              <w:rPr>
                <w:sz w:val="22"/>
                <w:lang w:val="en-US"/>
              </w:rPr>
              <w:t>.</w:t>
            </w:r>
          </w:p>
          <w:p w14:paraId="0EC2C346" w14:textId="443AAA90" w:rsidR="00334C62" w:rsidRPr="00D5015E" w:rsidRDefault="00334C62" w:rsidP="00334C62">
            <w:pPr>
              <w:rPr>
                <w:sz w:val="22"/>
                <w:lang w:val="en-US"/>
              </w:rPr>
            </w:pPr>
            <w:r>
              <w:rPr>
                <w:sz w:val="22"/>
                <w:lang w:val="en-US"/>
              </w:rPr>
              <w:t>Staff will actively work to ensure c</w:t>
            </w:r>
            <w:r w:rsidRPr="00D5015E">
              <w:rPr>
                <w:sz w:val="22"/>
                <w:lang w:val="en-US"/>
              </w:rPr>
              <w:t>lear</w:t>
            </w:r>
            <w:r>
              <w:rPr>
                <w:sz w:val="22"/>
                <w:lang w:val="en-US"/>
              </w:rPr>
              <w:t>, two</w:t>
            </w:r>
            <w:r w:rsidR="00D31270">
              <w:rPr>
                <w:sz w:val="22"/>
                <w:lang w:val="en-US"/>
              </w:rPr>
              <w:t>-</w:t>
            </w:r>
            <w:r>
              <w:rPr>
                <w:sz w:val="22"/>
                <w:lang w:val="en-US"/>
              </w:rPr>
              <w:t>way communication</w:t>
            </w:r>
            <w:r w:rsidRPr="00D5015E">
              <w:rPr>
                <w:sz w:val="22"/>
                <w:lang w:val="en-US"/>
              </w:rPr>
              <w:t xml:space="preserve"> (written and verbal) using direct and simple language.</w:t>
            </w:r>
          </w:p>
          <w:p w14:paraId="6EE144F4" w14:textId="0333BDF7" w:rsidR="006D20A1" w:rsidRPr="00D5015E" w:rsidRDefault="00AF4268" w:rsidP="000028DE">
            <w:pPr>
              <w:rPr>
                <w:sz w:val="22"/>
                <w:lang w:val="en-US"/>
              </w:rPr>
            </w:pPr>
            <w:r>
              <w:rPr>
                <w:sz w:val="22"/>
                <w:lang w:val="en-US"/>
              </w:rPr>
              <w:t>E</w:t>
            </w:r>
            <w:r w:rsidR="00727B1B" w:rsidRPr="00D5015E">
              <w:rPr>
                <w:sz w:val="22"/>
                <w:lang w:val="en-US"/>
              </w:rPr>
              <w:t xml:space="preserve">xport establishments </w:t>
            </w:r>
            <w:r>
              <w:rPr>
                <w:sz w:val="22"/>
                <w:lang w:val="en-US"/>
              </w:rPr>
              <w:t>and</w:t>
            </w:r>
            <w:r w:rsidRPr="00D5015E">
              <w:rPr>
                <w:sz w:val="22"/>
                <w:lang w:val="en-US"/>
              </w:rPr>
              <w:t xml:space="preserve"> </w:t>
            </w:r>
            <w:r w:rsidR="00727B1B" w:rsidRPr="00D5015E">
              <w:rPr>
                <w:sz w:val="22"/>
                <w:lang w:val="en-US"/>
              </w:rPr>
              <w:t xml:space="preserve">the department are </w:t>
            </w:r>
            <w:r>
              <w:rPr>
                <w:sz w:val="22"/>
                <w:lang w:val="en-US"/>
              </w:rPr>
              <w:t xml:space="preserve">encouraged to acknowledge </w:t>
            </w:r>
            <w:r w:rsidR="00727B1B" w:rsidRPr="00D5015E">
              <w:rPr>
                <w:sz w:val="22"/>
                <w:lang w:val="en-US"/>
              </w:rPr>
              <w:t>another party for displaying behaviors which affirm positive alignment with broader vision.</w:t>
            </w:r>
          </w:p>
        </w:tc>
      </w:tr>
      <w:tr w:rsidR="00305A76" w14:paraId="6C7A669A" w14:textId="77777777" w:rsidTr="00D5015E">
        <w:tc>
          <w:tcPr>
            <w:tcW w:w="1699" w:type="pct"/>
          </w:tcPr>
          <w:p w14:paraId="6412DE34" w14:textId="77777777" w:rsidR="003B07D2" w:rsidRPr="00D5015E" w:rsidRDefault="003B07D2" w:rsidP="003B07D2">
            <w:pPr>
              <w:rPr>
                <w:sz w:val="22"/>
              </w:rPr>
            </w:pPr>
            <w:r w:rsidRPr="00D5015E">
              <w:rPr>
                <w:sz w:val="22"/>
              </w:rPr>
              <w:t xml:space="preserve">The department will focus on </w:t>
            </w:r>
            <w:r w:rsidRPr="00D5015E">
              <w:rPr>
                <w:b/>
                <w:bCs/>
                <w:i/>
                <w:iCs/>
                <w:sz w:val="22"/>
              </w:rPr>
              <w:t>embedding regulatory approaches, that partner with industry</w:t>
            </w:r>
            <w:r w:rsidRPr="00D5015E">
              <w:rPr>
                <w:sz w:val="22"/>
              </w:rPr>
              <w:t xml:space="preserve"> to meet trading partner requirements and serve the Australian community through the effective and efficient administration of regulation. </w:t>
            </w:r>
          </w:p>
          <w:p w14:paraId="71C64275" w14:textId="09AA4482" w:rsidR="00305A76" w:rsidRPr="00D5015E" w:rsidRDefault="00305A76" w:rsidP="000028DE">
            <w:pPr>
              <w:rPr>
                <w:b/>
                <w:bCs/>
                <w:sz w:val="22"/>
                <w:lang w:val="en-US"/>
              </w:rPr>
            </w:pPr>
          </w:p>
        </w:tc>
        <w:tc>
          <w:tcPr>
            <w:tcW w:w="3301" w:type="pct"/>
          </w:tcPr>
          <w:p w14:paraId="64D96561" w14:textId="7A010135" w:rsidR="003B07D2" w:rsidRPr="00D5015E" w:rsidRDefault="003B07D2" w:rsidP="003B07D2">
            <w:pPr>
              <w:rPr>
                <w:sz w:val="22"/>
                <w:lang w:val="en-US"/>
              </w:rPr>
            </w:pPr>
            <w:r w:rsidRPr="00D5015E">
              <w:rPr>
                <w:sz w:val="22"/>
                <w:lang w:val="en-US"/>
              </w:rPr>
              <w:t xml:space="preserve">Industry and department staff </w:t>
            </w:r>
            <w:proofErr w:type="spellStart"/>
            <w:r w:rsidRPr="00D5015E">
              <w:rPr>
                <w:sz w:val="22"/>
                <w:lang w:val="en-US"/>
              </w:rPr>
              <w:t>prioritise</w:t>
            </w:r>
            <w:proofErr w:type="spellEnd"/>
            <w:r w:rsidRPr="00D5015E">
              <w:rPr>
                <w:sz w:val="22"/>
                <w:lang w:val="en-US"/>
              </w:rPr>
              <w:t xml:space="preserve"> OPV weekly meetings. Both groups undertake prior preparation to ensure meetings are productive</w:t>
            </w:r>
            <w:r w:rsidR="00334C62">
              <w:rPr>
                <w:sz w:val="22"/>
                <w:lang w:val="en-US"/>
              </w:rPr>
              <w:t xml:space="preserve">, with </w:t>
            </w:r>
            <w:r w:rsidR="00AF4268">
              <w:rPr>
                <w:sz w:val="22"/>
                <w:lang w:val="en-US"/>
              </w:rPr>
              <w:t xml:space="preserve">minutes and </w:t>
            </w:r>
            <w:r w:rsidR="00334C62">
              <w:rPr>
                <w:sz w:val="22"/>
                <w:lang w:val="en-US"/>
              </w:rPr>
              <w:t xml:space="preserve">action items </w:t>
            </w:r>
            <w:r w:rsidR="00AF4268">
              <w:rPr>
                <w:sz w:val="22"/>
                <w:lang w:val="en-US"/>
              </w:rPr>
              <w:t xml:space="preserve">promptly </w:t>
            </w:r>
            <w:r w:rsidR="00334C62">
              <w:rPr>
                <w:sz w:val="22"/>
                <w:lang w:val="en-US"/>
              </w:rPr>
              <w:t>recorded</w:t>
            </w:r>
            <w:r w:rsidR="00AF4268">
              <w:rPr>
                <w:sz w:val="22"/>
                <w:lang w:val="en-US"/>
              </w:rPr>
              <w:t>, agreed to</w:t>
            </w:r>
            <w:r w:rsidR="00334C62">
              <w:rPr>
                <w:sz w:val="22"/>
                <w:lang w:val="en-US"/>
              </w:rPr>
              <w:t xml:space="preserve"> and actioned.</w:t>
            </w:r>
          </w:p>
          <w:p w14:paraId="4048FC73" w14:textId="37A52479" w:rsidR="006D20A1" w:rsidRPr="00D5015E" w:rsidRDefault="006D20A1" w:rsidP="006D20A1">
            <w:pPr>
              <w:rPr>
                <w:sz w:val="22"/>
                <w:lang w:val="en-US"/>
              </w:rPr>
            </w:pPr>
            <w:r w:rsidRPr="00D5015E">
              <w:rPr>
                <w:sz w:val="22"/>
                <w:lang w:val="en-US"/>
              </w:rPr>
              <w:t>Timely communication of changes in policy/procedures during weekly meetings</w:t>
            </w:r>
          </w:p>
          <w:p w14:paraId="5DF0730B" w14:textId="15AC07E8" w:rsidR="00305A76" w:rsidRPr="00D5015E" w:rsidRDefault="00AF4268" w:rsidP="000028DE">
            <w:pPr>
              <w:rPr>
                <w:sz w:val="22"/>
                <w:lang w:val="en-US"/>
              </w:rPr>
            </w:pPr>
            <w:r>
              <w:rPr>
                <w:sz w:val="22"/>
                <w:lang w:val="en-US"/>
              </w:rPr>
              <w:t>E</w:t>
            </w:r>
            <w:r w:rsidR="003B07D2" w:rsidRPr="00D5015E">
              <w:rPr>
                <w:sz w:val="22"/>
                <w:lang w:val="en-US"/>
              </w:rPr>
              <w:t xml:space="preserve">xport establishments </w:t>
            </w:r>
            <w:r>
              <w:rPr>
                <w:sz w:val="22"/>
                <w:lang w:val="en-US"/>
              </w:rPr>
              <w:t>and</w:t>
            </w:r>
            <w:r w:rsidRPr="00D5015E">
              <w:rPr>
                <w:sz w:val="22"/>
                <w:lang w:val="en-US"/>
              </w:rPr>
              <w:t xml:space="preserve"> </w:t>
            </w:r>
            <w:r w:rsidR="003B07D2" w:rsidRPr="00D5015E">
              <w:rPr>
                <w:sz w:val="22"/>
                <w:lang w:val="en-US"/>
              </w:rPr>
              <w:t>the department are</w:t>
            </w:r>
            <w:r>
              <w:rPr>
                <w:sz w:val="22"/>
                <w:lang w:val="en-US"/>
              </w:rPr>
              <w:t xml:space="preserve"> encouraged to acknowledge </w:t>
            </w:r>
            <w:r w:rsidR="003B07D2" w:rsidRPr="00D5015E">
              <w:rPr>
                <w:sz w:val="22"/>
                <w:lang w:val="en-US"/>
              </w:rPr>
              <w:t>another party for displaying behaviors which affirm positive alignment with broader vision.</w:t>
            </w:r>
          </w:p>
        </w:tc>
      </w:tr>
      <w:tr w:rsidR="00305A76" w14:paraId="5CB4637E" w14:textId="77777777" w:rsidTr="00D5015E">
        <w:tc>
          <w:tcPr>
            <w:tcW w:w="1699" w:type="pct"/>
          </w:tcPr>
          <w:p w14:paraId="108E2F8B" w14:textId="77777777" w:rsidR="003B07D2" w:rsidRPr="00D5015E" w:rsidRDefault="003B07D2" w:rsidP="003B07D2">
            <w:pPr>
              <w:rPr>
                <w:sz w:val="22"/>
              </w:rPr>
            </w:pPr>
            <w:r w:rsidRPr="00D5015E">
              <w:rPr>
                <w:b/>
                <w:bCs/>
                <w:i/>
                <w:iCs/>
                <w:sz w:val="22"/>
              </w:rPr>
              <w:t>Clear and understandable regulations and rulings</w:t>
            </w:r>
            <w:r w:rsidRPr="00D5015E">
              <w:rPr>
                <w:sz w:val="22"/>
              </w:rPr>
              <w:t xml:space="preserve"> will provide export meat industry participants with the knowledge needed to comply with regulations.  </w:t>
            </w:r>
          </w:p>
          <w:p w14:paraId="2EBF1A95" w14:textId="79CB8A86" w:rsidR="00305A76" w:rsidRPr="00D5015E" w:rsidRDefault="00305A76" w:rsidP="000028DE">
            <w:pPr>
              <w:rPr>
                <w:b/>
                <w:bCs/>
                <w:sz w:val="22"/>
                <w:lang w:val="en-US"/>
              </w:rPr>
            </w:pPr>
          </w:p>
        </w:tc>
        <w:tc>
          <w:tcPr>
            <w:tcW w:w="3301" w:type="pct"/>
          </w:tcPr>
          <w:p w14:paraId="1AB65AF1" w14:textId="595B3DB0" w:rsidR="00334C62" w:rsidRDefault="00334C62" w:rsidP="00334C62">
            <w:pPr>
              <w:rPr>
                <w:sz w:val="22"/>
                <w:lang w:val="en-US"/>
              </w:rPr>
            </w:pPr>
            <w:r w:rsidRPr="00D5015E">
              <w:rPr>
                <w:sz w:val="22"/>
                <w:lang w:val="en-US"/>
              </w:rPr>
              <w:t xml:space="preserve">Regulatory decisions are </w:t>
            </w:r>
            <w:r w:rsidR="00AF4268">
              <w:rPr>
                <w:sz w:val="22"/>
                <w:lang w:val="en-US"/>
              </w:rPr>
              <w:t xml:space="preserve">made fairly, </w:t>
            </w:r>
            <w:proofErr w:type="gramStart"/>
            <w:r w:rsidR="00AF4268">
              <w:rPr>
                <w:sz w:val="22"/>
                <w:lang w:val="en-US"/>
              </w:rPr>
              <w:t>objectively</w:t>
            </w:r>
            <w:proofErr w:type="gramEnd"/>
            <w:r w:rsidR="00AF4268">
              <w:rPr>
                <w:sz w:val="22"/>
                <w:lang w:val="en-US"/>
              </w:rPr>
              <w:t xml:space="preserve"> and consistent with legislation and </w:t>
            </w:r>
            <w:r w:rsidRPr="00D5015E">
              <w:rPr>
                <w:sz w:val="22"/>
                <w:lang w:val="en-US"/>
              </w:rPr>
              <w:t>communicated to establishments (including in writing) with support of appropriate evidence</w:t>
            </w:r>
            <w:r w:rsidR="00AF4268">
              <w:rPr>
                <w:sz w:val="22"/>
                <w:lang w:val="en-US"/>
              </w:rPr>
              <w:t>, with review pathways clearly outlined</w:t>
            </w:r>
            <w:r w:rsidRPr="00D5015E">
              <w:rPr>
                <w:sz w:val="22"/>
                <w:lang w:val="en-US"/>
              </w:rPr>
              <w:t>.</w:t>
            </w:r>
            <w:r w:rsidR="00727B1B">
              <w:rPr>
                <w:sz w:val="22"/>
                <w:lang w:val="en-US"/>
              </w:rPr>
              <w:t xml:space="preserve"> </w:t>
            </w:r>
          </w:p>
          <w:p w14:paraId="746B8AAF" w14:textId="3C056B66" w:rsidR="00305A76" w:rsidRPr="00D5015E" w:rsidRDefault="00727B1B" w:rsidP="006D20A1">
            <w:pPr>
              <w:rPr>
                <w:sz w:val="22"/>
                <w:lang w:val="en-US"/>
              </w:rPr>
            </w:pPr>
            <w:r>
              <w:rPr>
                <w:sz w:val="22"/>
                <w:lang w:val="en-US"/>
              </w:rPr>
              <w:t>Policies requirements for regulation are accessible and clear.</w:t>
            </w:r>
          </w:p>
        </w:tc>
      </w:tr>
    </w:tbl>
    <w:p w14:paraId="25FA61A7" w14:textId="77777777" w:rsidR="00305A76" w:rsidRDefault="00305A76" w:rsidP="000028DE">
      <w:pPr>
        <w:rPr>
          <w:lang w:val="en-US"/>
        </w:rPr>
      </w:pPr>
    </w:p>
    <w:p w14:paraId="23631230" w14:textId="77777777" w:rsidR="005A2244" w:rsidRPr="00674AFC" w:rsidRDefault="005A2244" w:rsidP="00EE572C">
      <w:pPr>
        <w:rPr>
          <w:szCs w:val="24"/>
        </w:rPr>
      </w:pPr>
    </w:p>
    <w:sectPr w:rsidR="005A2244" w:rsidRPr="00674AFC" w:rsidSect="00D5015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227F" w14:textId="77777777" w:rsidR="009A4FD8" w:rsidRDefault="009A4FD8">
      <w:pPr>
        <w:spacing w:after="0"/>
      </w:pPr>
      <w:r>
        <w:separator/>
      </w:r>
    </w:p>
  </w:endnote>
  <w:endnote w:type="continuationSeparator" w:id="0">
    <w:p w14:paraId="317215C1" w14:textId="77777777" w:rsidR="009A4FD8" w:rsidRDefault="009A4F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44C6" w14:textId="77777777" w:rsidR="009A4FD8" w:rsidRDefault="009A4FD8">
      <w:pPr>
        <w:spacing w:after="0"/>
      </w:pPr>
      <w:r>
        <w:separator/>
      </w:r>
    </w:p>
  </w:footnote>
  <w:footnote w:type="continuationSeparator" w:id="0">
    <w:p w14:paraId="1ED6A4AB" w14:textId="77777777" w:rsidR="009A4FD8" w:rsidRDefault="009A4F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78DA" w14:textId="696C09BF" w:rsidR="00211585" w:rsidRDefault="00211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22EC" w14:textId="70BEC1E5" w:rsidR="00211585" w:rsidRDefault="002115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2BC9" w14:textId="343ED487" w:rsidR="00211585" w:rsidRDefault="00211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E01"/>
    <w:multiLevelType w:val="hybridMultilevel"/>
    <w:tmpl w:val="33FCDCBA"/>
    <w:lvl w:ilvl="0" w:tplc="406820BE">
      <w:start w:val="1"/>
      <w:numFmt w:val="bullet"/>
      <w:lvlText w:val=""/>
      <w:lvlJc w:val="left"/>
      <w:pPr>
        <w:ind w:left="720" w:hanging="360"/>
      </w:pPr>
      <w:rPr>
        <w:rFonts w:ascii="Symbol" w:hAnsi="Symbol" w:hint="default"/>
      </w:rPr>
    </w:lvl>
    <w:lvl w:ilvl="1" w:tplc="85580C46">
      <w:start w:val="1"/>
      <w:numFmt w:val="bullet"/>
      <w:lvlText w:val="o"/>
      <w:lvlJc w:val="left"/>
      <w:pPr>
        <w:ind w:left="1800" w:hanging="360"/>
      </w:pPr>
      <w:rPr>
        <w:rFonts w:ascii="Courier New" w:hAnsi="Courier New" w:cs="Courier New" w:hint="default"/>
      </w:rPr>
    </w:lvl>
    <w:lvl w:ilvl="2" w:tplc="38DA7AC2">
      <w:start w:val="1"/>
      <w:numFmt w:val="bullet"/>
      <w:lvlText w:val=""/>
      <w:lvlJc w:val="left"/>
      <w:pPr>
        <w:ind w:left="2520" w:hanging="360"/>
      </w:pPr>
      <w:rPr>
        <w:rFonts w:ascii="Wingdings" w:hAnsi="Wingdings" w:hint="default"/>
      </w:rPr>
    </w:lvl>
    <w:lvl w:ilvl="3" w:tplc="0238912C">
      <w:start w:val="1"/>
      <w:numFmt w:val="bullet"/>
      <w:lvlText w:val=""/>
      <w:lvlJc w:val="left"/>
      <w:pPr>
        <w:ind w:left="3240" w:hanging="360"/>
      </w:pPr>
      <w:rPr>
        <w:rFonts w:ascii="Symbol" w:hAnsi="Symbol" w:hint="default"/>
      </w:rPr>
    </w:lvl>
    <w:lvl w:ilvl="4" w:tplc="C36A4B9A">
      <w:start w:val="1"/>
      <w:numFmt w:val="bullet"/>
      <w:lvlText w:val="o"/>
      <w:lvlJc w:val="left"/>
      <w:pPr>
        <w:ind w:left="3960" w:hanging="360"/>
      </w:pPr>
      <w:rPr>
        <w:rFonts w:ascii="Courier New" w:hAnsi="Courier New" w:cs="Courier New" w:hint="default"/>
      </w:rPr>
    </w:lvl>
    <w:lvl w:ilvl="5" w:tplc="C838BCF2">
      <w:start w:val="1"/>
      <w:numFmt w:val="bullet"/>
      <w:lvlText w:val=""/>
      <w:lvlJc w:val="left"/>
      <w:pPr>
        <w:ind w:left="4680" w:hanging="360"/>
      </w:pPr>
      <w:rPr>
        <w:rFonts w:ascii="Wingdings" w:hAnsi="Wingdings" w:hint="default"/>
      </w:rPr>
    </w:lvl>
    <w:lvl w:ilvl="6" w:tplc="192C2706">
      <w:start w:val="1"/>
      <w:numFmt w:val="bullet"/>
      <w:lvlText w:val=""/>
      <w:lvlJc w:val="left"/>
      <w:pPr>
        <w:ind w:left="5400" w:hanging="360"/>
      </w:pPr>
      <w:rPr>
        <w:rFonts w:ascii="Symbol" w:hAnsi="Symbol" w:hint="default"/>
      </w:rPr>
    </w:lvl>
    <w:lvl w:ilvl="7" w:tplc="915621C2">
      <w:start w:val="1"/>
      <w:numFmt w:val="bullet"/>
      <w:lvlText w:val="o"/>
      <w:lvlJc w:val="left"/>
      <w:pPr>
        <w:ind w:left="6120" w:hanging="360"/>
      </w:pPr>
      <w:rPr>
        <w:rFonts w:ascii="Courier New" w:hAnsi="Courier New" w:cs="Courier New" w:hint="default"/>
      </w:rPr>
    </w:lvl>
    <w:lvl w:ilvl="8" w:tplc="9020B694">
      <w:start w:val="1"/>
      <w:numFmt w:val="bullet"/>
      <w:lvlText w:val=""/>
      <w:lvlJc w:val="left"/>
      <w:pPr>
        <w:ind w:left="6840" w:hanging="360"/>
      </w:pPr>
      <w:rPr>
        <w:rFonts w:ascii="Wingdings" w:hAnsi="Wingdings" w:hint="default"/>
      </w:rPr>
    </w:lvl>
  </w:abstractNum>
  <w:abstractNum w:abstractNumId="1" w15:restartNumberingAfterBreak="0">
    <w:nsid w:val="109D0A4D"/>
    <w:multiLevelType w:val="hybridMultilevel"/>
    <w:tmpl w:val="D12AC730"/>
    <w:lvl w:ilvl="0" w:tplc="DD18652A">
      <w:start w:val="1"/>
      <w:numFmt w:val="bullet"/>
      <w:lvlText w:val=""/>
      <w:lvlJc w:val="left"/>
      <w:pPr>
        <w:ind w:left="1440" w:hanging="360"/>
      </w:pPr>
      <w:rPr>
        <w:rFonts w:ascii="Symbol" w:hAnsi="Symbol" w:hint="default"/>
      </w:rPr>
    </w:lvl>
    <w:lvl w:ilvl="1" w:tplc="9104ACE4" w:tentative="1">
      <w:start w:val="1"/>
      <w:numFmt w:val="bullet"/>
      <w:lvlText w:val="o"/>
      <w:lvlJc w:val="left"/>
      <w:pPr>
        <w:ind w:left="2160" w:hanging="360"/>
      </w:pPr>
      <w:rPr>
        <w:rFonts w:ascii="Courier New" w:hAnsi="Courier New" w:cs="Courier New" w:hint="default"/>
      </w:rPr>
    </w:lvl>
    <w:lvl w:ilvl="2" w:tplc="45BCCB66" w:tentative="1">
      <w:start w:val="1"/>
      <w:numFmt w:val="bullet"/>
      <w:lvlText w:val=""/>
      <w:lvlJc w:val="left"/>
      <w:pPr>
        <w:ind w:left="2880" w:hanging="360"/>
      </w:pPr>
      <w:rPr>
        <w:rFonts w:ascii="Wingdings" w:hAnsi="Wingdings" w:hint="default"/>
      </w:rPr>
    </w:lvl>
    <w:lvl w:ilvl="3" w:tplc="96D62FD6" w:tentative="1">
      <w:start w:val="1"/>
      <w:numFmt w:val="bullet"/>
      <w:lvlText w:val=""/>
      <w:lvlJc w:val="left"/>
      <w:pPr>
        <w:ind w:left="3600" w:hanging="360"/>
      </w:pPr>
      <w:rPr>
        <w:rFonts w:ascii="Symbol" w:hAnsi="Symbol" w:hint="default"/>
      </w:rPr>
    </w:lvl>
    <w:lvl w:ilvl="4" w:tplc="A426EFC4" w:tentative="1">
      <w:start w:val="1"/>
      <w:numFmt w:val="bullet"/>
      <w:lvlText w:val="o"/>
      <w:lvlJc w:val="left"/>
      <w:pPr>
        <w:ind w:left="4320" w:hanging="360"/>
      </w:pPr>
      <w:rPr>
        <w:rFonts w:ascii="Courier New" w:hAnsi="Courier New" w:cs="Courier New" w:hint="default"/>
      </w:rPr>
    </w:lvl>
    <w:lvl w:ilvl="5" w:tplc="C79E6E6A" w:tentative="1">
      <w:start w:val="1"/>
      <w:numFmt w:val="bullet"/>
      <w:lvlText w:val=""/>
      <w:lvlJc w:val="left"/>
      <w:pPr>
        <w:ind w:left="5040" w:hanging="360"/>
      </w:pPr>
      <w:rPr>
        <w:rFonts w:ascii="Wingdings" w:hAnsi="Wingdings" w:hint="default"/>
      </w:rPr>
    </w:lvl>
    <w:lvl w:ilvl="6" w:tplc="5DD07492" w:tentative="1">
      <w:start w:val="1"/>
      <w:numFmt w:val="bullet"/>
      <w:lvlText w:val=""/>
      <w:lvlJc w:val="left"/>
      <w:pPr>
        <w:ind w:left="5760" w:hanging="360"/>
      </w:pPr>
      <w:rPr>
        <w:rFonts w:ascii="Symbol" w:hAnsi="Symbol" w:hint="default"/>
      </w:rPr>
    </w:lvl>
    <w:lvl w:ilvl="7" w:tplc="82D834EA" w:tentative="1">
      <w:start w:val="1"/>
      <w:numFmt w:val="bullet"/>
      <w:lvlText w:val="o"/>
      <w:lvlJc w:val="left"/>
      <w:pPr>
        <w:ind w:left="6480" w:hanging="360"/>
      </w:pPr>
      <w:rPr>
        <w:rFonts w:ascii="Courier New" w:hAnsi="Courier New" w:cs="Courier New" w:hint="default"/>
      </w:rPr>
    </w:lvl>
    <w:lvl w:ilvl="8" w:tplc="77DCD066" w:tentative="1">
      <w:start w:val="1"/>
      <w:numFmt w:val="bullet"/>
      <w:lvlText w:val=""/>
      <w:lvlJc w:val="left"/>
      <w:pPr>
        <w:ind w:left="7200" w:hanging="360"/>
      </w:pPr>
      <w:rPr>
        <w:rFonts w:ascii="Wingdings" w:hAnsi="Wingdings" w:hint="default"/>
      </w:rPr>
    </w:lvl>
  </w:abstractNum>
  <w:abstractNum w:abstractNumId="2" w15:restartNumberingAfterBreak="0">
    <w:nsid w:val="1F5409B6"/>
    <w:multiLevelType w:val="hybridMultilevel"/>
    <w:tmpl w:val="F9AA7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404786"/>
    <w:multiLevelType w:val="hybridMultilevel"/>
    <w:tmpl w:val="2EE69758"/>
    <w:lvl w:ilvl="0" w:tplc="3AE48B88">
      <w:start w:val="1"/>
      <w:numFmt w:val="bullet"/>
      <w:lvlText w:val=""/>
      <w:lvlJc w:val="left"/>
      <w:pPr>
        <w:ind w:left="720" w:hanging="360"/>
      </w:pPr>
      <w:rPr>
        <w:rFonts w:ascii="Symbol" w:hAnsi="Symbol" w:hint="default"/>
      </w:rPr>
    </w:lvl>
    <w:lvl w:ilvl="1" w:tplc="4B764B46">
      <w:start w:val="1"/>
      <w:numFmt w:val="bullet"/>
      <w:lvlText w:val="o"/>
      <w:lvlJc w:val="left"/>
      <w:pPr>
        <w:ind w:left="1440" w:hanging="360"/>
      </w:pPr>
      <w:rPr>
        <w:rFonts w:ascii="Courier New" w:hAnsi="Courier New" w:cs="Courier New" w:hint="default"/>
      </w:rPr>
    </w:lvl>
    <w:lvl w:ilvl="2" w:tplc="3078DA3C">
      <w:start w:val="1"/>
      <w:numFmt w:val="bullet"/>
      <w:lvlText w:val=""/>
      <w:lvlJc w:val="left"/>
      <w:pPr>
        <w:ind w:left="2160" w:hanging="360"/>
      </w:pPr>
      <w:rPr>
        <w:rFonts w:ascii="Wingdings" w:hAnsi="Wingdings" w:hint="default"/>
      </w:rPr>
    </w:lvl>
    <w:lvl w:ilvl="3" w:tplc="C7B61E3E">
      <w:start w:val="1"/>
      <w:numFmt w:val="bullet"/>
      <w:lvlText w:val=""/>
      <w:lvlJc w:val="left"/>
      <w:pPr>
        <w:ind w:left="2880" w:hanging="360"/>
      </w:pPr>
      <w:rPr>
        <w:rFonts w:ascii="Symbol" w:hAnsi="Symbol" w:hint="default"/>
      </w:rPr>
    </w:lvl>
    <w:lvl w:ilvl="4" w:tplc="92428576">
      <w:start w:val="1"/>
      <w:numFmt w:val="bullet"/>
      <w:lvlText w:val="o"/>
      <w:lvlJc w:val="left"/>
      <w:pPr>
        <w:ind w:left="3600" w:hanging="360"/>
      </w:pPr>
      <w:rPr>
        <w:rFonts w:ascii="Courier New" w:hAnsi="Courier New" w:cs="Courier New" w:hint="default"/>
      </w:rPr>
    </w:lvl>
    <w:lvl w:ilvl="5" w:tplc="78328CD0">
      <w:start w:val="1"/>
      <w:numFmt w:val="bullet"/>
      <w:lvlText w:val=""/>
      <w:lvlJc w:val="left"/>
      <w:pPr>
        <w:ind w:left="4320" w:hanging="360"/>
      </w:pPr>
      <w:rPr>
        <w:rFonts w:ascii="Wingdings" w:hAnsi="Wingdings" w:hint="default"/>
      </w:rPr>
    </w:lvl>
    <w:lvl w:ilvl="6" w:tplc="79007FD8">
      <w:start w:val="1"/>
      <w:numFmt w:val="bullet"/>
      <w:lvlText w:val=""/>
      <w:lvlJc w:val="left"/>
      <w:pPr>
        <w:ind w:left="5040" w:hanging="360"/>
      </w:pPr>
      <w:rPr>
        <w:rFonts w:ascii="Symbol" w:hAnsi="Symbol" w:hint="default"/>
      </w:rPr>
    </w:lvl>
    <w:lvl w:ilvl="7" w:tplc="22BE5C08">
      <w:start w:val="1"/>
      <w:numFmt w:val="bullet"/>
      <w:lvlText w:val="o"/>
      <w:lvlJc w:val="left"/>
      <w:pPr>
        <w:ind w:left="5760" w:hanging="360"/>
      </w:pPr>
      <w:rPr>
        <w:rFonts w:ascii="Courier New" w:hAnsi="Courier New" w:cs="Courier New" w:hint="default"/>
      </w:rPr>
    </w:lvl>
    <w:lvl w:ilvl="8" w:tplc="1B84E156">
      <w:start w:val="1"/>
      <w:numFmt w:val="bullet"/>
      <w:lvlText w:val=""/>
      <w:lvlJc w:val="left"/>
      <w:pPr>
        <w:ind w:left="6480" w:hanging="360"/>
      </w:pPr>
      <w:rPr>
        <w:rFonts w:ascii="Wingdings" w:hAnsi="Wingdings" w:hint="default"/>
      </w:rPr>
    </w:lvl>
  </w:abstractNum>
  <w:abstractNum w:abstractNumId="4" w15:restartNumberingAfterBreak="0">
    <w:nsid w:val="26890875"/>
    <w:multiLevelType w:val="hybridMultilevel"/>
    <w:tmpl w:val="3AFAD420"/>
    <w:lvl w:ilvl="0" w:tplc="3668B0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C04F61"/>
    <w:multiLevelType w:val="hybridMultilevel"/>
    <w:tmpl w:val="D4A091A2"/>
    <w:lvl w:ilvl="0" w:tplc="00342B32">
      <w:start w:val="1"/>
      <w:numFmt w:val="bullet"/>
      <w:lvlText w:val=""/>
      <w:lvlJc w:val="left"/>
      <w:pPr>
        <w:ind w:left="720" w:hanging="360"/>
      </w:pPr>
      <w:rPr>
        <w:rFonts w:ascii="Symbol" w:hAnsi="Symbol" w:hint="default"/>
      </w:rPr>
    </w:lvl>
    <w:lvl w:ilvl="1" w:tplc="8DBA9928">
      <w:start w:val="1"/>
      <w:numFmt w:val="bullet"/>
      <w:lvlText w:val="o"/>
      <w:lvlJc w:val="left"/>
      <w:pPr>
        <w:ind w:left="1440" w:hanging="360"/>
      </w:pPr>
      <w:rPr>
        <w:rFonts w:ascii="Courier New" w:hAnsi="Courier New" w:cs="Courier New" w:hint="default"/>
      </w:rPr>
    </w:lvl>
    <w:lvl w:ilvl="2" w:tplc="3C5AC5B0" w:tentative="1">
      <w:start w:val="1"/>
      <w:numFmt w:val="bullet"/>
      <w:lvlText w:val=""/>
      <w:lvlJc w:val="left"/>
      <w:pPr>
        <w:ind w:left="2160" w:hanging="360"/>
      </w:pPr>
      <w:rPr>
        <w:rFonts w:ascii="Wingdings" w:hAnsi="Wingdings" w:hint="default"/>
      </w:rPr>
    </w:lvl>
    <w:lvl w:ilvl="3" w:tplc="87264AB0" w:tentative="1">
      <w:start w:val="1"/>
      <w:numFmt w:val="bullet"/>
      <w:lvlText w:val=""/>
      <w:lvlJc w:val="left"/>
      <w:pPr>
        <w:ind w:left="2880" w:hanging="360"/>
      </w:pPr>
      <w:rPr>
        <w:rFonts w:ascii="Symbol" w:hAnsi="Symbol" w:hint="default"/>
      </w:rPr>
    </w:lvl>
    <w:lvl w:ilvl="4" w:tplc="C070FE22" w:tentative="1">
      <w:start w:val="1"/>
      <w:numFmt w:val="bullet"/>
      <w:lvlText w:val="o"/>
      <w:lvlJc w:val="left"/>
      <w:pPr>
        <w:ind w:left="3600" w:hanging="360"/>
      </w:pPr>
      <w:rPr>
        <w:rFonts w:ascii="Courier New" w:hAnsi="Courier New" w:cs="Courier New" w:hint="default"/>
      </w:rPr>
    </w:lvl>
    <w:lvl w:ilvl="5" w:tplc="1236EDDE" w:tentative="1">
      <w:start w:val="1"/>
      <w:numFmt w:val="bullet"/>
      <w:lvlText w:val=""/>
      <w:lvlJc w:val="left"/>
      <w:pPr>
        <w:ind w:left="4320" w:hanging="360"/>
      </w:pPr>
      <w:rPr>
        <w:rFonts w:ascii="Wingdings" w:hAnsi="Wingdings" w:hint="default"/>
      </w:rPr>
    </w:lvl>
    <w:lvl w:ilvl="6" w:tplc="1B66907C" w:tentative="1">
      <w:start w:val="1"/>
      <w:numFmt w:val="bullet"/>
      <w:lvlText w:val=""/>
      <w:lvlJc w:val="left"/>
      <w:pPr>
        <w:ind w:left="5040" w:hanging="360"/>
      </w:pPr>
      <w:rPr>
        <w:rFonts w:ascii="Symbol" w:hAnsi="Symbol" w:hint="default"/>
      </w:rPr>
    </w:lvl>
    <w:lvl w:ilvl="7" w:tplc="57BADADA" w:tentative="1">
      <w:start w:val="1"/>
      <w:numFmt w:val="bullet"/>
      <w:lvlText w:val="o"/>
      <w:lvlJc w:val="left"/>
      <w:pPr>
        <w:ind w:left="5760" w:hanging="360"/>
      </w:pPr>
      <w:rPr>
        <w:rFonts w:ascii="Courier New" w:hAnsi="Courier New" w:cs="Courier New" w:hint="default"/>
      </w:rPr>
    </w:lvl>
    <w:lvl w:ilvl="8" w:tplc="59F80B72" w:tentative="1">
      <w:start w:val="1"/>
      <w:numFmt w:val="bullet"/>
      <w:lvlText w:val=""/>
      <w:lvlJc w:val="left"/>
      <w:pPr>
        <w:ind w:left="6480" w:hanging="360"/>
      </w:pPr>
      <w:rPr>
        <w:rFonts w:ascii="Wingdings" w:hAnsi="Wingdings" w:hint="default"/>
      </w:rPr>
    </w:lvl>
  </w:abstractNum>
  <w:abstractNum w:abstractNumId="6" w15:restartNumberingAfterBreak="0">
    <w:nsid w:val="3F764653"/>
    <w:multiLevelType w:val="hybridMultilevel"/>
    <w:tmpl w:val="6DEA2C46"/>
    <w:lvl w:ilvl="0" w:tplc="20FE219C">
      <w:start w:val="1"/>
      <w:numFmt w:val="bullet"/>
      <w:lvlText w:val=""/>
      <w:lvlJc w:val="left"/>
      <w:pPr>
        <w:ind w:left="1080" w:hanging="360"/>
      </w:pPr>
      <w:rPr>
        <w:rFonts w:ascii="Symbol" w:hAnsi="Symbol" w:hint="default"/>
      </w:rPr>
    </w:lvl>
    <w:lvl w:ilvl="1" w:tplc="A290E086" w:tentative="1">
      <w:start w:val="1"/>
      <w:numFmt w:val="bullet"/>
      <w:lvlText w:val="o"/>
      <w:lvlJc w:val="left"/>
      <w:pPr>
        <w:ind w:left="1040" w:hanging="360"/>
      </w:pPr>
      <w:rPr>
        <w:rFonts w:ascii="Courier New" w:hAnsi="Courier New" w:cs="Courier New" w:hint="default"/>
      </w:rPr>
    </w:lvl>
    <w:lvl w:ilvl="2" w:tplc="23B8BFF2" w:tentative="1">
      <w:start w:val="1"/>
      <w:numFmt w:val="bullet"/>
      <w:lvlText w:val=""/>
      <w:lvlJc w:val="left"/>
      <w:pPr>
        <w:ind w:left="1760" w:hanging="360"/>
      </w:pPr>
      <w:rPr>
        <w:rFonts w:ascii="Wingdings" w:hAnsi="Wingdings" w:hint="default"/>
      </w:rPr>
    </w:lvl>
    <w:lvl w:ilvl="3" w:tplc="34841EBA" w:tentative="1">
      <w:start w:val="1"/>
      <w:numFmt w:val="bullet"/>
      <w:lvlText w:val=""/>
      <w:lvlJc w:val="left"/>
      <w:pPr>
        <w:ind w:left="2480" w:hanging="360"/>
      </w:pPr>
      <w:rPr>
        <w:rFonts w:ascii="Symbol" w:hAnsi="Symbol" w:hint="default"/>
      </w:rPr>
    </w:lvl>
    <w:lvl w:ilvl="4" w:tplc="0CF8DA6C" w:tentative="1">
      <w:start w:val="1"/>
      <w:numFmt w:val="bullet"/>
      <w:lvlText w:val="o"/>
      <w:lvlJc w:val="left"/>
      <w:pPr>
        <w:ind w:left="3200" w:hanging="360"/>
      </w:pPr>
      <w:rPr>
        <w:rFonts w:ascii="Courier New" w:hAnsi="Courier New" w:cs="Courier New" w:hint="default"/>
      </w:rPr>
    </w:lvl>
    <w:lvl w:ilvl="5" w:tplc="06E6ED16" w:tentative="1">
      <w:start w:val="1"/>
      <w:numFmt w:val="bullet"/>
      <w:lvlText w:val=""/>
      <w:lvlJc w:val="left"/>
      <w:pPr>
        <w:ind w:left="3920" w:hanging="360"/>
      </w:pPr>
      <w:rPr>
        <w:rFonts w:ascii="Wingdings" w:hAnsi="Wingdings" w:hint="default"/>
      </w:rPr>
    </w:lvl>
    <w:lvl w:ilvl="6" w:tplc="1862CBA4" w:tentative="1">
      <w:start w:val="1"/>
      <w:numFmt w:val="bullet"/>
      <w:lvlText w:val=""/>
      <w:lvlJc w:val="left"/>
      <w:pPr>
        <w:ind w:left="4640" w:hanging="360"/>
      </w:pPr>
      <w:rPr>
        <w:rFonts w:ascii="Symbol" w:hAnsi="Symbol" w:hint="default"/>
      </w:rPr>
    </w:lvl>
    <w:lvl w:ilvl="7" w:tplc="CF1CF57C" w:tentative="1">
      <w:start w:val="1"/>
      <w:numFmt w:val="bullet"/>
      <w:lvlText w:val="o"/>
      <w:lvlJc w:val="left"/>
      <w:pPr>
        <w:ind w:left="5360" w:hanging="360"/>
      </w:pPr>
      <w:rPr>
        <w:rFonts w:ascii="Courier New" w:hAnsi="Courier New" w:cs="Courier New" w:hint="default"/>
      </w:rPr>
    </w:lvl>
    <w:lvl w:ilvl="8" w:tplc="3488C422" w:tentative="1">
      <w:start w:val="1"/>
      <w:numFmt w:val="bullet"/>
      <w:lvlText w:val=""/>
      <w:lvlJc w:val="left"/>
      <w:pPr>
        <w:ind w:left="6080" w:hanging="360"/>
      </w:pPr>
      <w:rPr>
        <w:rFonts w:ascii="Wingdings" w:hAnsi="Wingdings" w:hint="default"/>
      </w:rPr>
    </w:lvl>
  </w:abstractNum>
  <w:abstractNum w:abstractNumId="7" w15:restartNumberingAfterBreak="0">
    <w:nsid w:val="5BF8153E"/>
    <w:multiLevelType w:val="hybridMultilevel"/>
    <w:tmpl w:val="99CA88F4"/>
    <w:lvl w:ilvl="0" w:tplc="27844E6C">
      <w:start w:val="409"/>
      <w:numFmt w:val="bullet"/>
      <w:lvlText w:val=""/>
      <w:lvlJc w:val="left"/>
      <w:pPr>
        <w:ind w:left="720" w:hanging="360"/>
      </w:pPr>
      <w:rPr>
        <w:rFonts w:ascii="Symbol" w:eastAsia="Calibri" w:hAnsi="Symbol" w:cstheme="minorHAnsi" w:hint="default"/>
      </w:rPr>
    </w:lvl>
    <w:lvl w:ilvl="1" w:tplc="DE2E4878" w:tentative="1">
      <w:start w:val="1"/>
      <w:numFmt w:val="bullet"/>
      <w:lvlText w:val="o"/>
      <w:lvlJc w:val="left"/>
      <w:pPr>
        <w:ind w:left="1440" w:hanging="360"/>
      </w:pPr>
      <w:rPr>
        <w:rFonts w:ascii="Courier New" w:hAnsi="Courier New" w:cs="Courier New" w:hint="default"/>
      </w:rPr>
    </w:lvl>
    <w:lvl w:ilvl="2" w:tplc="AFC4A48A" w:tentative="1">
      <w:start w:val="1"/>
      <w:numFmt w:val="bullet"/>
      <w:lvlText w:val=""/>
      <w:lvlJc w:val="left"/>
      <w:pPr>
        <w:ind w:left="2160" w:hanging="360"/>
      </w:pPr>
      <w:rPr>
        <w:rFonts w:ascii="Wingdings" w:hAnsi="Wingdings" w:hint="default"/>
      </w:rPr>
    </w:lvl>
    <w:lvl w:ilvl="3" w:tplc="ED6C0A46" w:tentative="1">
      <w:start w:val="1"/>
      <w:numFmt w:val="bullet"/>
      <w:lvlText w:val=""/>
      <w:lvlJc w:val="left"/>
      <w:pPr>
        <w:ind w:left="2880" w:hanging="360"/>
      </w:pPr>
      <w:rPr>
        <w:rFonts w:ascii="Symbol" w:hAnsi="Symbol" w:hint="default"/>
      </w:rPr>
    </w:lvl>
    <w:lvl w:ilvl="4" w:tplc="6B68CEC0" w:tentative="1">
      <w:start w:val="1"/>
      <w:numFmt w:val="bullet"/>
      <w:lvlText w:val="o"/>
      <w:lvlJc w:val="left"/>
      <w:pPr>
        <w:ind w:left="3600" w:hanging="360"/>
      </w:pPr>
      <w:rPr>
        <w:rFonts w:ascii="Courier New" w:hAnsi="Courier New" w:cs="Courier New" w:hint="default"/>
      </w:rPr>
    </w:lvl>
    <w:lvl w:ilvl="5" w:tplc="4662A5EE" w:tentative="1">
      <w:start w:val="1"/>
      <w:numFmt w:val="bullet"/>
      <w:lvlText w:val=""/>
      <w:lvlJc w:val="left"/>
      <w:pPr>
        <w:ind w:left="4320" w:hanging="360"/>
      </w:pPr>
      <w:rPr>
        <w:rFonts w:ascii="Wingdings" w:hAnsi="Wingdings" w:hint="default"/>
      </w:rPr>
    </w:lvl>
    <w:lvl w:ilvl="6" w:tplc="236AF97A" w:tentative="1">
      <w:start w:val="1"/>
      <w:numFmt w:val="bullet"/>
      <w:lvlText w:val=""/>
      <w:lvlJc w:val="left"/>
      <w:pPr>
        <w:ind w:left="5040" w:hanging="360"/>
      </w:pPr>
      <w:rPr>
        <w:rFonts w:ascii="Symbol" w:hAnsi="Symbol" w:hint="default"/>
      </w:rPr>
    </w:lvl>
    <w:lvl w:ilvl="7" w:tplc="60343BA8" w:tentative="1">
      <w:start w:val="1"/>
      <w:numFmt w:val="bullet"/>
      <w:lvlText w:val="o"/>
      <w:lvlJc w:val="left"/>
      <w:pPr>
        <w:ind w:left="5760" w:hanging="360"/>
      </w:pPr>
      <w:rPr>
        <w:rFonts w:ascii="Courier New" w:hAnsi="Courier New" w:cs="Courier New" w:hint="default"/>
      </w:rPr>
    </w:lvl>
    <w:lvl w:ilvl="8" w:tplc="FD7404A0" w:tentative="1">
      <w:start w:val="1"/>
      <w:numFmt w:val="bullet"/>
      <w:lvlText w:val=""/>
      <w:lvlJc w:val="left"/>
      <w:pPr>
        <w:ind w:left="6480" w:hanging="360"/>
      </w:pPr>
      <w:rPr>
        <w:rFonts w:ascii="Wingdings" w:hAnsi="Wingdings" w:hint="default"/>
      </w:rPr>
    </w:lvl>
  </w:abstractNum>
  <w:abstractNum w:abstractNumId="8" w15:restartNumberingAfterBreak="0">
    <w:nsid w:val="5BFF0C30"/>
    <w:multiLevelType w:val="hybridMultilevel"/>
    <w:tmpl w:val="EEF85064"/>
    <w:lvl w:ilvl="0" w:tplc="DEE8E71A">
      <w:start w:val="1"/>
      <w:numFmt w:val="decimal"/>
      <w:lvlText w:val="%1."/>
      <w:lvlJc w:val="left"/>
      <w:pPr>
        <w:ind w:left="720" w:hanging="360"/>
      </w:pPr>
      <w:rPr>
        <w:rFonts w:hint="default"/>
      </w:rPr>
    </w:lvl>
    <w:lvl w:ilvl="1" w:tplc="5F6E8D98">
      <w:start w:val="1"/>
      <w:numFmt w:val="lowerLetter"/>
      <w:lvlText w:val="%2."/>
      <w:lvlJc w:val="left"/>
      <w:pPr>
        <w:ind w:left="1440" w:hanging="360"/>
      </w:pPr>
    </w:lvl>
    <w:lvl w:ilvl="2" w:tplc="6DC6ABDA" w:tentative="1">
      <w:start w:val="1"/>
      <w:numFmt w:val="lowerRoman"/>
      <w:lvlText w:val="%3."/>
      <w:lvlJc w:val="right"/>
      <w:pPr>
        <w:ind w:left="2160" w:hanging="180"/>
      </w:pPr>
    </w:lvl>
    <w:lvl w:ilvl="3" w:tplc="62189C12" w:tentative="1">
      <w:start w:val="1"/>
      <w:numFmt w:val="decimal"/>
      <w:lvlText w:val="%4."/>
      <w:lvlJc w:val="left"/>
      <w:pPr>
        <w:ind w:left="2880" w:hanging="360"/>
      </w:pPr>
    </w:lvl>
    <w:lvl w:ilvl="4" w:tplc="E7261DE4" w:tentative="1">
      <w:start w:val="1"/>
      <w:numFmt w:val="lowerLetter"/>
      <w:lvlText w:val="%5."/>
      <w:lvlJc w:val="left"/>
      <w:pPr>
        <w:ind w:left="3600" w:hanging="360"/>
      </w:pPr>
    </w:lvl>
    <w:lvl w:ilvl="5" w:tplc="3B967998" w:tentative="1">
      <w:start w:val="1"/>
      <w:numFmt w:val="lowerRoman"/>
      <w:lvlText w:val="%6."/>
      <w:lvlJc w:val="right"/>
      <w:pPr>
        <w:ind w:left="4320" w:hanging="180"/>
      </w:pPr>
    </w:lvl>
    <w:lvl w:ilvl="6" w:tplc="178A86EC" w:tentative="1">
      <w:start w:val="1"/>
      <w:numFmt w:val="decimal"/>
      <w:lvlText w:val="%7."/>
      <w:lvlJc w:val="left"/>
      <w:pPr>
        <w:ind w:left="5040" w:hanging="360"/>
      </w:pPr>
    </w:lvl>
    <w:lvl w:ilvl="7" w:tplc="96DE5FB2" w:tentative="1">
      <w:start w:val="1"/>
      <w:numFmt w:val="lowerLetter"/>
      <w:lvlText w:val="%8."/>
      <w:lvlJc w:val="left"/>
      <w:pPr>
        <w:ind w:left="5760" w:hanging="360"/>
      </w:pPr>
    </w:lvl>
    <w:lvl w:ilvl="8" w:tplc="B762D0D2"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0"/>
  </w:num>
  <w:num w:numId="5">
    <w:abstractNumId w:val="3"/>
  </w:num>
  <w:num w:numId="6">
    <w:abstractNumId w:val="0"/>
  </w:num>
  <w:num w:numId="7">
    <w:abstractNumId w:val="1"/>
  </w:num>
  <w:num w:numId="8">
    <w:abstractNumId w:val="5"/>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C3"/>
    <w:rsid w:val="000028DE"/>
    <w:rsid w:val="0002080A"/>
    <w:rsid w:val="00085B84"/>
    <w:rsid w:val="000A58E9"/>
    <w:rsid w:val="001025F5"/>
    <w:rsid w:val="00104CC7"/>
    <w:rsid w:val="00144CD7"/>
    <w:rsid w:val="0014525F"/>
    <w:rsid w:val="001709C8"/>
    <w:rsid w:val="0017644A"/>
    <w:rsid w:val="00211585"/>
    <w:rsid w:val="0028277B"/>
    <w:rsid w:val="0029373B"/>
    <w:rsid w:val="002B26F5"/>
    <w:rsid w:val="002B49E8"/>
    <w:rsid w:val="002F172B"/>
    <w:rsid w:val="00305A76"/>
    <w:rsid w:val="00334A4E"/>
    <w:rsid w:val="00334C62"/>
    <w:rsid w:val="003364BD"/>
    <w:rsid w:val="0038257E"/>
    <w:rsid w:val="0038291D"/>
    <w:rsid w:val="003830B5"/>
    <w:rsid w:val="003B07D2"/>
    <w:rsid w:val="003B2603"/>
    <w:rsid w:val="003C006C"/>
    <w:rsid w:val="003D4153"/>
    <w:rsid w:val="00423C9C"/>
    <w:rsid w:val="00445D6B"/>
    <w:rsid w:val="00454200"/>
    <w:rsid w:val="0049099E"/>
    <w:rsid w:val="004A1E63"/>
    <w:rsid w:val="004A2CA4"/>
    <w:rsid w:val="00501FA1"/>
    <w:rsid w:val="00506F6E"/>
    <w:rsid w:val="00510CA8"/>
    <w:rsid w:val="005A2244"/>
    <w:rsid w:val="005A5476"/>
    <w:rsid w:val="005E2225"/>
    <w:rsid w:val="005F0CE4"/>
    <w:rsid w:val="005F1465"/>
    <w:rsid w:val="005F51DE"/>
    <w:rsid w:val="00632E9F"/>
    <w:rsid w:val="006357C3"/>
    <w:rsid w:val="00674AFC"/>
    <w:rsid w:val="00675A57"/>
    <w:rsid w:val="00693249"/>
    <w:rsid w:val="006D20A1"/>
    <w:rsid w:val="00727B1B"/>
    <w:rsid w:val="00763613"/>
    <w:rsid w:val="007742FD"/>
    <w:rsid w:val="00786657"/>
    <w:rsid w:val="007E0E66"/>
    <w:rsid w:val="007E0FCF"/>
    <w:rsid w:val="007E54D0"/>
    <w:rsid w:val="00882A47"/>
    <w:rsid w:val="008870F4"/>
    <w:rsid w:val="00890BA3"/>
    <w:rsid w:val="008F0018"/>
    <w:rsid w:val="00967BA2"/>
    <w:rsid w:val="00980F78"/>
    <w:rsid w:val="0099763D"/>
    <w:rsid w:val="009A4FD8"/>
    <w:rsid w:val="009E2BFF"/>
    <w:rsid w:val="00A21FFC"/>
    <w:rsid w:val="00A43C89"/>
    <w:rsid w:val="00A735C0"/>
    <w:rsid w:val="00A87B9C"/>
    <w:rsid w:val="00AB6AD6"/>
    <w:rsid w:val="00AF4268"/>
    <w:rsid w:val="00AF4FA8"/>
    <w:rsid w:val="00B04413"/>
    <w:rsid w:val="00B46774"/>
    <w:rsid w:val="00B92471"/>
    <w:rsid w:val="00BC5AC1"/>
    <w:rsid w:val="00BF40C3"/>
    <w:rsid w:val="00C04DEE"/>
    <w:rsid w:val="00C2099F"/>
    <w:rsid w:val="00C735B8"/>
    <w:rsid w:val="00C824FF"/>
    <w:rsid w:val="00C93A2E"/>
    <w:rsid w:val="00CA4C7C"/>
    <w:rsid w:val="00CE31A1"/>
    <w:rsid w:val="00CE5A2D"/>
    <w:rsid w:val="00D31270"/>
    <w:rsid w:val="00D35212"/>
    <w:rsid w:val="00D5015E"/>
    <w:rsid w:val="00D74AB0"/>
    <w:rsid w:val="00D77797"/>
    <w:rsid w:val="00DB0253"/>
    <w:rsid w:val="00DB4181"/>
    <w:rsid w:val="00DF6F59"/>
    <w:rsid w:val="00E00854"/>
    <w:rsid w:val="00E0378D"/>
    <w:rsid w:val="00E25343"/>
    <w:rsid w:val="00E32521"/>
    <w:rsid w:val="00E7524F"/>
    <w:rsid w:val="00EC662A"/>
    <w:rsid w:val="00ED4A83"/>
    <w:rsid w:val="00EE4DC1"/>
    <w:rsid w:val="00EE572C"/>
    <w:rsid w:val="00F75303"/>
    <w:rsid w:val="00FA288B"/>
    <w:rsid w:val="00FC7F35"/>
    <w:rsid w:val="00FD4927"/>
    <w:rsid w:val="00FE2D59"/>
    <w:rsid w:val="00FF6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67F0C"/>
  <w15:chartTrackingRefBased/>
  <w15:docId w15:val="{BBD00ED8-BD7B-453D-823E-BCBD1DBE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7B"/>
    <w:pPr>
      <w:spacing w:after="200" w:line="240" w:lineRule="auto"/>
    </w:pPr>
    <w:rPr>
      <w:rFonts w:ascii="Calibri" w:eastAsia="Calibri" w:hAnsi="Calibri" w:cs="Times New Roman"/>
      <w:sz w:val="24"/>
    </w:rPr>
  </w:style>
  <w:style w:type="paragraph" w:styleId="Heading1">
    <w:name w:val="heading 1"/>
    <w:basedOn w:val="Normal"/>
    <w:next w:val="Normal"/>
    <w:link w:val="Heading1Char"/>
    <w:uiPriority w:val="9"/>
    <w:qFormat/>
    <w:rsid w:val="00D35212"/>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AB - List Bullet,CV text,Dot pt,F5 List Paragraph,FooterText,L,List Bullet Cab,List Paragraph1,List Paragraph11,List Paragraph111,List Paragraph2,Medium Grid 1 - Accent 21,NAST Quote,NFP GP Bulleted List"/>
    <w:basedOn w:val="Normal"/>
    <w:link w:val="ListParagraphChar"/>
    <w:uiPriority w:val="34"/>
    <w:qFormat/>
    <w:rsid w:val="0028277B"/>
    <w:pPr>
      <w:spacing w:after="160" w:line="259" w:lineRule="auto"/>
      <w:ind w:left="720"/>
      <w:contextualSpacing/>
    </w:pPr>
    <w:rPr>
      <w:rFonts w:asciiTheme="minorHAnsi" w:eastAsiaTheme="minorHAnsi" w:hAnsiTheme="minorHAnsi" w:cstheme="minorBidi"/>
      <w:sz w:val="22"/>
    </w:rPr>
  </w:style>
  <w:style w:type="character" w:customStyle="1" w:styleId="ListParagraphChar">
    <w:name w:val="List Paragraph Char"/>
    <w:aliases w:val="Bullet point Char,Bullets Char,CAB - List Bullet Char,CV text Char,Dot pt Char,F5 List Paragraph Char,FooterText Char,L Char,List Bullet Cab Char,List Paragraph1 Char,List Paragraph11 Char,List Paragraph111 Char,List Paragraph2 Char"/>
    <w:basedOn w:val="DefaultParagraphFont"/>
    <w:link w:val="ListParagraph"/>
    <w:uiPriority w:val="34"/>
    <w:locked/>
    <w:rsid w:val="001709C8"/>
  </w:style>
  <w:style w:type="paragraph" w:styleId="BodyText">
    <w:name w:val="Body Text"/>
    <w:basedOn w:val="Normal"/>
    <w:link w:val="BodyTextChar"/>
    <w:uiPriority w:val="99"/>
    <w:semiHidden/>
    <w:unhideWhenUsed/>
    <w:rsid w:val="005F1465"/>
    <w:pPr>
      <w:spacing w:after="120" w:line="252" w:lineRule="auto"/>
    </w:pPr>
    <w:rPr>
      <w:rFonts w:eastAsiaTheme="minorHAnsi" w:cs="Calibri"/>
      <w:sz w:val="22"/>
    </w:rPr>
  </w:style>
  <w:style w:type="character" w:customStyle="1" w:styleId="BodyTextChar">
    <w:name w:val="Body Text Char"/>
    <w:basedOn w:val="DefaultParagraphFont"/>
    <w:link w:val="BodyText"/>
    <w:uiPriority w:val="99"/>
    <w:semiHidden/>
    <w:rsid w:val="005F1465"/>
    <w:rPr>
      <w:rFonts w:ascii="Calibri" w:hAnsi="Calibri" w:cs="Calibri"/>
    </w:rPr>
  </w:style>
  <w:style w:type="paragraph" w:styleId="BalloonText">
    <w:name w:val="Balloon Text"/>
    <w:basedOn w:val="Normal"/>
    <w:link w:val="BalloonTextChar"/>
    <w:uiPriority w:val="99"/>
    <w:semiHidden/>
    <w:unhideWhenUsed/>
    <w:rsid w:val="006932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49"/>
    <w:rPr>
      <w:rFonts w:ascii="Segoe UI" w:eastAsia="Calibri" w:hAnsi="Segoe UI" w:cs="Segoe UI"/>
      <w:sz w:val="18"/>
      <w:szCs w:val="18"/>
    </w:rPr>
  </w:style>
  <w:style w:type="paragraph" w:styleId="Header">
    <w:name w:val="header"/>
    <w:basedOn w:val="Normal"/>
    <w:link w:val="HeaderChar"/>
    <w:uiPriority w:val="99"/>
    <w:unhideWhenUsed/>
    <w:rsid w:val="007E0FCF"/>
    <w:pPr>
      <w:tabs>
        <w:tab w:val="center" w:pos="4513"/>
        <w:tab w:val="right" w:pos="9026"/>
      </w:tabs>
      <w:spacing w:after="0"/>
    </w:pPr>
  </w:style>
  <w:style w:type="character" w:customStyle="1" w:styleId="HeaderChar">
    <w:name w:val="Header Char"/>
    <w:basedOn w:val="DefaultParagraphFont"/>
    <w:link w:val="Header"/>
    <w:uiPriority w:val="99"/>
    <w:rsid w:val="007E0FCF"/>
    <w:rPr>
      <w:rFonts w:ascii="Calibri" w:eastAsia="Calibri" w:hAnsi="Calibri" w:cs="Times New Roman"/>
      <w:sz w:val="24"/>
    </w:rPr>
  </w:style>
  <w:style w:type="paragraph" w:styleId="Footer">
    <w:name w:val="footer"/>
    <w:basedOn w:val="Normal"/>
    <w:link w:val="FooterChar"/>
    <w:uiPriority w:val="99"/>
    <w:unhideWhenUsed/>
    <w:rsid w:val="007E0FCF"/>
    <w:pPr>
      <w:tabs>
        <w:tab w:val="center" w:pos="4513"/>
        <w:tab w:val="right" w:pos="9026"/>
      </w:tabs>
      <w:spacing w:after="0"/>
    </w:pPr>
  </w:style>
  <w:style w:type="character" w:customStyle="1" w:styleId="FooterChar">
    <w:name w:val="Footer Char"/>
    <w:basedOn w:val="DefaultParagraphFont"/>
    <w:link w:val="Footer"/>
    <w:uiPriority w:val="99"/>
    <w:rsid w:val="007E0FCF"/>
    <w:rPr>
      <w:rFonts w:ascii="Calibri" w:eastAsia="Calibri" w:hAnsi="Calibri" w:cs="Times New Roman"/>
      <w:sz w:val="24"/>
    </w:rPr>
  </w:style>
  <w:style w:type="paragraph" w:customStyle="1" w:styleId="Default">
    <w:name w:val="Default"/>
    <w:rsid w:val="00E0378D"/>
    <w:pPr>
      <w:autoSpaceDE w:val="0"/>
      <w:autoSpaceDN w:val="0"/>
      <w:adjustRightInd w:val="0"/>
      <w:spacing w:after="0" w:line="240" w:lineRule="auto"/>
    </w:pPr>
    <w:rPr>
      <w:rFonts w:ascii="Calibri" w:hAnsi="Calibri" w:cs="Calibri"/>
      <w:color w:val="000000"/>
      <w:sz w:val="24"/>
      <w:szCs w:val="24"/>
    </w:rPr>
  </w:style>
  <w:style w:type="table" w:styleId="GridTable3-Accent5">
    <w:name w:val="Grid Table 3 Accent 5"/>
    <w:basedOn w:val="TableNormal"/>
    <w:uiPriority w:val="48"/>
    <w:rsid w:val="00E2534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styleId="CommentReference">
    <w:name w:val="annotation reference"/>
    <w:basedOn w:val="DefaultParagraphFont"/>
    <w:uiPriority w:val="99"/>
    <w:semiHidden/>
    <w:unhideWhenUsed/>
    <w:rsid w:val="00C93A2E"/>
    <w:rPr>
      <w:sz w:val="16"/>
      <w:szCs w:val="16"/>
    </w:rPr>
  </w:style>
  <w:style w:type="paragraph" w:styleId="CommentText">
    <w:name w:val="annotation text"/>
    <w:basedOn w:val="Normal"/>
    <w:link w:val="CommentTextChar"/>
    <w:uiPriority w:val="99"/>
    <w:semiHidden/>
    <w:unhideWhenUsed/>
    <w:rsid w:val="00C93A2E"/>
    <w:rPr>
      <w:sz w:val="20"/>
      <w:szCs w:val="20"/>
    </w:rPr>
  </w:style>
  <w:style w:type="character" w:customStyle="1" w:styleId="CommentTextChar">
    <w:name w:val="Comment Text Char"/>
    <w:basedOn w:val="DefaultParagraphFont"/>
    <w:link w:val="CommentText"/>
    <w:uiPriority w:val="99"/>
    <w:semiHidden/>
    <w:rsid w:val="00C93A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3A2E"/>
    <w:rPr>
      <w:b/>
      <w:bCs/>
    </w:rPr>
  </w:style>
  <w:style w:type="character" w:customStyle="1" w:styleId="CommentSubjectChar">
    <w:name w:val="Comment Subject Char"/>
    <w:basedOn w:val="CommentTextChar"/>
    <w:link w:val="CommentSubject"/>
    <w:uiPriority w:val="99"/>
    <w:semiHidden/>
    <w:rsid w:val="00C93A2E"/>
    <w:rPr>
      <w:rFonts w:ascii="Calibri" w:eastAsia="Calibri" w:hAnsi="Calibri" w:cs="Times New Roman"/>
      <w:b/>
      <w:bCs/>
      <w:sz w:val="20"/>
      <w:szCs w:val="20"/>
    </w:rPr>
  </w:style>
  <w:style w:type="table" w:styleId="TableGrid">
    <w:name w:val="Table Grid"/>
    <w:basedOn w:val="TableNormal"/>
    <w:uiPriority w:val="39"/>
    <w:rsid w:val="00305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5212"/>
    <w:rPr>
      <w:rFonts w:ascii="Calibri" w:eastAsia="Calibri" w:hAnsi="Calibri" w:cs="Times New Roman"/>
      <w:b/>
      <w:bCs/>
      <w:sz w:val="24"/>
    </w:rPr>
  </w:style>
  <w:style w:type="paragraph" w:customStyle="1" w:styleId="Tableheader">
    <w:name w:val="Table header"/>
    <w:basedOn w:val="Normal"/>
    <w:qFormat/>
    <w:rsid w:val="00D35212"/>
    <w:pPr>
      <w:jc w:val="center"/>
    </w:pPr>
    <w:rPr>
      <w:b/>
      <w:bCs/>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1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6C98-7B88-4CF5-98A6-4809149C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Australian Government and Meat Industry Joint Statement on Workplace Culture in the meat sector</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and Meat Industry Joint Statement on Workplace Culture in the meat sector</dc:title>
  <dc:creator>Australian Government</dc:creator>
  <cp:lastModifiedBy>Dang, Van</cp:lastModifiedBy>
  <cp:revision>6</cp:revision>
  <dcterms:created xsi:type="dcterms:W3CDTF">2021-06-22T04:53:00Z</dcterms:created>
  <dcterms:modified xsi:type="dcterms:W3CDTF">2021-07-13T04:39:00Z</dcterms:modified>
</cp:coreProperties>
</file>